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14d-100)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SECTION 13(e)(1)</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19"/>
                <w:szCs w:val="19"/>
                <w:color w:val="auto"/>
              </w:rPr>
            </w:pPr>
          </w:p>
        </w:tc>
        <w:tc>
          <w:tcPr>
            <w:tcW w:w="7620" w:type="dxa"/>
            <w:vAlign w:val="bottom"/>
            <w:gridSpan w:val="4"/>
          </w:tcPr>
          <w:p>
            <w:pPr>
              <w:jc w:val="center"/>
              <w:ind w:right="1430"/>
              <w:spacing w:after="0"/>
              <w:rPr>
                <w:sz w:val="20"/>
                <w:szCs w:val="20"/>
                <w:color w:val="auto"/>
              </w:rPr>
            </w:pPr>
            <w:r>
              <w:rPr>
                <w:rFonts w:ascii="Arial" w:cs="Arial" w:eastAsia="Arial" w:hAnsi="Arial"/>
                <w:sz w:val="18"/>
                <w:szCs w:val="18"/>
                <w:b w:val="1"/>
                <w:bCs w:val="1"/>
                <w:color w:val="auto"/>
              </w:rPr>
              <w:t>CREDIT ACCEPTANCE CORPORATION</w:t>
            </w:r>
          </w:p>
        </w:tc>
        <w:tc>
          <w:tcPr>
            <w:tcW w:w="114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color w:val="auto"/>
                <w:w w:val="93"/>
              </w:rPr>
              <w:t>(Name of Filing Person (Offeror))</w:t>
            </w:r>
          </w:p>
        </w:tc>
        <w:tc>
          <w:tcPr>
            <w:tcW w:w="1140" w:type="dxa"/>
            <w:vAlign w:val="bottom"/>
          </w:tcPr>
          <w:p>
            <w:pPr>
              <w:spacing w:after="0"/>
              <w:rPr>
                <w:sz w:val="20"/>
                <w:szCs w:val="20"/>
                <w:color w:val="auto"/>
              </w:rPr>
            </w:pPr>
          </w:p>
        </w:tc>
      </w:tr>
      <w:tr>
        <w:trPr>
          <w:trHeight w:val="284"/>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9"/>
        </w:trPr>
        <w:tc>
          <w:tcPr>
            <w:tcW w:w="2660" w:type="dxa"/>
            <w:vAlign w:val="bottom"/>
          </w:tcPr>
          <w:p>
            <w:pPr>
              <w:spacing w:after="0"/>
              <w:rPr>
                <w:sz w:val="24"/>
                <w:szCs w:val="24"/>
                <w:color w:val="auto"/>
              </w:rPr>
            </w:pPr>
          </w:p>
        </w:tc>
        <w:tc>
          <w:tcPr>
            <w:tcW w:w="7620" w:type="dxa"/>
            <w:vAlign w:val="bottom"/>
            <w:gridSpan w:val="4"/>
          </w:tcPr>
          <w:p>
            <w:pPr>
              <w:jc w:val="center"/>
              <w:ind w:right="1410"/>
              <w:spacing w:after="0"/>
              <w:rPr>
                <w:sz w:val="20"/>
                <w:szCs w:val="20"/>
                <w:color w:val="auto"/>
              </w:rPr>
            </w:pPr>
            <w:r>
              <w:rPr>
                <w:rFonts w:ascii="Arial" w:cs="Arial" w:eastAsia="Arial" w:hAnsi="Arial"/>
                <w:sz w:val="18"/>
                <w:szCs w:val="18"/>
                <w:b w:val="1"/>
                <w:bCs w:val="1"/>
                <w:color w:val="auto"/>
                <w:w w:val="98"/>
              </w:rPr>
              <w:t>COMMON STOCK, PAR VALUE $.01 PER SHARE</w:t>
            </w:r>
          </w:p>
        </w:tc>
        <w:tc>
          <w:tcPr>
            <w:tcW w:w="1140" w:type="dxa"/>
            <w:vAlign w:val="bottom"/>
          </w:tcPr>
          <w:p>
            <w:pPr>
              <w:spacing w:after="0"/>
              <w:rPr>
                <w:sz w:val="24"/>
                <w:szCs w:val="24"/>
                <w:color w:val="auto"/>
              </w:rPr>
            </w:pPr>
          </w:p>
        </w:tc>
      </w:tr>
      <w:tr>
        <w:trPr>
          <w:trHeight w:val="230"/>
        </w:trPr>
        <w:tc>
          <w:tcPr>
            <w:tcW w:w="2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4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(Title of Class Securities)</w:t>
            </w:r>
          </w:p>
        </w:tc>
        <w:tc>
          <w:tcPr>
            <w:tcW w:w="1140" w:type="dxa"/>
            <w:vAlign w:val="bottom"/>
          </w:tcPr>
          <w:p>
            <w:pPr>
              <w:spacing w:after="0"/>
              <w:rPr>
                <w:sz w:val="20"/>
                <w:szCs w:val="20"/>
                <w:color w:val="auto"/>
              </w:rPr>
            </w:pPr>
          </w:p>
        </w:tc>
      </w:tr>
      <w:tr>
        <w:trPr>
          <w:trHeight w:val="418"/>
        </w:trPr>
        <w:tc>
          <w:tcPr>
            <w:tcW w:w="2660" w:type="dxa"/>
            <w:vAlign w:val="bottom"/>
          </w:tcPr>
          <w:p>
            <w:pPr>
              <w:spacing w:after="0"/>
              <w:rPr>
                <w:sz w:val="24"/>
                <w:szCs w:val="24"/>
                <w:color w:val="auto"/>
              </w:rPr>
            </w:pPr>
          </w:p>
        </w:tc>
        <w:tc>
          <w:tcPr>
            <w:tcW w:w="454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2"/>
              </w:rPr>
              <w:t>225310-10-1</w:t>
            </w: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2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4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(CUSIP Number of Class of Securities)</w:t>
            </w:r>
          </w:p>
        </w:tc>
        <w:tc>
          <w:tcPr>
            <w:tcW w:w="1140" w:type="dxa"/>
            <w:vAlign w:val="bottom"/>
          </w:tcPr>
          <w:p>
            <w:pPr>
              <w:spacing w:after="0"/>
              <w:rPr>
                <w:sz w:val="20"/>
                <w:szCs w:val="20"/>
                <w:color w:val="auto"/>
              </w:rPr>
            </w:pPr>
          </w:p>
        </w:tc>
      </w:tr>
      <w:tr>
        <w:trPr>
          <w:trHeight w:val="284"/>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5"/>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b w:val="1"/>
                <w:bCs w:val="1"/>
                <w:color w:val="auto"/>
                <w:w w:val="90"/>
              </w:rPr>
              <w:t>Charles A. Pearce</w:t>
            </w:r>
          </w:p>
        </w:tc>
        <w:tc>
          <w:tcPr>
            <w:tcW w:w="1140" w:type="dxa"/>
            <w:vAlign w:val="bottom"/>
          </w:tcPr>
          <w:p>
            <w:pPr>
              <w:spacing w:after="0"/>
              <w:rPr>
                <w:sz w:val="24"/>
                <w:szCs w:val="24"/>
                <w:color w:val="auto"/>
              </w:rPr>
            </w:pPr>
          </w:p>
        </w:tc>
      </w:tr>
      <w:tr>
        <w:trPr>
          <w:trHeight w:val="216"/>
        </w:trPr>
        <w:tc>
          <w:tcPr>
            <w:tcW w:w="2660" w:type="dxa"/>
            <w:vAlign w:val="bottom"/>
          </w:tcPr>
          <w:p>
            <w:pPr>
              <w:spacing w:after="0"/>
              <w:rPr>
                <w:sz w:val="18"/>
                <w:szCs w:val="18"/>
                <w:color w:val="auto"/>
              </w:rPr>
            </w:pPr>
          </w:p>
        </w:tc>
        <w:tc>
          <w:tcPr>
            <w:tcW w:w="7620" w:type="dxa"/>
            <w:vAlign w:val="bottom"/>
            <w:gridSpan w:val="4"/>
          </w:tcPr>
          <w:p>
            <w:pPr>
              <w:jc w:val="center"/>
              <w:ind w:right="1430"/>
              <w:spacing w:after="0"/>
              <w:rPr>
                <w:sz w:val="20"/>
                <w:szCs w:val="20"/>
                <w:color w:val="auto"/>
              </w:rPr>
            </w:pPr>
            <w:r>
              <w:rPr>
                <w:rFonts w:ascii="Arial" w:cs="Arial" w:eastAsia="Arial" w:hAnsi="Arial"/>
                <w:sz w:val="18"/>
                <w:szCs w:val="18"/>
                <w:b w:val="1"/>
                <w:bCs w:val="1"/>
                <w:color w:val="auto"/>
                <w:w w:val="92"/>
              </w:rPr>
              <w:t>Chief Legal Officer and Corporate Secretary</w:t>
            </w:r>
          </w:p>
        </w:tc>
        <w:tc>
          <w:tcPr>
            <w:tcW w:w="11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b w:val="1"/>
                <w:bCs w:val="1"/>
                <w:color w:val="auto"/>
                <w:w w:val="90"/>
              </w:rPr>
              <w:t>Credit Acceptance Corporation</w:t>
            </w:r>
          </w:p>
        </w:tc>
        <w:tc>
          <w:tcPr>
            <w:tcW w:w="11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b w:val="1"/>
                <w:bCs w:val="1"/>
                <w:color w:val="auto"/>
                <w:w w:val="90"/>
              </w:rPr>
              <w:t>25505 West Twelve Mile Road</w:t>
            </w:r>
          </w:p>
        </w:tc>
        <w:tc>
          <w:tcPr>
            <w:tcW w:w="11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3"/>
              </w:rPr>
              <w:t>Southfield, MI 48034-8339</w:t>
            </w:r>
          </w:p>
        </w:tc>
        <w:tc>
          <w:tcPr>
            <w:tcW w:w="1140" w:type="dxa"/>
            <w:vAlign w:val="bottom"/>
          </w:tcPr>
          <w:p>
            <w:pPr>
              <w:spacing w:after="0"/>
              <w:rPr>
                <w:sz w:val="18"/>
                <w:szCs w:val="18"/>
                <w:color w:val="auto"/>
              </w:rPr>
            </w:pPr>
          </w:p>
        </w:tc>
      </w:tr>
      <w:tr>
        <w:trPr>
          <w:trHeight w:val="220"/>
        </w:trPr>
        <w:tc>
          <w:tcPr>
            <w:tcW w:w="2660" w:type="dxa"/>
            <w:vAlign w:val="bottom"/>
          </w:tcPr>
          <w:p>
            <w:pPr>
              <w:spacing w:after="0"/>
              <w:rPr>
                <w:sz w:val="19"/>
                <w:szCs w:val="19"/>
                <w:color w:val="auto"/>
              </w:rPr>
            </w:pPr>
          </w:p>
        </w:tc>
        <w:tc>
          <w:tcPr>
            <w:tcW w:w="454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0"/>
              </w:rPr>
              <w:t>(248) 353-2700</w:t>
            </w:r>
          </w:p>
        </w:tc>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660" w:type="dxa"/>
            <w:vAlign w:val="bottom"/>
          </w:tcPr>
          <w:p>
            <w:pPr>
              <w:spacing w:after="0"/>
              <w:rPr>
                <w:sz w:val="18"/>
                <w:szCs w:val="18"/>
                <w:color w:val="auto"/>
              </w:rPr>
            </w:pPr>
          </w:p>
        </w:tc>
        <w:tc>
          <w:tcPr>
            <w:tcW w:w="7620" w:type="dxa"/>
            <w:vAlign w:val="bottom"/>
            <w:gridSpan w:val="4"/>
          </w:tcPr>
          <w:p>
            <w:pPr>
              <w:jc w:val="center"/>
              <w:ind w:right="1430"/>
              <w:spacing w:after="0"/>
              <w:rPr>
                <w:sz w:val="20"/>
                <w:szCs w:val="20"/>
                <w:color w:val="auto"/>
              </w:rPr>
            </w:pPr>
            <w:r>
              <w:rPr>
                <w:rFonts w:ascii="Arial" w:cs="Arial" w:eastAsia="Arial" w:hAnsi="Arial"/>
                <w:sz w:val="18"/>
                <w:szCs w:val="18"/>
                <w:color w:val="auto"/>
                <w:w w:val="89"/>
              </w:rPr>
              <w:t>(Name, Address and Telephone Number of Person</w:t>
            </w:r>
          </w:p>
        </w:tc>
        <w:tc>
          <w:tcPr>
            <w:tcW w:w="114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7620" w:type="dxa"/>
            <w:vAlign w:val="bottom"/>
            <w:gridSpan w:val="4"/>
          </w:tcPr>
          <w:p>
            <w:pPr>
              <w:jc w:val="center"/>
              <w:ind w:right="1410"/>
              <w:spacing w:after="0"/>
              <w:rPr>
                <w:sz w:val="20"/>
                <w:szCs w:val="20"/>
                <w:color w:val="auto"/>
              </w:rPr>
            </w:pPr>
            <w:r>
              <w:rPr>
                <w:rFonts w:ascii="Arial" w:cs="Arial" w:eastAsia="Arial" w:hAnsi="Arial"/>
                <w:sz w:val="18"/>
                <w:szCs w:val="18"/>
                <w:color w:val="auto"/>
                <w:w w:val="91"/>
              </w:rPr>
              <w:t>Authorized to Receive Notices and Communications on Behalf of Filing Persons)</w:t>
            </w:r>
          </w:p>
        </w:tc>
        <w:tc>
          <w:tcPr>
            <w:tcW w:w="1140" w:type="dxa"/>
            <w:vAlign w:val="bottom"/>
          </w:tcPr>
          <w:p>
            <w:pPr>
              <w:spacing w:after="0"/>
              <w:rPr>
                <w:sz w:val="20"/>
                <w:szCs w:val="20"/>
                <w:color w:val="auto"/>
              </w:rPr>
            </w:pPr>
          </w:p>
        </w:tc>
      </w:tr>
      <w:tr>
        <w:trPr>
          <w:trHeight w:val="297"/>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5"/>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color w:val="auto"/>
                <w:w w:val="92"/>
              </w:rPr>
              <w:t>With a copy to:</w:t>
            </w:r>
          </w:p>
        </w:tc>
        <w:tc>
          <w:tcPr>
            <w:tcW w:w="1140" w:type="dxa"/>
            <w:vAlign w:val="bottom"/>
          </w:tcPr>
          <w:p>
            <w:pPr>
              <w:spacing w:after="0"/>
              <w:rPr>
                <w:sz w:val="24"/>
                <w:szCs w:val="24"/>
                <w:color w:val="auto"/>
              </w:rPr>
            </w:pPr>
          </w:p>
        </w:tc>
      </w:tr>
      <w:tr>
        <w:trPr>
          <w:trHeight w:val="216"/>
        </w:trPr>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b w:val="1"/>
                <w:bCs w:val="1"/>
                <w:color w:val="auto"/>
                <w:w w:val="92"/>
              </w:rPr>
              <w:t>Richard C. Witzel, Jr., Esq.</w:t>
            </w:r>
          </w:p>
        </w:tc>
        <w:tc>
          <w:tcPr>
            <w:tcW w:w="11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7620" w:type="dxa"/>
            <w:vAlign w:val="bottom"/>
            <w:gridSpan w:val="4"/>
          </w:tcPr>
          <w:p>
            <w:pPr>
              <w:jc w:val="center"/>
              <w:ind w:right="143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11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gridSpan w:val="3"/>
          </w:tcPr>
          <w:p>
            <w:pPr>
              <w:jc w:val="center"/>
              <w:ind w:right="3010"/>
              <w:spacing w:after="0"/>
              <w:rPr>
                <w:sz w:val="20"/>
                <w:szCs w:val="20"/>
                <w:color w:val="auto"/>
              </w:rPr>
            </w:pPr>
            <w:r>
              <w:rPr>
                <w:rFonts w:ascii="Arial" w:cs="Arial" w:eastAsia="Arial" w:hAnsi="Arial"/>
                <w:sz w:val="18"/>
                <w:szCs w:val="18"/>
                <w:b w:val="1"/>
                <w:bCs w:val="1"/>
                <w:color w:val="auto"/>
                <w:w w:val="93"/>
              </w:rPr>
              <w:t>155 N. Wacker Dr.</w:t>
            </w:r>
          </w:p>
        </w:tc>
        <w:tc>
          <w:tcPr>
            <w:tcW w:w="11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2"/>
              </w:rPr>
              <w:t>Chicago, IL 60606</w:t>
            </w:r>
          </w:p>
        </w:tc>
        <w:tc>
          <w:tcPr>
            <w:tcW w:w="114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454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0"/>
              </w:rPr>
              <w:t>(312) 407-0700</w:t>
            </w:r>
          </w:p>
        </w:tc>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4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rPr>
              <w:t>CALCULATION OF FILING FEE</w:t>
            </w:r>
          </w:p>
        </w:tc>
        <w:tc>
          <w:tcPr>
            <w:tcW w:w="1140" w:type="dxa"/>
            <w:vAlign w:val="bottom"/>
          </w:tcPr>
          <w:p>
            <w:pPr>
              <w:spacing w:after="0"/>
              <w:rPr>
                <w:sz w:val="24"/>
                <w:szCs w:val="24"/>
                <w:color w:val="auto"/>
              </w:rPr>
            </w:pPr>
          </w:p>
        </w:tc>
      </w:tr>
      <w:tr>
        <w:trPr>
          <w:trHeight w:val="223"/>
        </w:trPr>
        <w:tc>
          <w:tcPr>
            <w:tcW w:w="266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gridSpan w:val="3"/>
          </w:tcPr>
          <w:p>
            <w:pPr>
              <w:spacing w:after="0"/>
              <w:rPr>
                <w:sz w:val="19"/>
                <w:szCs w:val="19"/>
                <w:color w:val="auto"/>
              </w:rPr>
            </w:pPr>
          </w:p>
        </w:tc>
        <w:tc>
          <w:tcPr>
            <w:tcW w:w="1880" w:type="dxa"/>
            <w:vAlign w:val="bottom"/>
            <w:tcBorders>
              <w:bottom w:val="single" w:sz="8" w:color="auto"/>
            </w:tcBorders>
            <w:gridSpan w:val="2"/>
          </w:tcPr>
          <w:p>
            <w:pPr>
              <w:spacing w:after="0"/>
              <w:rPr>
                <w:sz w:val="19"/>
                <w:szCs w:val="19"/>
                <w:color w:val="auto"/>
              </w:rPr>
            </w:pPr>
          </w:p>
        </w:tc>
      </w:tr>
      <w:tr>
        <w:trPr>
          <w:trHeight w:val="223"/>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TRANSACTION VALUATION*</w:t>
            </w:r>
          </w:p>
        </w:tc>
        <w:tc>
          <w:tcPr>
            <w:tcW w:w="6880" w:type="dxa"/>
            <w:vAlign w:val="bottom"/>
            <w:tcBorders>
              <w:bottom w:val="single" w:sz="8" w:color="auto"/>
              <w:right w:val="single" w:sz="8" w:color="auto"/>
            </w:tcBorders>
            <w:gridSpan w:val="3"/>
          </w:tcPr>
          <w:p>
            <w:pPr>
              <w:spacing w:after="0"/>
              <w:rPr>
                <w:sz w:val="19"/>
                <w:szCs w:val="19"/>
                <w:color w:val="auto"/>
              </w:rPr>
            </w:pPr>
          </w:p>
        </w:tc>
        <w:tc>
          <w:tcPr>
            <w:tcW w:w="18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$200,000,000</w:t>
            </w:r>
          </w:p>
        </w:tc>
      </w:tr>
      <w:tr>
        <w:trPr>
          <w:trHeight w:val="216"/>
        </w:trPr>
        <w:tc>
          <w:tcPr>
            <w:tcW w:w="2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AMOUNT OF FILING FEE**</w:t>
            </w:r>
          </w:p>
        </w:tc>
        <w:tc>
          <w:tcPr>
            <w:tcW w:w="6880" w:type="dxa"/>
            <w:vAlign w:val="bottom"/>
            <w:tcBorders>
              <w:bottom w:val="single" w:sz="8" w:color="auto"/>
              <w:right w:val="single" w:sz="8" w:color="auto"/>
            </w:tcBorders>
            <w:gridSpan w:val="3"/>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14,260</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300" w:right="20" w:hanging="299"/>
        <w:spacing w:after="0" w:line="277" w:lineRule="auto"/>
        <w:tabs>
          <w:tab w:leader="none" w:pos="280" w:val="left"/>
        </w:tabs>
        <w:rPr>
          <w:sz w:val="20"/>
          <w:szCs w:val="20"/>
          <w:color w:val="auto"/>
        </w:rPr>
      </w:pPr>
      <w:r>
        <w:rPr>
          <w:rFonts w:ascii="Arial" w:cs="Arial" w:eastAsia="Arial" w:hAnsi="Arial"/>
          <w:sz w:val="18"/>
          <w:szCs w:val="18"/>
          <w:color w:val="auto"/>
        </w:rPr>
        <w:t>*</w:t>
        <w:tab/>
        <w:t>Estimated for purposes of calculating the amount of the filing fee only. The amount assumes the purchase of a total of 4,000,000 shares of the outstanding common stock at a price of $50.00 per share in cash.</w:t>
      </w:r>
    </w:p>
    <w:p>
      <w:pPr>
        <w:spacing w:after="0" w:line="76" w:lineRule="exact"/>
        <w:rPr>
          <w:sz w:val="20"/>
          <w:szCs w:val="20"/>
          <w:color w:val="auto"/>
        </w:rPr>
      </w:pPr>
    </w:p>
    <w:p>
      <w:pPr>
        <w:ind w:left="300" w:right="420" w:hanging="299"/>
        <w:spacing w:after="0" w:line="277" w:lineRule="auto"/>
        <w:tabs>
          <w:tab w:leader="none" w:pos="280" w:val="left"/>
        </w:tabs>
        <w:rPr>
          <w:sz w:val="20"/>
          <w:szCs w:val="20"/>
          <w:color w:val="auto"/>
        </w:rPr>
      </w:pPr>
      <w:r>
        <w:rPr>
          <w:rFonts w:ascii="Arial" w:cs="Arial" w:eastAsia="Arial" w:hAnsi="Arial"/>
          <w:sz w:val="18"/>
          <w:szCs w:val="18"/>
          <w:color w:val="auto"/>
        </w:rPr>
        <w:t>**</w:t>
        <w:tab/>
        <w:t>The amount of the filing fee equals $71.30 per $1 million of the transaction value and is estimated in accordance with Rule 0-11 under the Securities Exchange Act of 1934.</w:t>
      </w:r>
    </w:p>
    <w:p>
      <w:pPr>
        <w:spacing w:after="0" w:line="76" w:lineRule="exact"/>
        <w:rPr>
          <w:sz w:val="20"/>
          <w:szCs w:val="20"/>
          <w:color w:val="auto"/>
        </w:rPr>
      </w:pPr>
    </w:p>
    <w:p>
      <w:pPr>
        <w:ind w:left="300" w:right="440" w:hanging="292"/>
        <w:spacing w:after="0" w:line="258"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Amount Previously Paid: $14,260</w:t>
      </w:r>
    </w:p>
    <w:p>
      <w:pPr>
        <w:spacing w:after="0" w:line="9"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Form or Registration No.: Schedule TO</w:t>
      </w:r>
    </w:p>
    <w:p>
      <w:pPr>
        <w:spacing w:after="0" w:line="9"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Filing Party: Credit Acceptance Corporation</w:t>
      </w:r>
    </w:p>
    <w:p>
      <w:pPr>
        <w:spacing w:after="0" w:line="9" w:lineRule="exact"/>
        <w:rPr>
          <w:rFonts w:ascii="MS PGothic" w:cs="MS PGothic" w:eastAsia="MS PGothic" w:hAnsi="MS PGothic"/>
          <w:sz w:val="18"/>
          <w:szCs w:val="18"/>
          <w:color w:val="auto"/>
        </w:rPr>
      </w:pP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Date Filed: June 18, 2010</w:t>
      </w:r>
    </w:p>
    <w:p>
      <w:pPr>
        <w:spacing w:after="0" w:line="116" w:lineRule="exact"/>
        <w:rPr>
          <w:sz w:val="20"/>
          <w:szCs w:val="20"/>
          <w:color w:val="auto"/>
        </w:rPr>
      </w:pPr>
    </w:p>
    <w:p>
      <w:pPr>
        <w:ind w:right="2300" w:firstLine="8"/>
        <w:spacing w:after="0" w:line="375" w:lineRule="auto"/>
        <w:tabs>
          <w:tab w:leader="none" w:pos="297"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ectPr>
          <w:pgSz w:w="11900" w:h="16838" w:orient="portrait"/>
          <w:cols w:equalWidth="0" w:num="1">
            <w:col w:w="11420"/>
          </w:cols>
          <w:pgMar w:left="240" w:top="122" w:right="239" w:bottom="0" w:gutter="0" w:footer="0" w:header="0"/>
        </w:sectPr>
      </w:pPr>
    </w:p>
    <w:bookmarkStart w:id="2" w:name="page3"/>
    <w:bookmarkEnd w:id="2"/>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130"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84" w:lineRule="exact"/>
        <w:rPr>
          <w:sz w:val="20"/>
          <w:szCs w:val="20"/>
          <w:color w:val="auto"/>
        </w:rPr>
      </w:pPr>
    </w:p>
    <w:p>
      <w:pPr>
        <w:spacing w:after="0" w:line="196" w:lineRule="exact"/>
        <w:tabs>
          <w:tab w:leader="none" w:pos="7280" w:val="left"/>
        </w:tabs>
        <w:rPr>
          <w:sz w:val="20"/>
          <w:szCs w:val="20"/>
          <w:color w:val="auto"/>
        </w:rPr>
      </w:pPr>
      <w:r>
        <w:rPr>
          <w:rFonts w:ascii="Arial" w:cs="Arial" w:eastAsia="Arial" w:hAnsi="Arial"/>
          <w:sz w:val="17"/>
          <w:szCs w:val="17"/>
          <w:color w:val="auto"/>
        </w:rPr>
        <w:t>Check the following box if the filing is a final amendment reporting the results of the tender offer:</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589915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47" w:right="1440"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Terms of the Transaction.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11. Additional Information.</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12.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This Amendment No. 2 amends and supplements the Tender Offer Statement on Schedule TO filed with the Securities and Exchange Commission (“SEC”) on June 18, 2010 (“Schedule TO”), as amended by Amendment No. 1 filed with the SEC on July 20, 2010 by Credit Acceptance Corporation, a Michigan corporation (“CA”), in connection with the offer by CA to purchase for cash up to 4,000,000 shares of its common stock, par value $0.01 per share, at a price of $50.00 per share, net to the seller in cash, without interest, upon and subject to the terms and conditions described in the Offer to Purchase, dated June 18, 2010 (the “Offer to Purchase”), and the related Letter of Transmittal (the “Letter of Transmittal”), which, in each case, as amended and supplemented from time to time, constitute the tender offer and which are appended to and filed with the Schedule TO as Exhibits (a)(1)(i) and (a)(1)(ii), respectively.</w:t>
      </w:r>
    </w:p>
    <w:p>
      <w:pPr>
        <w:spacing w:after="0" w:line="57" w:lineRule="exact"/>
        <w:rPr>
          <w:sz w:val="20"/>
          <w:szCs w:val="20"/>
          <w:color w:val="auto"/>
        </w:rPr>
      </w:pPr>
    </w:p>
    <w:p>
      <w:pPr>
        <w:ind w:right="160" w:firstLine="215"/>
        <w:spacing w:after="0" w:line="342" w:lineRule="auto"/>
        <w:rPr>
          <w:sz w:val="20"/>
          <w:szCs w:val="20"/>
          <w:color w:val="auto"/>
        </w:rPr>
      </w:pPr>
      <w:r>
        <w:rPr>
          <w:rFonts w:ascii="Arial" w:cs="Arial" w:eastAsia="Arial" w:hAnsi="Arial"/>
          <w:sz w:val="16"/>
          <w:szCs w:val="16"/>
          <w:color w:val="auto"/>
        </w:rPr>
        <w:t>All information in the Offer to Purchase and the Letter of Transmittal is hereby expressly incorporated in this Amendment No. 2 by reference in response to all of the applicable items in Schedule TO, except that such information is hereby amended and supplemented to the extent provided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4 is hereby amended and supplemented by adding the following information:</w:t>
      </w:r>
    </w:p>
    <w:p>
      <w:pPr>
        <w:spacing w:after="0" w:line="117" w:lineRule="exact"/>
        <w:rPr>
          <w:sz w:val="20"/>
          <w:szCs w:val="20"/>
          <w:color w:val="auto"/>
        </w:rPr>
      </w:pPr>
    </w:p>
    <w:p>
      <w:pPr>
        <w:ind w:left="240" w:right="400" w:firstLine="222"/>
        <w:spacing w:after="0" w:line="342" w:lineRule="auto"/>
        <w:rPr>
          <w:sz w:val="20"/>
          <w:szCs w:val="20"/>
          <w:color w:val="auto"/>
        </w:rPr>
      </w:pPr>
      <w:r>
        <w:rPr>
          <w:rFonts w:ascii="Arial" w:cs="Arial" w:eastAsia="Arial" w:hAnsi="Arial"/>
          <w:sz w:val="16"/>
          <w:szCs w:val="16"/>
          <w:color w:val="auto"/>
        </w:rPr>
        <w:t>The tender offer expired at 5:00 p.m., New York City time, on July 19, 2010. A total of 20,956,355 shares were properly tendered and not properly withdrawn. CA accepted for payment a total of 4,000,000 shares at a purchase price of $50.00 per share, net to the seller in cash, without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11 is hereby amended and supplemented by adding the following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23, 2010, CA issued a press release announcing the final results of the tender offer, which expired at 5:00 P.M., New York City time, on</w:t>
      </w:r>
    </w:p>
    <w:p>
      <w:pPr>
        <w:spacing w:after="0" w:line="35" w:lineRule="exact"/>
        <w:rPr>
          <w:sz w:val="20"/>
          <w:szCs w:val="20"/>
          <w:color w:val="auto"/>
        </w:rPr>
      </w:pPr>
    </w:p>
    <w:p>
      <w:pPr>
        <w:ind w:left="240" w:right="80"/>
        <w:spacing w:after="0" w:line="261" w:lineRule="auto"/>
        <w:rPr>
          <w:sz w:val="20"/>
          <w:szCs w:val="20"/>
          <w:color w:val="auto"/>
        </w:rPr>
      </w:pPr>
      <w:r>
        <w:rPr>
          <w:rFonts w:ascii="Arial" w:cs="Arial" w:eastAsia="Arial" w:hAnsi="Arial"/>
          <w:sz w:val="18"/>
          <w:szCs w:val="18"/>
          <w:color w:val="auto"/>
        </w:rPr>
        <w:t>July 19, 2010. A copy of the press release is incorporated by reference to Exhibit 99.1 to CA’s Current Report on Form 8-K filed with the SEC on July 23,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 is hereby amended and supplemented to add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3"/>
                <w:szCs w:val="13"/>
                <w:color w:val="auto"/>
              </w:rPr>
            </w:pPr>
          </w:p>
        </w:tc>
        <w:tc>
          <w:tcPr>
            <w:tcW w:w="10260" w:type="dxa"/>
            <w:vAlign w:val="bottom"/>
          </w:tcPr>
          <w:p>
            <w:pPr>
              <w:spacing w:after="0"/>
              <w:rPr>
                <w:sz w:val="13"/>
                <w:szCs w:val="13"/>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820" w:type="dxa"/>
            <w:vAlign w:val="bottom"/>
          </w:tcPr>
          <w:p>
            <w:pPr>
              <w:ind w:left="60"/>
              <w:spacing w:after="0"/>
              <w:rPr>
                <w:sz w:val="20"/>
                <w:szCs w:val="20"/>
                <w:color w:val="auto"/>
              </w:rPr>
            </w:pPr>
            <w:r>
              <w:rPr>
                <w:rFonts w:ascii="Arial" w:cs="Arial" w:eastAsia="Arial" w:hAnsi="Arial"/>
                <w:sz w:val="18"/>
                <w:szCs w:val="18"/>
                <w:color w:val="auto"/>
              </w:rPr>
              <w:t>(a)(5)(vii)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Press release announcing final results of the tender offer, dated July 23, 2010 (incorporated by reference to Exhibit 99.1 to CA’s Current</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8-K filed with the SEC on July 23, 2010).</w:t>
            </w: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76"/>
              <w:spacing w:after="0"/>
              <w:rPr>
                <w:sz w:val="20"/>
                <w:szCs w:val="20"/>
                <w:color w:val="auto"/>
              </w:rPr>
            </w:pPr>
            <w:r>
              <w:rPr>
                <w:rFonts w:ascii="Arial" w:cs="Arial" w:eastAsia="Arial" w:hAnsi="Arial"/>
                <w:sz w:val="18"/>
                <w:szCs w:val="18"/>
                <w:color w:val="auto"/>
              </w:rPr>
              <w:t>2</w:t>
            </w: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July 23, 2010</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(a)(1)(i)</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to Purchase.*</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(a)(1)(ii)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of Transmittal.*</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(a)(5)(iv)</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Participants in the Credit Acceptance 401(k) Profit Sharing Plan and Trust.*</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(a)(5)(v)</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Press release dated June 18, 2010 announcing the commencement of the offer (incorporated by reference to CA’s Form 8-K dated June 18,</w:t>
            </w: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2010).</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(a)(5)(vi)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announcing preliminary results of the tender offer, dated July 20, 2010.*</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(a)(5)(vii)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announcing final results of the tender offer, dated July 23,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Fourth Amended and Restated Credit Agreement, dated as of February 7, 2006, among CA, the Lenders which are parties thereto from time to</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time, Comerica Bank as administrative agent and Banc of America Securities LLC as sole lead arranger and sole bank manager (incorporated</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CA’s Form 8-K dated February 10, 2006).</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Amendment No. 1, dated September 20, 2006,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June 19, 2007).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2, dated January 19, 2007,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June 19, 2007).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(b)(iv)</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Amendment No. 3, dated June 14, 2007,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June 19, 2007).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4, dated January 25, 2008, to the Fourth Amended and Restated Credit Agreement as of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January 31, 2008).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Fifth Amendment, dated as of July 31, 2008, to the Fourth Amended and Restated Credit Agreement, dated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10-</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Q for the quarterly period ended September 30, 2008).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Sixth Amendment, dated as of December 9, 2008, to the Fourth Amended and Restated Credit Agreement, dated February 7, 2006, among</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CA, the Lenders which are parties thereto from time to time, and Comerica Bank as administrative agent (incorporated by reference to CA’s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(b)(viii)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Seventh Amendment, dated as of June 15, 2009, to Fourth Amended and Restated Credit Agreement, dated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June 18,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(b)(ix)</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Eighth Amendment, dated as of October 20, 2009, to the Fourth Amended and Restated Credit Agreement, dated February 7, 2006, among</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CA, the Lenders which are parties thereto from time to time, and Comerica Bank as administrative agent (incorporated by reference to CA’s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for the year ended December 31,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(b)(x)</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Ninth Amendment, dated as of February 1, 2010, to the Fourth Amended and Restated Credit Agreement, dated February 7, 2006, among CA,</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the Lenders which are parties thereto from time to time, and Comerica Bank as administrative agent (incorporated by reference to CA’s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February 5, 2010).</w:t>
            </w:r>
          </w:p>
        </w:tc>
      </w:tr>
      <w:tr>
        <w:trPr>
          <w:trHeight w:val="404"/>
        </w:trPr>
        <w:tc>
          <w:tcPr>
            <w:tcW w:w="820" w:type="dxa"/>
            <w:vAlign w:val="bottom"/>
          </w:tcPr>
          <w:p>
            <w:pPr>
              <w:spacing w:after="0"/>
              <w:rPr>
                <w:sz w:val="20"/>
                <w:szCs w:val="20"/>
                <w:color w:val="auto"/>
              </w:rPr>
            </w:pPr>
            <w:r>
              <w:rPr>
                <w:rFonts w:ascii="Arial" w:cs="Arial" w:eastAsia="Arial" w:hAnsi="Arial"/>
                <w:sz w:val="18"/>
                <w:szCs w:val="18"/>
                <w:color w:val="auto"/>
              </w:rPr>
              <w:t>(b)(xi)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Tenth Amendment, dated as of June 9, 2010, to the Fourth Amended and Restated Credit Agreement, dated February 7, 2006, among CA, the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Lenders which are parties thereto from time to time, and Comerica Bank as administrative agent (incorporated by reference to CA’s Form 8-K</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June 9,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(b)(xii)</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Fourth Amended and Restated Loan and Security Agreement, dated June 16, 2010, among the Company, CAC Warehouse Funding</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Corporation II, Variable Funding Capital Company, LLC, Wells Fargo Securities LLC and Wells Fargo Bank, National Association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CA’s Form 8-K dated June 18,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(d)(1)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Credit Acceptance Corporation Amended and Restated Incentive Compensation Plan, as amended, April 6, 2009 (incorporated by reference to</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Annex A to CA’s Definitive Proxy Statement on Schedule 14A dated April 10,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(d)(2)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Credit Acceptance Corporation 1992 Stock Option Plan, as amended and restated May 1999 (incorporated by reference to CA’s Form 10-Q</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 the quarterly period ended June 30, 1999).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(d)(3)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Credit Acceptance Corporation Director Stock Option Plan (incorporated by reference to CA’s Form 10-K for the year ended December 31,</w:t>
            </w: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77" w:lineRule="exact"/>
        <w:rPr>
          <w:sz w:val="20"/>
          <w:szCs w:val="20"/>
          <w:color w:val="auto"/>
        </w:rPr>
      </w:pPr>
    </w:p>
    <w:p>
      <w:pPr>
        <w:ind w:left="5660" w:right="2620" w:hanging="5652"/>
        <w:spacing w:after="0" w:line="481" w:lineRule="auto"/>
        <w:tabs>
          <w:tab w:leader="none" w:pos="44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99.1 to CA’s Current Report on Form 8-K filed with the SEC on July 23, 2010. 5</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2019-12-10T10:46:40Z</dcterms:created>
  <dcterms:modified xsi:type="dcterms:W3CDTF">2019-12-10T10:46:40Z</dcterms:modified>
</cp:coreProperties>
</file>