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APRIL 26, 2005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CREDIT ACCEPTANCE CORPORATION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Commission File Number 000-20202</w:t>
      </w:r>
    </w:p>
    <w:p>
      <w:pPr>
        <w:sectPr>
          <w:pgSz w:w="11900" w:h="16838" w:orient="portrait"/>
          <w:cols w:equalWidth="0" w:num="1">
            <w:col w:w="10219"/>
          </w:cols>
          <w:pgMar w:left="240" w:top="420" w:right="1440" w:bottom="1440" w:gutter="0" w:footer="0" w:header="0"/>
        </w:sectPr>
      </w:pP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MICHIGAN</w:t>
      </w:r>
    </w:p>
    <w:p>
      <w:pPr>
        <w:spacing w:after="0" w:line="3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38-1999511</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No.)</w:t>
      </w:r>
    </w:p>
    <w:p>
      <w:pPr>
        <w:spacing w:after="0" w:line="394" w:lineRule="exact"/>
        <w:rPr>
          <w:sz w:val="24"/>
          <w:szCs w:val="24"/>
          <w:color w:val="auto"/>
        </w:rPr>
      </w:pPr>
    </w:p>
    <w:p>
      <w:pPr>
        <w:sectPr>
          <w:pgSz w:w="11900" w:h="16838" w:orient="portrait"/>
          <w:cols w:equalWidth="0" w:num="2">
            <w:col w:w="3920" w:space="720"/>
            <w:col w:w="5579"/>
          </w:cols>
          <w:pgMar w:left="240" w:top="4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25505 W. TWELVE MILE ROAD, SUITE 3000</w:t>
      </w:r>
    </w:p>
    <w:p>
      <w:pPr>
        <w:spacing w:after="0" w:line="5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SOUTHFIELD,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48034-8339</w:t>
      </w:r>
    </w:p>
    <w:p>
      <w:pPr>
        <w:spacing w:after="0" w:line="3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(Zip Code)</w:t>
      </w:r>
    </w:p>
    <w:p>
      <w:pPr>
        <w:spacing w:after="0" w:line="81" w:lineRule="exact"/>
        <w:rPr>
          <w:sz w:val="24"/>
          <w:szCs w:val="24"/>
          <w:color w:val="auto"/>
        </w:rPr>
      </w:pPr>
    </w:p>
    <w:p>
      <w:pPr>
        <w:sectPr>
          <w:pgSz w:w="11900" w:h="16838" w:orient="portrait"/>
          <w:cols w:equalWidth="0" w:num="2">
            <w:col w:w="5400" w:space="720"/>
            <w:col w:w="4099"/>
          </w:cols>
          <w:pgMar w:left="240" w:top="42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0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(248) 353-2700</w:t>
      </w:r>
    </w:p>
    <w:p>
      <w:pPr>
        <w:spacing w:after="0" w:line="201"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69" w:lineRule="exact"/>
        <w:rPr>
          <w:sz w:val="24"/>
          <w:szCs w:val="24"/>
          <w:color w:val="auto"/>
        </w:rPr>
      </w:pPr>
    </w:p>
    <w:p>
      <w:pPr>
        <w:ind w:left="420" w:right="2619" w:hanging="412"/>
        <w:spacing w:after="0" w:line="347"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18" w:lineRule="exact"/>
        <w:rPr>
          <w:sz w:val="24"/>
          <w:szCs w:val="24"/>
          <w:color w:val="auto"/>
        </w:rPr>
      </w:pPr>
    </w:p>
    <w:p>
      <w:pPr>
        <w:ind w:left="420" w:right="2839" w:hanging="412"/>
        <w:spacing w:after="0" w:line="347"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140.14a-12)</w:t>
      </w:r>
    </w:p>
    <w:p>
      <w:pPr>
        <w:spacing w:after="0" w:line="18" w:lineRule="exact"/>
        <w:rPr>
          <w:sz w:val="24"/>
          <w:szCs w:val="24"/>
          <w:color w:val="auto"/>
        </w:rPr>
      </w:pPr>
    </w:p>
    <w:p>
      <w:pPr>
        <w:ind w:left="420" w:right="1779" w:hanging="412"/>
        <w:spacing w:after="0" w:line="347"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18" w:lineRule="exact"/>
        <w:rPr>
          <w:sz w:val="24"/>
          <w:szCs w:val="24"/>
          <w:color w:val="auto"/>
        </w:rPr>
      </w:pPr>
    </w:p>
    <w:p>
      <w:pPr>
        <w:ind w:left="420" w:right="1779" w:hanging="412"/>
        <w:spacing w:after="0" w:line="347"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ectPr>
          <w:pgSz w:w="11900" w:h="16838" w:orient="portrait"/>
          <w:cols w:equalWidth="0" w:num="1">
            <w:col w:w="10219"/>
          </w:cols>
          <w:pgMar w:left="240" w:top="420" w:right="1440" w:bottom="1440" w:gutter="0" w:footer="0" w:header="0"/>
          <w:type w:val="continuous"/>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ind w:right="1879" w:firstLine="948"/>
        <w:spacing w:after="0" w:line="252" w:lineRule="auto"/>
        <w:rPr>
          <w:sz w:val="20"/>
          <w:szCs w:val="20"/>
          <w:color w:val="auto"/>
        </w:rPr>
      </w:pPr>
      <w:r>
        <w:rPr>
          <w:rFonts w:ascii="Courier New" w:cs="Courier New" w:eastAsia="Courier New" w:hAnsi="Courier New"/>
          <w:sz w:val="18"/>
          <w:szCs w:val="18"/>
          <w:color w:val="auto"/>
        </w:rPr>
        <w:t>As previously announced, Credit Acceptance Corporation (the "Company") was unable to timely file its Annual Report on Form 10-K for the year ended December 31, 2004. As a result, the Company is not in compliance with certain covenants in its Sale and Servicing Agreement, dated August 25, 2004, among the Company, Credit Acceptance Auto Dealer Loan Trust 2004-1, Credit Acceptance Funding LLC 2004-1 ("Funding"), JPMorgan Chase Bank, N.A., and Systems &amp; Services Technologies, Inc., as amended (the "Sale and Servicing Agreement"), and in the agreements related thereto (together with the Sale and Servicing Agreement, the "Basic Documents").</w:t>
      </w:r>
    </w:p>
    <w:p>
      <w:pPr>
        <w:spacing w:after="0" w:line="99"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On April 26, 2005, the Company, Funding, and Radian Asset Assurance Inc., as the Controlling Party under the Basic Documents, executed a waiver whereby the Controlling Party extended the time for the required delivery of the Company's audited financial statements to May 31, 2005 and waived the defaults under the Basic Documents resulting from the Company's ongoing discussions concerning its accounting policies with Deloitte &amp; Touche LLP and the Company's resulting inability to timely file its Form 10-K and certain related matters. The waiver expires on May 31, 2005.</w:t>
      </w:r>
    </w:p>
    <w:p>
      <w:pPr>
        <w:spacing w:after="0" w:line="104" w:lineRule="exact"/>
        <w:rPr>
          <w:sz w:val="20"/>
          <w:szCs w:val="20"/>
          <w:color w:val="auto"/>
        </w:rPr>
      </w:pPr>
    </w:p>
    <w:p>
      <w:pPr>
        <w:ind w:right="1779" w:firstLine="948"/>
        <w:spacing w:after="0" w:line="256" w:lineRule="auto"/>
        <w:rPr>
          <w:sz w:val="20"/>
          <w:szCs w:val="20"/>
          <w:color w:val="auto"/>
        </w:rPr>
      </w:pPr>
      <w:r>
        <w:rPr>
          <w:rFonts w:ascii="Courier New" w:cs="Courier New" w:eastAsia="Courier New" w:hAnsi="Courier New"/>
          <w:sz w:val="18"/>
          <w:szCs w:val="18"/>
          <w:color w:val="auto"/>
        </w:rPr>
        <w:t>The Company is in the process of obtaining SEC guidance as to the proper accounting methodology in connection with how it accounts for loans. There can be no assurance as to the length of time necessary to complete this process, and the Company believes it is unlikely to be completed prior to May 31, 2005. If the Company is not able to determine the appropriate accounting policies for loans and file its Form 10-K prior to such date, it intends to seek an extension of the waiver from the Controlling Party.</w:t>
      </w:r>
    </w:p>
    <w:p>
      <w:pPr>
        <w:sectPr>
          <w:pgSz w:w="11900" w:h="16838" w:orient="portrait"/>
          <w:cols w:equalWidth="0" w:num="1">
            <w:col w:w="10219"/>
          </w:cols>
          <w:pgMar w:left="240" w:top="69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CAUTIONARY STATEMENT REGARDING FORWARD LOOKING INFORMATION</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Certain statements in this release that are not historical facts, such as those using terms like "believes," "expects," "anticipates," "assumptions," "forecasts," "estimates" and those regarding the Company's future results, plans and objectives, are "forward-looking statements" within the meaning of the federal securities laws. These forward-looking statements represent the Company's outlook only as of the date of this release. While the Company believes that its forward-looking statements are reasonable, actual results could differ materially since the statements are based on current expectations, which are subject to risks and uncertainties. Factors that might cause such a difference include the following:</w:t>
      </w:r>
    </w:p>
    <w:p>
      <w:pPr>
        <w:spacing w:after="0" w:line="104" w:lineRule="exact"/>
        <w:rPr>
          <w:sz w:val="20"/>
          <w:szCs w:val="20"/>
          <w:color w:val="auto"/>
        </w:rPr>
      </w:pPr>
    </w:p>
    <w:p>
      <w:pPr>
        <w:ind w:left="1160" w:right="1779" w:hanging="204"/>
        <w:spacing w:after="0" w:line="257"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potential inability to accurately forecast and estimate the amount and timing of future collections,</w:t>
      </w:r>
    </w:p>
    <w:p>
      <w:pPr>
        <w:ind w:left="1160" w:right="2199" w:hanging="204"/>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 from traditional financing sources and from non-traditional lenders,</w:t>
      </w:r>
    </w:p>
    <w:p>
      <w:pPr>
        <w:ind w:left="1160" w:hanging="204"/>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unavailability of funding at competitive rates of interest,</w:t>
      </w:r>
    </w:p>
    <w:p>
      <w:pPr>
        <w:ind w:left="1160" w:right="1999" w:hanging="204"/>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potential inability to continue to obtain third party financing on favorable terms,</w:t>
      </w:r>
    </w:p>
    <w:p>
      <w:pPr>
        <w:ind w:left="1160" w:right="1779" w:hanging="204"/>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potential inability to generate sufficient cash flow to service its debt and fund its future operations,</w:t>
      </w:r>
    </w:p>
    <w:p>
      <w:pPr>
        <w:ind w:left="1160" w:hanging="204"/>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changes in applicable laws and regulations,</w:t>
      </w:r>
    </w:p>
    <w:p>
      <w:pPr>
        <w:ind w:left="1160" w:hanging="204"/>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changes in economic conditions,</w:t>
      </w:r>
    </w:p>
    <w:p>
      <w:pPr>
        <w:ind w:left="1160" w:right="2199" w:hanging="204"/>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changes in the automobile or finance industries or in the non-prime consumer finance market,</w:t>
      </w:r>
    </w:p>
    <w:p>
      <w:pPr>
        <w:ind w:left="1160" w:right="1879" w:hanging="204"/>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potential inability to maintain or increase the volume of automobile loans,</w:t>
      </w:r>
    </w:p>
    <w:p>
      <w:pPr>
        <w:ind w:left="1160" w:right="2419" w:hanging="204"/>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increase in the amount or severity of litigation against the Company,</w:t>
      </w:r>
    </w:p>
    <w:p>
      <w:pPr>
        <w:ind w:left="1160" w:right="2619" w:hanging="204"/>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loss of key management personnel or the inability to hire qualified personnel,</w:t>
      </w:r>
    </w:p>
    <w:p>
      <w:pPr>
        <w:ind w:left="1160" w:hanging="204"/>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terrorist attacks and potential attacks, and</w:t>
      </w:r>
    </w:p>
    <w:p>
      <w:pPr>
        <w:ind w:left="1160" w:right="1999" w:hanging="204"/>
        <w:spacing w:after="0" w:line="309"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various other factors discussed in the Company's reports filed with the Securities and Exchange Commission.</w:t>
      </w:r>
    </w:p>
    <w:p>
      <w:pPr>
        <w:spacing w:after="0" w:line="5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Other factors not currently anticipated by management may also materially and adversely affect the Company's results of operations. The Company does not undertake, and expressly disclaims any obligation, to update or alter its statements whether as a result of new information, future events or otherwise, except as required by applicable law.</w:t>
      </w:r>
    </w:p>
    <w:p>
      <w:pPr>
        <w:spacing w:after="0" w:line="200" w:lineRule="exact"/>
        <w:rPr>
          <w:sz w:val="20"/>
          <w:szCs w:val="20"/>
          <w:color w:val="auto"/>
        </w:rPr>
      </w:pPr>
    </w:p>
    <w:p>
      <w:pPr>
        <w:spacing w:after="0" w:line="29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CREDIT ACCEPTANCE CORPORATION</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(Registrant)</w:t>
      </w:r>
    </w:p>
    <w:p>
      <w:pPr>
        <w:spacing w:after="0" w:line="169"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 /s/ Douglas W. Busk</w:t>
      </w:r>
    </w:p>
    <w:p>
      <w:pPr>
        <w:spacing w:after="0" w:line="29"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t>
      </w:r>
    </w:p>
    <w:p>
      <w:pPr>
        <w:ind w:left="4960"/>
        <w:spacing w:after="0" w:line="238" w:lineRule="auto"/>
        <w:rPr>
          <w:sz w:val="20"/>
          <w:szCs w:val="20"/>
          <w:color w:val="auto"/>
        </w:rPr>
      </w:pPr>
      <w:r>
        <w:rPr>
          <w:rFonts w:ascii="Courier New" w:cs="Courier New" w:eastAsia="Courier New" w:hAnsi="Courier New"/>
          <w:sz w:val="18"/>
          <w:szCs w:val="18"/>
          <w:color w:val="auto"/>
        </w:rPr>
        <w:t>Douglas W. Busk</w:t>
      </w:r>
    </w:p>
    <w:p>
      <w:pPr>
        <w:ind w:left="4960"/>
        <w:spacing w:after="0"/>
        <w:rPr>
          <w:sz w:val="20"/>
          <w:szCs w:val="20"/>
          <w:color w:val="auto"/>
        </w:rPr>
      </w:pPr>
      <w:r>
        <w:rPr>
          <w:rFonts w:ascii="Courier New" w:cs="Courier New" w:eastAsia="Courier New" w:hAnsi="Courier New"/>
          <w:sz w:val="18"/>
          <w:szCs w:val="18"/>
          <w:color w:val="auto"/>
        </w:rPr>
        <w:t>Treasurer</w:t>
      </w:r>
    </w:p>
    <w:p>
      <w:pPr>
        <w:ind w:left="4960"/>
        <w:spacing w:after="0"/>
        <w:rPr>
          <w:sz w:val="20"/>
          <w:szCs w:val="20"/>
          <w:color w:val="auto"/>
        </w:rPr>
      </w:pPr>
      <w:r>
        <w:rPr>
          <w:rFonts w:ascii="Courier New" w:cs="Courier New" w:eastAsia="Courier New" w:hAnsi="Courier New"/>
          <w:sz w:val="18"/>
          <w:szCs w:val="18"/>
          <w:color w:val="auto"/>
        </w:rPr>
        <w:t>April 28, 2005</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2019-12-13T22:08:33Z</dcterms:created>
  <dcterms:modified xsi:type="dcterms:W3CDTF">2019-12-13T22:08:33Z</dcterms:modified>
</cp:coreProperties>
</file>