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475105"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574675"/>
                    </a:xfrm>
                    <a:prstGeom prst="rect">
                      <a:avLst/>
                    </a:prstGeom>
                    <a:noFill/>
                  </pic:spPr>
                </pic:pic>
              </a:graphicData>
            </a:graphic>
          </wp:anchor>
        </w:drawing>
        <w:t>January 22, 2010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Mr. Kevin W. Vaughn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Credit Acceptance Corporation</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Fiscal Year Ended December 31, 2008</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10-Q for the Period Ended September 30, 2009</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0-20202</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Dear Mr. Vaughn:</w:t>
      </w:r>
    </w:p>
    <w:p>
      <w:pPr>
        <w:spacing w:after="0" w:line="11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On behalf of Credit Acceptance Corporation (referred to herein as the “Company”, “we”, “our”, or “us”), we are responding to your letter dated January 12, 2010. Your letter included one comment to which we have responded below. For your convenience, we have set forth the comment and provided our response immediately thereafter.</w:t>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Period Ended September 30, 2009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w:t>
      </w:r>
    </w:p>
    <w:p>
      <w:pPr>
        <w:spacing w:after="0" w:line="121" w:lineRule="exact"/>
        <w:rPr>
          <w:sz w:val="24"/>
          <w:szCs w:val="24"/>
          <w:color w:val="auto"/>
        </w:rPr>
      </w:pPr>
    </w:p>
    <w:p>
      <w:pPr>
        <w:ind w:left="260" w:right="220" w:hanging="252"/>
        <w:spacing w:after="0" w:line="273" w:lineRule="auto"/>
        <w:tabs>
          <w:tab w:leader="none" w:pos="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note your response to comment 2 of our letter dated December 1, 2009 regarding the change in revenue recognition methodology for your VSC Re premiums earned. You state that prior to the third quarter you used an average of the pro rata and Rule of 78 methods to recognize premium revenue. During the third quarter, you concluded that your revenue recognition did not accurately match the timing of your expected costs of servicing. As such, you changed your method to better match the timing of your revenue recognition with your expected costs of servicing, which resulted in an increase of $3.5 million in revenues based on the acceleration of the recognition timing. You also state that the change in recognition timing applied to all of your premiums in force. Please address the following regarding your response:</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 Please specifically identify </w:t>
      </w:r>
      <w:r>
        <w:rPr>
          <w:rFonts w:ascii="Arial" w:cs="Arial" w:eastAsia="Arial" w:hAnsi="Arial"/>
          <w:sz w:val="18"/>
          <w:szCs w:val="18"/>
          <w:u w:val="single" w:color="auto"/>
          <w:color w:val="auto"/>
        </w:rPr>
        <w:t>each</w:t>
      </w:r>
      <w:r>
        <w:rPr>
          <w:rFonts w:ascii="Arial" w:cs="Arial" w:eastAsia="Arial" w:hAnsi="Arial"/>
          <w:sz w:val="18"/>
          <w:szCs w:val="18"/>
          <w:color w:val="auto"/>
        </w:rPr>
        <w:t xml:space="preserve"> of the pools of contracts and how they were grouped (original contract period, etc).</w:t>
      </w:r>
    </w:p>
    <w:p>
      <w:pPr>
        <w:spacing w:after="0" w:line="117" w:lineRule="exact"/>
        <w:rPr>
          <w:sz w:val="24"/>
          <w:szCs w:val="24"/>
          <w:color w:val="auto"/>
        </w:rPr>
      </w:pPr>
    </w:p>
    <w:p>
      <w:pPr>
        <w:ind w:left="220" w:right="160"/>
        <w:spacing w:after="0" w:line="264" w:lineRule="auto"/>
        <w:rPr>
          <w:sz w:val="20"/>
          <w:szCs w:val="20"/>
          <w:color w:val="auto"/>
        </w:rPr>
      </w:pPr>
      <w:r>
        <w:rPr>
          <w:rFonts w:ascii="Arial" w:cs="Arial" w:eastAsia="Arial" w:hAnsi="Arial"/>
          <w:sz w:val="18"/>
          <w:szCs w:val="18"/>
          <w:color w:val="auto"/>
        </w:rPr>
        <w:t>We grouped our contracts by original contract term. Below is a list of our pools and the number of contracts in each pool from inception in October 2004 to July 2009. We are not aware of any other characteristics that we could use to stratify our population that would identify differing historical claims patterns.</w:t>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54"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8580" w:type="dxa"/>
            <w:vAlign w:val="bottom"/>
            <w:gridSpan w:val="3"/>
            <w:vMerge w:val="restart"/>
          </w:tcPr>
          <w:p>
            <w:pPr>
              <w:spacing w:after="0"/>
              <w:rPr>
                <w:sz w:val="20"/>
                <w:szCs w:val="20"/>
                <w:color w:val="auto"/>
              </w:rPr>
            </w:pPr>
            <w:r>
              <w:rPr>
                <w:rFonts w:ascii="Arial" w:cs="Arial" w:eastAsia="Arial" w:hAnsi="Arial"/>
                <w:sz w:val="14"/>
                <w:szCs w:val="14"/>
                <w:color w:val="auto"/>
              </w:rPr>
              <w:t>Term</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1180"/>
              <w:spacing w:after="0"/>
              <w:rPr>
                <w:sz w:val="20"/>
                <w:szCs w:val="20"/>
                <w:color w:val="auto"/>
              </w:rPr>
            </w:pPr>
            <w:r>
              <w:rPr>
                <w:rFonts w:ascii="Arial" w:cs="Arial" w:eastAsia="Arial" w:hAnsi="Arial"/>
                <w:sz w:val="14"/>
                <w:szCs w:val="14"/>
                <w:color w:val="auto"/>
              </w:rPr>
              <w:t>VSC Re</w:t>
            </w:r>
          </w:p>
        </w:tc>
        <w:tc>
          <w:tcPr>
            <w:tcW w:w="0" w:type="dxa"/>
            <w:vAlign w:val="bottom"/>
          </w:tcPr>
          <w:p>
            <w:pPr>
              <w:spacing w:after="0"/>
              <w:rPr>
                <w:sz w:val="1"/>
                <w:szCs w:val="1"/>
                <w:color w:val="auto"/>
              </w:rPr>
            </w:pPr>
          </w:p>
        </w:tc>
      </w:tr>
      <w:tr>
        <w:trPr>
          <w:trHeight w:val="142"/>
        </w:trPr>
        <w:tc>
          <w:tcPr>
            <w:tcW w:w="8580" w:type="dxa"/>
            <w:vAlign w:val="bottom"/>
            <w:gridSpan w:val="3"/>
            <w:vMerge w:val="continue"/>
          </w:tcPr>
          <w:p>
            <w:pPr>
              <w:spacing w:after="0"/>
              <w:rPr>
                <w:sz w:val="12"/>
                <w:szCs w:val="12"/>
                <w:color w:val="auto"/>
              </w:rPr>
            </w:pPr>
          </w:p>
        </w:tc>
        <w:tc>
          <w:tcPr>
            <w:tcW w:w="900" w:type="dxa"/>
            <w:vAlign w:val="bottom"/>
            <w:gridSpan w:val="2"/>
          </w:tcPr>
          <w:p>
            <w:pPr>
              <w:jc w:val="right"/>
              <w:ind w:right="170"/>
              <w:spacing w:after="0" w:line="142" w:lineRule="exact"/>
              <w:rPr>
                <w:sz w:val="20"/>
                <w:szCs w:val="20"/>
                <w:color w:val="auto"/>
              </w:rPr>
            </w:pPr>
            <w:r>
              <w:rPr>
                <w:rFonts w:ascii="Arial" w:cs="Arial" w:eastAsia="Arial" w:hAnsi="Arial"/>
                <w:sz w:val="14"/>
                <w:szCs w:val="14"/>
                <w:i w:val="1"/>
                <w:iCs w:val="1"/>
                <w:color w:val="auto"/>
              </w:rPr>
              <w:t>#</w:t>
            </w:r>
          </w:p>
        </w:tc>
        <w:tc>
          <w:tcPr>
            <w:tcW w:w="140" w:type="dxa"/>
            <w:vAlign w:val="bottom"/>
          </w:tcPr>
          <w:p>
            <w:pPr>
              <w:spacing w:after="0"/>
              <w:rPr>
                <w:sz w:val="12"/>
                <w:szCs w:val="12"/>
                <w:color w:val="auto"/>
              </w:rPr>
            </w:pPr>
          </w:p>
        </w:tc>
        <w:tc>
          <w:tcPr>
            <w:tcW w:w="1460" w:type="dxa"/>
            <w:vAlign w:val="bottom"/>
            <w:gridSpan w:val="4"/>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157,049</w:t>
            </w: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36</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13,075</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4,337</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3,990</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39</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3,547</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3,444</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3,307</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3,179</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2,819</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1,884</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1,813</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1,151</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1,015</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532</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406</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349</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349</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323</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37</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318</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229</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186</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136</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71</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44</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34</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12</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56</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55</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53</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gridSpan w:val="5"/>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205,023</w:t>
            </w: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80" w:right="420" w:hanging="272"/>
        <w:spacing w:after="0" w:line="342" w:lineRule="auto"/>
        <w:tabs>
          <w:tab w:leader="none" w:pos="2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Please tell us specifically what period (in number of months/years) you are amortizing </w:t>
      </w:r>
      <w:r>
        <w:rPr>
          <w:rFonts w:ascii="Arial" w:cs="Arial" w:eastAsia="Arial" w:hAnsi="Arial"/>
          <w:sz w:val="16"/>
          <w:szCs w:val="16"/>
          <w:u w:val="single" w:color="auto"/>
          <w:color w:val="auto"/>
        </w:rPr>
        <w:t>each</w:t>
      </w:r>
      <w:r>
        <w:rPr>
          <w:rFonts w:ascii="Arial" w:cs="Arial" w:eastAsia="Arial" w:hAnsi="Arial"/>
          <w:sz w:val="16"/>
          <w:szCs w:val="16"/>
          <w:color w:val="auto"/>
        </w:rPr>
        <w:t xml:space="preserve"> pool of contracts. For each pool, please identify what the previous amortization period was and discuss the extent to which the recognition timing was accelerated or decelerated for individual pools.</w:t>
      </w:r>
    </w:p>
    <w:p>
      <w:pPr>
        <w:spacing w:after="0" w:line="29"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8"/>
          <w:szCs w:val="18"/>
          <w:color w:val="auto"/>
        </w:rPr>
        <w:t>Both currently and previously, each pool of contracts is amortized over the original contract term on a contract by contract basis.</w:t>
      </w:r>
    </w:p>
    <w:p>
      <w:pPr>
        <w:spacing w:after="0" w:line="130" w:lineRule="exact"/>
        <w:rPr>
          <w:rFonts w:ascii="Arial" w:cs="Arial" w:eastAsia="Arial" w:hAnsi="Arial"/>
          <w:sz w:val="16"/>
          <w:szCs w:val="16"/>
          <w:color w:val="auto"/>
        </w:rPr>
      </w:pPr>
    </w:p>
    <w:p>
      <w:pPr>
        <w:ind w:left="280"/>
        <w:spacing w:after="0" w:line="259" w:lineRule="auto"/>
        <w:rPr>
          <w:rFonts w:ascii="Arial" w:cs="Arial" w:eastAsia="Arial" w:hAnsi="Arial"/>
          <w:sz w:val="16"/>
          <w:szCs w:val="16"/>
          <w:color w:val="auto"/>
        </w:rPr>
      </w:pPr>
      <w:r>
        <w:rPr>
          <w:rFonts w:ascii="Arial" w:cs="Arial" w:eastAsia="Arial" w:hAnsi="Arial"/>
          <w:sz w:val="18"/>
          <w:szCs w:val="18"/>
          <w:color w:val="auto"/>
        </w:rPr>
        <w:t>A high percentage of our contracts are either 24 month (76.6%) or 36 month (6.4%). No other pool is greater than 2.1%. We performed our analysis on the two large pools using all contracts that had matured in the last twelve months. We noted that both pools exhibit very similar patterns as indicated by the graphs and table below. We concluded based upon our analysis that it was appropriate to use an accelerated method for each of our pools based on the historical claims pattern of the 24 month and 36 month contracts, adjusted for contractual term.</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1512570</wp:posOffset>
            </wp:positionH>
            <wp:positionV relativeFrom="page">
              <wp:posOffset>620395</wp:posOffset>
            </wp:positionV>
            <wp:extent cx="4545330" cy="4768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45330" cy="4768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5"/>
              </w:rPr>
              <w:t>24 Month Term –</w:t>
            </w:r>
          </w:p>
        </w:tc>
        <w:tc>
          <w:tcPr>
            <w:tcW w:w="56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6"/>
              </w:rPr>
              <w:t>36 Month Term</w:t>
            </w:r>
          </w:p>
        </w:tc>
        <w:tc>
          <w:tcPr>
            <w:tcW w:w="0" w:type="dxa"/>
            <w:vAlign w:val="bottom"/>
          </w:tcPr>
          <w:p>
            <w:pPr>
              <w:spacing w:after="0"/>
              <w:rPr>
                <w:sz w:val="1"/>
                <w:szCs w:val="1"/>
                <w:color w:val="auto"/>
              </w:rPr>
            </w:pPr>
          </w:p>
        </w:tc>
      </w:tr>
      <w:tr>
        <w:trPr>
          <w:trHeight w:val="149"/>
        </w:trPr>
        <w:tc>
          <w:tcPr>
            <w:tcW w:w="34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Month on Book</w:t>
            </w:r>
          </w:p>
        </w:tc>
        <w:tc>
          <w:tcPr>
            <w:tcW w:w="580" w:type="dxa"/>
            <w:vAlign w:val="bottom"/>
          </w:tcPr>
          <w:p>
            <w:pPr>
              <w:spacing w:after="0"/>
              <w:rPr>
                <w:sz w:val="12"/>
                <w:szCs w:val="12"/>
                <w:color w:val="auto"/>
              </w:rPr>
            </w:pPr>
          </w:p>
        </w:tc>
        <w:tc>
          <w:tcPr>
            <w:tcW w:w="3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 of Total Claims</w:t>
            </w:r>
          </w:p>
        </w:tc>
        <w:tc>
          <w:tcPr>
            <w:tcW w:w="560" w:type="dxa"/>
            <w:vAlign w:val="bottom"/>
          </w:tcPr>
          <w:p>
            <w:pPr>
              <w:spacing w:after="0"/>
              <w:rPr>
                <w:sz w:val="12"/>
                <w:szCs w:val="12"/>
                <w:color w:val="auto"/>
              </w:rPr>
            </w:pPr>
          </w:p>
        </w:tc>
        <w:tc>
          <w:tcPr>
            <w:tcW w:w="3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 % of Total</w:t>
            </w: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Paid</w:t>
            </w:r>
          </w:p>
        </w:tc>
        <w:tc>
          <w:tcPr>
            <w:tcW w:w="56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Claims Paid</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8%</w:t>
            </w: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color w:val="auto"/>
                <w:w w:val="94"/>
              </w:rPr>
              <w:t>10%</w:t>
            </w: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9%</w:t>
            </w: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8%</w:t>
            </w: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7%</w:t>
            </w: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7%</w:t>
            </w: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7%</w:t>
            </w: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5%</w:t>
            </w: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5%</w:t>
            </w: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5%</w:t>
            </w: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4%</w:t>
            </w: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4%</w:t>
            </w: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4%</w:t>
            </w: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3%</w:t>
            </w: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2%</w:t>
            </w: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2%</w:t>
            </w: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4"/>
                <w:szCs w:val="24"/>
                <w:color w:val="auto"/>
              </w:rPr>
            </w:pPr>
          </w:p>
        </w:tc>
        <w:tc>
          <w:tcPr>
            <w:tcW w:w="400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3</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5"/>
              </w:rPr>
              <w:t>24 Month Term –</w:t>
            </w:r>
          </w:p>
        </w:tc>
        <w:tc>
          <w:tcPr>
            <w:tcW w:w="56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6"/>
              </w:rPr>
              <w:t>36 Month Term</w:t>
            </w:r>
          </w:p>
        </w:tc>
        <w:tc>
          <w:tcPr>
            <w:tcW w:w="0" w:type="dxa"/>
            <w:vAlign w:val="bottom"/>
          </w:tcPr>
          <w:p>
            <w:pPr>
              <w:spacing w:after="0"/>
              <w:rPr>
                <w:sz w:val="1"/>
                <w:szCs w:val="1"/>
                <w:color w:val="auto"/>
              </w:rPr>
            </w:pPr>
          </w:p>
        </w:tc>
      </w:tr>
      <w:tr>
        <w:trPr>
          <w:trHeight w:val="149"/>
        </w:trPr>
        <w:tc>
          <w:tcPr>
            <w:tcW w:w="3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Month on Book</w:t>
            </w:r>
          </w:p>
        </w:tc>
        <w:tc>
          <w:tcPr>
            <w:tcW w:w="580" w:type="dxa"/>
            <w:vAlign w:val="bottom"/>
          </w:tcPr>
          <w:p>
            <w:pPr>
              <w:spacing w:after="0"/>
              <w:rPr>
                <w:sz w:val="12"/>
                <w:szCs w:val="12"/>
                <w:color w:val="auto"/>
              </w:rPr>
            </w:pPr>
          </w:p>
        </w:tc>
        <w:tc>
          <w:tcPr>
            <w:tcW w:w="3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 of Total Claims</w:t>
            </w:r>
          </w:p>
        </w:tc>
        <w:tc>
          <w:tcPr>
            <w:tcW w:w="560" w:type="dxa"/>
            <w:vAlign w:val="bottom"/>
          </w:tcPr>
          <w:p>
            <w:pPr>
              <w:spacing w:after="0"/>
              <w:rPr>
                <w:sz w:val="12"/>
                <w:szCs w:val="12"/>
                <w:color w:val="auto"/>
              </w:rPr>
            </w:pPr>
          </w:p>
        </w:tc>
        <w:tc>
          <w:tcPr>
            <w:tcW w:w="3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 % of Total</w:t>
            </w: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Paid</w:t>
            </w:r>
          </w:p>
        </w:tc>
        <w:tc>
          <w:tcPr>
            <w:tcW w:w="56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Claims Paid</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2%</w:t>
            </w: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2%</w:t>
            </w: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1%</w:t>
            </w: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1%</w:t>
            </w: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1%</w:t>
            </w: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1%</w:t>
            </w: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1%</w:t>
            </w: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1%</w:t>
            </w: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5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5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5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5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5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5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9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20" w:right="60"/>
        <w:spacing w:after="0" w:line="277" w:lineRule="auto"/>
        <w:rPr>
          <w:sz w:val="20"/>
          <w:szCs w:val="20"/>
          <w:color w:val="auto"/>
        </w:rPr>
      </w:pPr>
      <w:r>
        <w:rPr>
          <w:rFonts w:ascii="Arial" w:cs="Arial" w:eastAsia="Arial" w:hAnsi="Arial"/>
          <w:sz w:val="18"/>
          <w:szCs w:val="18"/>
          <w:color w:val="auto"/>
        </w:rPr>
        <w:t>Previously we had used the average of the pro-rata and Rule of 78 methods. Below are graphs and a table that compare our newly adopted methodology of recognizing revenue in proportion to our projected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186055</wp:posOffset>
            </wp:positionV>
            <wp:extent cx="4622165" cy="2521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2216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1512570</wp:posOffset>
            </wp:positionH>
            <wp:positionV relativeFrom="page">
              <wp:posOffset>620395</wp:posOffset>
            </wp:positionV>
            <wp:extent cx="4536440" cy="23666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53644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24 Month Term</w:t>
            </w:r>
          </w:p>
        </w:tc>
        <w:tc>
          <w:tcPr>
            <w:tcW w:w="56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36 Month Term</w:t>
            </w: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00" w:type="dxa"/>
            <w:vAlign w:val="bottom"/>
            <w:vMerge w:val="restart"/>
          </w:tcPr>
          <w:p>
            <w:pPr>
              <w:jc w:val="center"/>
              <w:ind w:left="251"/>
              <w:spacing w:after="0"/>
              <w:rPr>
                <w:sz w:val="20"/>
                <w:szCs w:val="20"/>
                <w:color w:val="auto"/>
              </w:rPr>
            </w:pPr>
            <w:r>
              <w:rPr>
                <w:rFonts w:ascii="Arial" w:cs="Arial" w:eastAsia="Arial" w:hAnsi="Arial"/>
                <w:sz w:val="14"/>
                <w:szCs w:val="14"/>
                <w:b w:val="1"/>
                <w:bCs w:val="1"/>
                <w:color w:val="auto"/>
                <w:w w:val="89"/>
              </w:rPr>
              <w:t>Expected Loss</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 of Pro</w:t>
            </w:r>
          </w:p>
        </w:tc>
        <w:tc>
          <w:tcPr>
            <w:tcW w:w="560" w:type="dxa"/>
            <w:vAlign w:val="bottom"/>
          </w:tcPr>
          <w:p>
            <w:pPr>
              <w:spacing w:after="0"/>
              <w:rPr>
                <w:sz w:val="10"/>
                <w:szCs w:val="10"/>
                <w:color w:val="auto"/>
              </w:rPr>
            </w:pPr>
          </w:p>
        </w:tc>
        <w:tc>
          <w:tcPr>
            <w:tcW w:w="150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89"/>
              </w:rPr>
              <w:t>Expected Loss</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 of Pro</w:t>
            </w:r>
          </w:p>
        </w:tc>
        <w:tc>
          <w:tcPr>
            <w:tcW w:w="0" w:type="dxa"/>
            <w:vAlign w:val="bottom"/>
          </w:tcPr>
          <w:p>
            <w:pPr>
              <w:spacing w:after="0"/>
              <w:rPr>
                <w:sz w:val="1"/>
                <w:szCs w:val="1"/>
                <w:color w:val="auto"/>
              </w:rPr>
            </w:pPr>
          </w:p>
        </w:tc>
      </w:tr>
      <w:tr>
        <w:trPr>
          <w:trHeight w:val="149"/>
        </w:trPr>
        <w:tc>
          <w:tcPr>
            <w:tcW w:w="18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Month on Books</w:t>
            </w:r>
          </w:p>
        </w:tc>
        <w:tc>
          <w:tcPr>
            <w:tcW w:w="580" w:type="dxa"/>
            <w:vAlign w:val="bottom"/>
            <w:vMerge w:val="restart"/>
          </w:tcPr>
          <w:p>
            <w:pPr>
              <w:spacing w:after="0"/>
              <w:rPr>
                <w:sz w:val="12"/>
                <w:szCs w:val="12"/>
                <w:color w:val="auto"/>
              </w:rPr>
            </w:pPr>
          </w:p>
        </w:tc>
        <w:tc>
          <w:tcPr>
            <w:tcW w:w="1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Rata and Rule</w:t>
            </w:r>
          </w:p>
        </w:tc>
        <w:tc>
          <w:tcPr>
            <w:tcW w:w="5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Rata and Rule</w:t>
            </w:r>
          </w:p>
        </w:tc>
        <w:tc>
          <w:tcPr>
            <w:tcW w:w="0" w:type="dxa"/>
            <w:vAlign w:val="bottom"/>
          </w:tcPr>
          <w:p>
            <w:pPr>
              <w:spacing w:after="0"/>
              <w:rPr>
                <w:sz w:val="1"/>
                <w:szCs w:val="1"/>
                <w:color w:val="auto"/>
              </w:rPr>
            </w:pPr>
          </w:p>
        </w:tc>
      </w:tr>
      <w:tr>
        <w:trPr>
          <w:trHeight w:val="171"/>
        </w:trPr>
        <w:tc>
          <w:tcPr>
            <w:tcW w:w="1840" w:type="dxa"/>
            <w:vAlign w:val="bottom"/>
            <w:tcBorders>
              <w:bottom w:val="single" w:sz="8" w:color="auto"/>
            </w:tcBorders>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500" w:type="dxa"/>
            <w:vAlign w:val="bottom"/>
            <w:tcBorders>
              <w:bottom w:val="single" w:sz="8" w:color="auto"/>
            </w:tcBorders>
          </w:tcPr>
          <w:p>
            <w:pPr>
              <w:jc w:val="center"/>
              <w:ind w:left="251"/>
              <w:spacing w:after="0"/>
              <w:rPr>
                <w:sz w:val="20"/>
                <w:szCs w:val="20"/>
                <w:color w:val="auto"/>
              </w:rPr>
            </w:pPr>
            <w:r>
              <w:rPr>
                <w:rFonts w:ascii="Arial" w:cs="Arial" w:eastAsia="Arial" w:hAnsi="Arial"/>
                <w:sz w:val="14"/>
                <w:szCs w:val="14"/>
                <w:b w:val="1"/>
                <w:bCs w:val="1"/>
                <w:color w:val="auto"/>
                <w:w w:val="90"/>
              </w:rPr>
              <w:t>Experience</w:t>
            </w:r>
          </w:p>
        </w:tc>
        <w:tc>
          <w:tcPr>
            <w:tcW w:w="3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78 Methods</w:t>
            </w:r>
          </w:p>
        </w:tc>
        <w:tc>
          <w:tcPr>
            <w:tcW w:w="560" w:type="dxa"/>
            <w:vAlign w:val="bottom"/>
          </w:tcPr>
          <w:p>
            <w:pPr>
              <w:spacing w:after="0"/>
              <w:rPr>
                <w:sz w:val="14"/>
                <w:szCs w:val="14"/>
                <w:color w:val="auto"/>
              </w:rPr>
            </w:pPr>
          </w:p>
        </w:tc>
        <w:tc>
          <w:tcPr>
            <w:tcW w:w="15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0"/>
              </w:rPr>
              <w:t>Experience</w:t>
            </w:r>
          </w:p>
        </w:tc>
        <w:tc>
          <w:tcPr>
            <w:tcW w:w="3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78 Methods</w:t>
            </w: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2"/>
              </w:rPr>
              <w:t>8%</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6%</w:t>
            </w: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5%</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580" w:type="dxa"/>
            <w:vAlign w:val="bottom"/>
          </w:tcPr>
          <w:p>
            <w:pPr>
              <w:spacing w:after="0"/>
              <w:rPr>
                <w:sz w:val="18"/>
                <w:szCs w:val="18"/>
                <w:color w:val="auto"/>
              </w:rPr>
            </w:pPr>
          </w:p>
        </w:tc>
        <w:tc>
          <w:tcPr>
            <w:tcW w:w="1500" w:type="dxa"/>
            <w:vAlign w:val="bottom"/>
          </w:tcPr>
          <w:p>
            <w:pPr>
              <w:jc w:val="center"/>
              <w:ind w:left="251"/>
              <w:spacing w:after="0"/>
              <w:rPr>
                <w:sz w:val="20"/>
                <w:szCs w:val="20"/>
                <w:color w:val="auto"/>
              </w:rPr>
            </w:pPr>
            <w:r>
              <w:rPr>
                <w:rFonts w:ascii="Arial" w:cs="Arial" w:eastAsia="Arial" w:hAnsi="Arial"/>
                <w:sz w:val="18"/>
                <w:szCs w:val="18"/>
                <w:color w:val="auto"/>
                <w:w w:val="88"/>
              </w:rPr>
              <w:t>10%</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6%</w:t>
            </w: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8%</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2"/>
              </w:rPr>
              <w:t>9%</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6%</w:t>
            </w: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9%</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580" w:type="dxa"/>
            <w:vAlign w:val="bottom"/>
          </w:tcPr>
          <w:p>
            <w:pPr>
              <w:spacing w:after="0"/>
              <w:rPr>
                <w:sz w:val="18"/>
                <w:szCs w:val="18"/>
                <w:color w:val="auto"/>
              </w:rPr>
            </w:pPr>
          </w:p>
        </w:tc>
        <w:tc>
          <w:tcPr>
            <w:tcW w:w="1500" w:type="dxa"/>
            <w:vAlign w:val="bottom"/>
          </w:tcPr>
          <w:p>
            <w:pPr>
              <w:jc w:val="center"/>
              <w:ind w:left="251"/>
              <w:spacing w:after="0"/>
              <w:rPr>
                <w:sz w:val="20"/>
                <w:szCs w:val="20"/>
                <w:color w:val="auto"/>
              </w:rPr>
            </w:pPr>
            <w:r>
              <w:rPr>
                <w:rFonts w:ascii="Arial" w:cs="Arial" w:eastAsia="Arial" w:hAnsi="Arial"/>
                <w:sz w:val="18"/>
                <w:szCs w:val="18"/>
                <w:color w:val="auto"/>
                <w:w w:val="92"/>
              </w:rPr>
              <w:t>8%</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6%</w:t>
            </w: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7%</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2"/>
              </w:rPr>
              <w:t>7%</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5%</w:t>
            </w: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6%</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580" w:type="dxa"/>
            <w:vAlign w:val="bottom"/>
          </w:tcPr>
          <w:p>
            <w:pPr>
              <w:spacing w:after="0"/>
              <w:rPr>
                <w:sz w:val="18"/>
                <w:szCs w:val="18"/>
                <w:color w:val="auto"/>
              </w:rPr>
            </w:pPr>
          </w:p>
        </w:tc>
        <w:tc>
          <w:tcPr>
            <w:tcW w:w="1500" w:type="dxa"/>
            <w:vAlign w:val="bottom"/>
          </w:tcPr>
          <w:p>
            <w:pPr>
              <w:jc w:val="center"/>
              <w:ind w:left="251"/>
              <w:spacing w:after="0"/>
              <w:rPr>
                <w:sz w:val="20"/>
                <w:szCs w:val="20"/>
                <w:color w:val="auto"/>
              </w:rPr>
            </w:pPr>
            <w:r>
              <w:rPr>
                <w:rFonts w:ascii="Arial" w:cs="Arial" w:eastAsia="Arial" w:hAnsi="Arial"/>
                <w:sz w:val="18"/>
                <w:szCs w:val="18"/>
                <w:color w:val="auto"/>
                <w:w w:val="92"/>
              </w:rPr>
              <w:t>7%</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5%</w:t>
            </w: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8%</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2"/>
              </w:rPr>
              <w:t>7%</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5%</w:t>
            </w: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5%</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580" w:type="dxa"/>
            <w:vAlign w:val="bottom"/>
          </w:tcPr>
          <w:p>
            <w:pPr>
              <w:spacing w:after="0"/>
              <w:rPr>
                <w:sz w:val="18"/>
                <w:szCs w:val="18"/>
                <w:color w:val="auto"/>
              </w:rPr>
            </w:pPr>
          </w:p>
        </w:tc>
        <w:tc>
          <w:tcPr>
            <w:tcW w:w="1500" w:type="dxa"/>
            <w:vAlign w:val="bottom"/>
          </w:tcPr>
          <w:p>
            <w:pPr>
              <w:jc w:val="center"/>
              <w:ind w:left="251"/>
              <w:spacing w:after="0"/>
              <w:rPr>
                <w:sz w:val="20"/>
                <w:szCs w:val="20"/>
                <w:color w:val="auto"/>
              </w:rPr>
            </w:pPr>
            <w:r>
              <w:rPr>
                <w:rFonts w:ascii="Arial" w:cs="Arial" w:eastAsia="Arial" w:hAnsi="Arial"/>
                <w:sz w:val="18"/>
                <w:szCs w:val="18"/>
                <w:color w:val="auto"/>
                <w:w w:val="92"/>
              </w:rPr>
              <w:t>5%</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5%</w:t>
            </w: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5%</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2"/>
              </w:rPr>
              <w:t>5%</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5%</w:t>
            </w: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5%</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580" w:type="dxa"/>
            <w:vAlign w:val="bottom"/>
          </w:tcPr>
          <w:p>
            <w:pPr>
              <w:spacing w:after="0"/>
              <w:rPr>
                <w:sz w:val="18"/>
                <w:szCs w:val="18"/>
                <w:color w:val="auto"/>
              </w:rPr>
            </w:pPr>
          </w:p>
        </w:tc>
        <w:tc>
          <w:tcPr>
            <w:tcW w:w="1500" w:type="dxa"/>
            <w:vAlign w:val="bottom"/>
          </w:tcPr>
          <w:p>
            <w:pPr>
              <w:jc w:val="center"/>
              <w:ind w:left="251"/>
              <w:spacing w:after="0"/>
              <w:rPr>
                <w:sz w:val="20"/>
                <w:szCs w:val="20"/>
                <w:color w:val="auto"/>
              </w:rPr>
            </w:pPr>
            <w:r>
              <w:rPr>
                <w:rFonts w:ascii="Arial" w:cs="Arial" w:eastAsia="Arial" w:hAnsi="Arial"/>
                <w:sz w:val="18"/>
                <w:szCs w:val="18"/>
                <w:color w:val="auto"/>
                <w:w w:val="92"/>
              </w:rPr>
              <w:t>5%</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5%</w:t>
            </w: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5%</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2"/>
              </w:rPr>
              <w:t>4%</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4%</w:t>
            </w: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5%</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580" w:type="dxa"/>
            <w:vAlign w:val="bottom"/>
          </w:tcPr>
          <w:p>
            <w:pPr>
              <w:spacing w:after="0"/>
              <w:rPr>
                <w:sz w:val="18"/>
                <w:szCs w:val="18"/>
                <w:color w:val="auto"/>
              </w:rPr>
            </w:pPr>
          </w:p>
        </w:tc>
        <w:tc>
          <w:tcPr>
            <w:tcW w:w="1500" w:type="dxa"/>
            <w:vAlign w:val="bottom"/>
          </w:tcPr>
          <w:p>
            <w:pPr>
              <w:jc w:val="center"/>
              <w:ind w:left="251"/>
              <w:spacing w:after="0"/>
              <w:rPr>
                <w:sz w:val="20"/>
                <w:szCs w:val="20"/>
                <w:color w:val="auto"/>
              </w:rPr>
            </w:pPr>
            <w:r>
              <w:rPr>
                <w:rFonts w:ascii="Arial" w:cs="Arial" w:eastAsia="Arial" w:hAnsi="Arial"/>
                <w:sz w:val="18"/>
                <w:szCs w:val="18"/>
                <w:color w:val="auto"/>
                <w:w w:val="92"/>
              </w:rPr>
              <w:t>4%</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4%</w:t>
            </w: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4%</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2"/>
              </w:rPr>
              <w:t>4%</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4%</w:t>
            </w: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3%</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580" w:type="dxa"/>
            <w:vAlign w:val="bottom"/>
          </w:tcPr>
          <w:p>
            <w:pPr>
              <w:spacing w:after="0"/>
              <w:rPr>
                <w:sz w:val="18"/>
                <w:szCs w:val="18"/>
                <w:color w:val="auto"/>
              </w:rPr>
            </w:pPr>
          </w:p>
        </w:tc>
        <w:tc>
          <w:tcPr>
            <w:tcW w:w="1500" w:type="dxa"/>
            <w:vAlign w:val="bottom"/>
          </w:tcPr>
          <w:p>
            <w:pPr>
              <w:jc w:val="center"/>
              <w:ind w:left="251"/>
              <w:spacing w:after="0"/>
              <w:rPr>
                <w:sz w:val="20"/>
                <w:szCs w:val="20"/>
                <w:color w:val="auto"/>
              </w:rPr>
            </w:pPr>
            <w:r>
              <w:rPr>
                <w:rFonts w:ascii="Arial" w:cs="Arial" w:eastAsia="Arial" w:hAnsi="Arial"/>
                <w:sz w:val="18"/>
                <w:szCs w:val="18"/>
                <w:color w:val="auto"/>
                <w:w w:val="92"/>
              </w:rPr>
              <w:t>3%</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4%</w:t>
            </w: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2%</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2"/>
              </w:rPr>
              <w:t>2%</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4%</w:t>
            </w: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2%</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580" w:type="dxa"/>
            <w:vAlign w:val="bottom"/>
          </w:tcPr>
          <w:p>
            <w:pPr>
              <w:spacing w:after="0"/>
              <w:rPr>
                <w:sz w:val="18"/>
                <w:szCs w:val="18"/>
                <w:color w:val="auto"/>
              </w:rPr>
            </w:pPr>
          </w:p>
        </w:tc>
        <w:tc>
          <w:tcPr>
            <w:tcW w:w="1500" w:type="dxa"/>
            <w:vAlign w:val="bottom"/>
          </w:tcPr>
          <w:p>
            <w:pPr>
              <w:jc w:val="center"/>
              <w:ind w:left="251"/>
              <w:spacing w:after="0"/>
              <w:rPr>
                <w:sz w:val="20"/>
                <w:szCs w:val="20"/>
                <w:color w:val="auto"/>
              </w:rPr>
            </w:pPr>
            <w:r>
              <w:rPr>
                <w:rFonts w:ascii="Arial" w:cs="Arial" w:eastAsia="Arial" w:hAnsi="Arial"/>
                <w:sz w:val="18"/>
                <w:szCs w:val="18"/>
                <w:color w:val="auto"/>
                <w:w w:val="92"/>
              </w:rPr>
              <w:t>2%</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4%</w:t>
            </w: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2%</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2"/>
              </w:rPr>
              <w:t>2%</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3%</w:t>
            </w: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1%</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580" w:type="dxa"/>
            <w:vAlign w:val="bottom"/>
          </w:tcPr>
          <w:p>
            <w:pPr>
              <w:spacing w:after="0"/>
              <w:rPr>
                <w:sz w:val="18"/>
                <w:szCs w:val="18"/>
                <w:color w:val="auto"/>
              </w:rPr>
            </w:pPr>
          </w:p>
        </w:tc>
        <w:tc>
          <w:tcPr>
            <w:tcW w:w="1500" w:type="dxa"/>
            <w:vAlign w:val="bottom"/>
          </w:tcPr>
          <w:p>
            <w:pPr>
              <w:jc w:val="center"/>
              <w:ind w:left="251"/>
              <w:spacing w:after="0"/>
              <w:rPr>
                <w:sz w:val="20"/>
                <w:szCs w:val="20"/>
                <w:color w:val="auto"/>
              </w:rPr>
            </w:pPr>
            <w:r>
              <w:rPr>
                <w:rFonts w:ascii="Arial" w:cs="Arial" w:eastAsia="Arial" w:hAnsi="Arial"/>
                <w:sz w:val="18"/>
                <w:szCs w:val="18"/>
                <w:color w:val="auto"/>
                <w:w w:val="92"/>
              </w:rPr>
              <w:t>2%</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3%</w:t>
            </w: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2%</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2"/>
              </w:rPr>
              <w:t>1%</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3%</w:t>
            </w: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3%</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580" w:type="dxa"/>
            <w:vAlign w:val="bottom"/>
          </w:tcPr>
          <w:p>
            <w:pPr>
              <w:spacing w:after="0"/>
              <w:rPr>
                <w:sz w:val="18"/>
                <w:szCs w:val="18"/>
                <w:color w:val="auto"/>
              </w:rPr>
            </w:pPr>
          </w:p>
        </w:tc>
        <w:tc>
          <w:tcPr>
            <w:tcW w:w="1500" w:type="dxa"/>
            <w:vAlign w:val="bottom"/>
          </w:tcPr>
          <w:p>
            <w:pPr>
              <w:jc w:val="center"/>
              <w:ind w:left="251"/>
              <w:spacing w:after="0"/>
              <w:rPr>
                <w:sz w:val="20"/>
                <w:szCs w:val="20"/>
                <w:color w:val="auto"/>
              </w:rPr>
            </w:pPr>
            <w:r>
              <w:rPr>
                <w:rFonts w:ascii="Arial" w:cs="Arial" w:eastAsia="Arial" w:hAnsi="Arial"/>
                <w:sz w:val="18"/>
                <w:szCs w:val="18"/>
                <w:color w:val="auto"/>
                <w:w w:val="92"/>
              </w:rPr>
              <w:t>1%</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3%</w:t>
            </w: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2%</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2"/>
              </w:rPr>
              <w:t>1%</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3%</w:t>
            </w: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2%</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580" w:type="dxa"/>
            <w:vAlign w:val="bottom"/>
          </w:tcPr>
          <w:p>
            <w:pPr>
              <w:spacing w:after="0"/>
              <w:rPr>
                <w:sz w:val="18"/>
                <w:szCs w:val="18"/>
                <w:color w:val="auto"/>
              </w:rPr>
            </w:pPr>
          </w:p>
        </w:tc>
        <w:tc>
          <w:tcPr>
            <w:tcW w:w="1500" w:type="dxa"/>
            <w:vAlign w:val="bottom"/>
          </w:tcPr>
          <w:p>
            <w:pPr>
              <w:jc w:val="center"/>
              <w:ind w:left="251"/>
              <w:spacing w:after="0"/>
              <w:rPr>
                <w:sz w:val="20"/>
                <w:szCs w:val="20"/>
                <w:color w:val="auto"/>
              </w:rPr>
            </w:pPr>
            <w:r>
              <w:rPr>
                <w:rFonts w:ascii="Arial" w:cs="Arial" w:eastAsia="Arial" w:hAnsi="Arial"/>
                <w:sz w:val="18"/>
                <w:szCs w:val="18"/>
                <w:color w:val="auto"/>
                <w:w w:val="92"/>
              </w:rPr>
              <w:t>1%</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3%</w:t>
            </w: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1%</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2"/>
              </w:rPr>
              <w:t>1%</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2%</w:t>
            </w: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2%</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580" w:type="dxa"/>
            <w:vAlign w:val="bottom"/>
          </w:tcPr>
          <w:p>
            <w:pPr>
              <w:spacing w:after="0"/>
              <w:rPr>
                <w:sz w:val="18"/>
                <w:szCs w:val="18"/>
                <w:color w:val="auto"/>
              </w:rPr>
            </w:pPr>
          </w:p>
        </w:tc>
        <w:tc>
          <w:tcPr>
            <w:tcW w:w="1500" w:type="dxa"/>
            <w:vAlign w:val="bottom"/>
          </w:tcPr>
          <w:p>
            <w:pPr>
              <w:jc w:val="center"/>
              <w:ind w:left="251"/>
              <w:spacing w:after="0"/>
              <w:rPr>
                <w:sz w:val="20"/>
                <w:szCs w:val="20"/>
                <w:color w:val="auto"/>
              </w:rPr>
            </w:pPr>
            <w:r>
              <w:rPr>
                <w:rFonts w:ascii="Arial" w:cs="Arial" w:eastAsia="Arial" w:hAnsi="Arial"/>
                <w:sz w:val="18"/>
                <w:szCs w:val="18"/>
                <w:color w:val="auto"/>
                <w:w w:val="92"/>
              </w:rPr>
              <w:t>1%</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2%</w:t>
            </w: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1%</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1%</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1%</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1%</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1%</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1%</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1%</w:t>
            </w:r>
          </w:p>
        </w:tc>
        <w:tc>
          <w:tcPr>
            <w:tcW w:w="272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1%</w:t>
            </w:r>
          </w:p>
        </w:tc>
        <w:tc>
          <w:tcPr>
            <w:tcW w:w="2720" w:type="dxa"/>
            <w:vAlign w:val="bottom"/>
            <w:gridSpan w:val="3"/>
            <w:shd w:val="clear" w:color="auto" w:fill="CCEEFF"/>
          </w:tcPr>
          <w:p>
            <w:pPr>
              <w:jc w:val="center"/>
              <w:ind w:left="791"/>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405"/>
        </w:trPr>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20" w:type="dxa"/>
            <w:vAlign w:val="bottom"/>
            <w:gridSpan w:val="3"/>
          </w:tcPr>
          <w:p>
            <w:pPr>
              <w:jc w:val="center"/>
              <w:ind w:left="771"/>
              <w:spacing w:after="0"/>
              <w:rPr>
                <w:sz w:val="20"/>
                <w:szCs w:val="20"/>
                <w:color w:val="auto"/>
              </w:rPr>
            </w:pPr>
            <w:r>
              <w:rPr>
                <w:rFonts w:ascii="Arial" w:cs="Arial" w:eastAsia="Arial" w:hAnsi="Arial"/>
                <w:sz w:val="18"/>
                <w:szCs w:val="18"/>
                <w:color w:val="auto"/>
                <w:w w:val="99"/>
              </w:rPr>
              <w:t>5</w:t>
            </w: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8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24 Month Term</w:t>
            </w:r>
          </w:p>
        </w:tc>
        <w:tc>
          <w:tcPr>
            <w:tcW w:w="56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36 Month Term</w:t>
            </w: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0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89"/>
              </w:rPr>
              <w:t>Expected Loss</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20" w:type="dxa"/>
            <w:vAlign w:val="bottom"/>
          </w:tcPr>
          <w:p>
            <w:pPr>
              <w:ind w:left="460"/>
              <w:spacing w:after="0" w:line="119" w:lineRule="exact"/>
              <w:rPr>
                <w:sz w:val="20"/>
                <w:szCs w:val="20"/>
                <w:color w:val="auto"/>
              </w:rPr>
            </w:pPr>
            <w:r>
              <w:rPr>
                <w:rFonts w:ascii="Arial" w:cs="Arial" w:eastAsia="Arial" w:hAnsi="Arial"/>
                <w:sz w:val="13"/>
                <w:szCs w:val="13"/>
                <w:b w:val="1"/>
                <w:bCs w:val="1"/>
                <w:color w:val="auto"/>
              </w:rPr>
              <w:t>Average of Pro</w:t>
            </w:r>
          </w:p>
        </w:tc>
        <w:tc>
          <w:tcPr>
            <w:tcW w:w="560" w:type="dxa"/>
            <w:vAlign w:val="bottom"/>
          </w:tcPr>
          <w:p>
            <w:pPr>
              <w:spacing w:after="0"/>
              <w:rPr>
                <w:sz w:val="10"/>
                <w:szCs w:val="10"/>
                <w:color w:val="auto"/>
              </w:rPr>
            </w:pPr>
          </w:p>
        </w:tc>
        <w:tc>
          <w:tcPr>
            <w:tcW w:w="150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89"/>
              </w:rPr>
              <w:t>Expected Loss</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 of Pro</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Month on Books</w:t>
            </w:r>
          </w:p>
        </w:tc>
        <w:tc>
          <w:tcPr>
            <w:tcW w:w="1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Rata and Rule</w:t>
            </w:r>
          </w:p>
        </w:tc>
        <w:tc>
          <w:tcPr>
            <w:tcW w:w="5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Rata and Rule</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50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Experience</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ind w:left="480"/>
              <w:spacing w:after="0"/>
              <w:rPr>
                <w:sz w:val="20"/>
                <w:szCs w:val="20"/>
                <w:color w:val="auto"/>
              </w:rPr>
            </w:pPr>
            <w:r>
              <w:rPr>
                <w:rFonts w:ascii="Arial" w:cs="Arial" w:eastAsia="Arial" w:hAnsi="Arial"/>
                <w:sz w:val="14"/>
                <w:szCs w:val="14"/>
                <w:b w:val="1"/>
                <w:bCs w:val="1"/>
                <w:color w:val="auto"/>
              </w:rPr>
              <w:t>of 78 Methods</w:t>
            </w:r>
          </w:p>
        </w:tc>
        <w:tc>
          <w:tcPr>
            <w:tcW w:w="560" w:type="dxa"/>
            <w:vAlign w:val="bottom"/>
          </w:tcPr>
          <w:p>
            <w:pPr>
              <w:spacing w:after="0"/>
              <w:rPr>
                <w:sz w:val="14"/>
                <w:szCs w:val="14"/>
                <w:color w:val="auto"/>
              </w:rPr>
            </w:pPr>
          </w:p>
        </w:tc>
        <w:tc>
          <w:tcPr>
            <w:tcW w:w="1500" w:type="dxa"/>
            <w:vAlign w:val="bottom"/>
          </w:tcPr>
          <w:p>
            <w:pPr>
              <w:jc w:val="center"/>
              <w:ind w:left="262"/>
              <w:spacing w:after="0"/>
              <w:rPr>
                <w:sz w:val="20"/>
                <w:szCs w:val="20"/>
                <w:color w:val="auto"/>
              </w:rPr>
            </w:pPr>
            <w:r>
              <w:rPr>
                <w:rFonts w:ascii="Arial" w:cs="Arial" w:eastAsia="Arial" w:hAnsi="Arial"/>
                <w:sz w:val="14"/>
                <w:szCs w:val="14"/>
                <w:b w:val="1"/>
                <w:bCs w:val="1"/>
                <w:color w:val="auto"/>
                <w:w w:val="90"/>
              </w:rPr>
              <w:t>Experience</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of 78 Methods</w:t>
            </w:r>
          </w:p>
        </w:tc>
        <w:tc>
          <w:tcPr>
            <w:tcW w:w="0" w:type="dxa"/>
            <w:vAlign w:val="bottom"/>
          </w:tcPr>
          <w:p>
            <w:pPr>
              <w:spacing w:after="0"/>
              <w:rPr>
                <w:sz w:val="1"/>
                <w:szCs w:val="1"/>
                <w:color w:val="auto"/>
              </w:rPr>
            </w:pPr>
          </w:p>
        </w:tc>
      </w:tr>
      <w:tr>
        <w:trPr>
          <w:trHeight w:val="210"/>
        </w:trPr>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32</w:t>
            </w:r>
          </w:p>
        </w:tc>
        <w:tc>
          <w:tcPr>
            <w:tcW w:w="5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top w:val="single" w:sz="8" w:color="auto"/>
            </w:tcBorders>
          </w:tcPr>
          <w:p>
            <w:pPr>
              <w:jc w:val="center"/>
              <w:ind w:left="262"/>
              <w:spacing w:after="0"/>
              <w:rPr>
                <w:sz w:val="20"/>
                <w:szCs w:val="20"/>
                <w:color w:val="auto"/>
              </w:rPr>
            </w:pPr>
            <w:r>
              <w:rPr>
                <w:rFonts w:ascii="Arial" w:cs="Arial" w:eastAsia="Arial" w:hAnsi="Arial"/>
                <w:sz w:val="18"/>
                <w:szCs w:val="18"/>
                <w:color w:val="auto"/>
                <w:w w:val="92"/>
              </w:rPr>
              <w:t>0%</w:t>
            </w:r>
          </w:p>
        </w:tc>
        <w:tc>
          <w:tcPr>
            <w:tcW w:w="3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0%</w:t>
            </w:r>
          </w:p>
        </w:tc>
        <w:tc>
          <w:tcPr>
            <w:tcW w:w="2720" w:type="dxa"/>
            <w:vAlign w:val="bottom"/>
            <w:gridSpan w:val="3"/>
            <w:shd w:val="clear" w:color="auto" w:fill="CCEEFF"/>
          </w:tcPr>
          <w:p>
            <w:pPr>
              <w:jc w:val="center"/>
              <w:ind w:left="794"/>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1%</w:t>
            </w:r>
          </w:p>
        </w:tc>
        <w:tc>
          <w:tcPr>
            <w:tcW w:w="2720" w:type="dxa"/>
            <w:vAlign w:val="bottom"/>
            <w:gridSpan w:val="3"/>
          </w:tcPr>
          <w:p>
            <w:pPr>
              <w:jc w:val="center"/>
              <w:ind w:left="794"/>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0%</w:t>
            </w:r>
          </w:p>
        </w:tc>
        <w:tc>
          <w:tcPr>
            <w:tcW w:w="2720" w:type="dxa"/>
            <w:vAlign w:val="bottom"/>
            <w:gridSpan w:val="3"/>
            <w:shd w:val="clear" w:color="auto" w:fill="CCEEFF"/>
          </w:tcPr>
          <w:p>
            <w:pPr>
              <w:jc w:val="center"/>
              <w:ind w:left="794"/>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30"/>
        </w:trPr>
        <w:tc>
          <w:tcPr>
            <w:tcW w:w="18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6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1%</w:t>
            </w:r>
          </w:p>
        </w:tc>
        <w:tc>
          <w:tcPr>
            <w:tcW w:w="2720" w:type="dxa"/>
            <w:vAlign w:val="bottom"/>
            <w:gridSpan w:val="3"/>
          </w:tcPr>
          <w:p>
            <w:pPr>
              <w:jc w:val="center"/>
              <w:ind w:left="794"/>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60" w:right="480"/>
        <w:spacing w:after="0" w:line="277" w:lineRule="auto"/>
        <w:rPr>
          <w:sz w:val="20"/>
          <w:szCs w:val="20"/>
          <w:color w:val="auto"/>
        </w:rPr>
      </w:pPr>
      <w:r>
        <w:rPr>
          <w:rFonts w:ascii="Arial" w:cs="Arial" w:eastAsia="Arial" w:hAnsi="Arial"/>
          <w:sz w:val="18"/>
          <w:szCs w:val="18"/>
          <w:color w:val="auto"/>
        </w:rPr>
        <w:t>We will continue to monitor how our contracts are performing by pool and adjust our revenue recognition methodology in the future if the projected pattern of costs changes for certain pools or in total.</w:t>
      </w:r>
    </w:p>
    <w:p>
      <w:pPr>
        <w:spacing w:after="0" w:line="76" w:lineRule="exact"/>
        <w:rPr>
          <w:sz w:val="20"/>
          <w:szCs w:val="20"/>
          <w:color w:val="auto"/>
        </w:rPr>
      </w:pPr>
    </w:p>
    <w:p>
      <w:pPr>
        <w:ind w:left="260" w:right="8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Tell us whether, as part of your change in recognition method, you stratified your pools into smaller or different subsets. If so, please explain the extent of such changes, the nature of this stratification, and the characteristics by which they were stratified.</w:t>
      </w:r>
    </w:p>
    <w:p>
      <w:pPr>
        <w:spacing w:after="0" w:line="75" w:lineRule="exact"/>
        <w:rPr>
          <w:rFonts w:ascii="Arial" w:cs="Arial" w:eastAsia="Arial" w:hAnsi="Arial"/>
          <w:sz w:val="18"/>
          <w:szCs w:val="18"/>
          <w:color w:val="auto"/>
        </w:rPr>
      </w:pPr>
    </w:p>
    <w:p>
      <w:pPr>
        <w:ind w:left="260"/>
        <w:spacing w:after="0" w:line="255" w:lineRule="auto"/>
        <w:rPr>
          <w:rFonts w:ascii="Arial" w:cs="Arial" w:eastAsia="Arial" w:hAnsi="Arial"/>
          <w:sz w:val="18"/>
          <w:szCs w:val="18"/>
          <w:color w:val="auto"/>
        </w:rPr>
      </w:pPr>
      <w:r>
        <w:rPr>
          <w:rFonts w:ascii="Arial" w:cs="Arial" w:eastAsia="Arial" w:hAnsi="Arial"/>
          <w:sz w:val="18"/>
          <w:szCs w:val="18"/>
          <w:color w:val="auto"/>
        </w:rPr>
        <w:t>We did not stratify our pools beyond original contract term as we are not aware of any other characteristics that we could use to stratify our population that would identify differing historical claims patterns. Our main retail price schedule differentiates based upon contract term as we believe contract term to be the main driver of risk. Both the nature of our business model and policy limitations in the vehicle service contracts cause the pool of vehicles covered by our vehicle service contract product to be much more similar than the overall population of vehicles. Our financings carry high interest rates, which exclude most consumers from entering into contracts for newer or expensive vehicles. Our policy limitations exclude a variety of vehicles such as, but not limited to, vehicles more than 13 years old, vehicles with more than 8 cylinders, commercial use vehicles, electric powered vehicles, and high performance vehicles.</w:t>
      </w:r>
    </w:p>
    <w:p>
      <w:pPr>
        <w:spacing w:after="0" w:line="94" w:lineRule="exact"/>
        <w:rPr>
          <w:rFonts w:ascii="Arial" w:cs="Arial" w:eastAsia="Arial" w:hAnsi="Arial"/>
          <w:sz w:val="18"/>
          <w:szCs w:val="18"/>
          <w:color w:val="auto"/>
        </w:rPr>
      </w:pPr>
    </w:p>
    <w:p>
      <w:pPr>
        <w:ind w:left="260" w:right="40"/>
        <w:spacing w:after="0" w:line="264" w:lineRule="auto"/>
        <w:rPr>
          <w:rFonts w:ascii="Arial" w:cs="Arial" w:eastAsia="Arial" w:hAnsi="Arial"/>
          <w:sz w:val="18"/>
          <w:szCs w:val="18"/>
          <w:color w:val="auto"/>
        </w:rPr>
      </w:pPr>
      <w:r>
        <w:rPr>
          <w:rFonts w:ascii="Arial" w:cs="Arial" w:eastAsia="Arial" w:hAnsi="Arial"/>
          <w:sz w:val="18"/>
          <w:szCs w:val="18"/>
          <w:color w:val="auto"/>
        </w:rPr>
        <w:t>For new vehicle service contracts written during the quarter ended December 31, 2009, the average covered vehicle was 7 years old and had 93,000 miles. For new vehicle service contracts written during this same time period, 76% of the covered vehicles were between 5 and 10 years old and 72% had between 60,000 and 119,999 miles.</w:t>
      </w:r>
    </w:p>
    <w:p>
      <w:pPr>
        <w:spacing w:after="0" w:line="73" w:lineRule="exact"/>
        <w:rPr>
          <w:rFonts w:ascii="Arial" w:cs="Arial" w:eastAsia="Arial" w:hAnsi="Arial"/>
          <w:sz w:val="18"/>
          <w:szCs w:val="18"/>
          <w:color w:val="auto"/>
        </w:rPr>
      </w:pPr>
    </w:p>
    <w:p>
      <w:pPr>
        <w:ind w:left="260" w:right="180"/>
        <w:spacing w:after="0" w:line="264" w:lineRule="auto"/>
        <w:rPr>
          <w:rFonts w:ascii="Arial" w:cs="Arial" w:eastAsia="Arial" w:hAnsi="Arial"/>
          <w:sz w:val="18"/>
          <w:szCs w:val="18"/>
          <w:color w:val="auto"/>
        </w:rPr>
      </w:pPr>
      <w:r>
        <w:rPr>
          <w:rFonts w:ascii="Arial" w:cs="Arial" w:eastAsia="Arial" w:hAnsi="Arial"/>
          <w:sz w:val="18"/>
          <w:szCs w:val="18"/>
          <w:color w:val="auto"/>
        </w:rPr>
        <w:t>We will continue to update our analysis of historical costs under the vehicle service contract program as appropriate, including the consideration of other characteristics that may have led to different patterns of cost incurrence, and revise our revenue recognition timing for any changes in the pattern of our expected costs as they are identified.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Acknowledgement: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above responses, we acknowledge that:</w:t>
      </w:r>
    </w:p>
    <w:p>
      <w:pPr>
        <w:spacing w:after="0" w:line="11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Credit Acceptance is responsible for the adequacy and accuracy of the disclosure in the filing;</w:t>
      </w:r>
    </w:p>
    <w:p>
      <w:pPr>
        <w:spacing w:after="0" w:line="130" w:lineRule="exact"/>
        <w:rPr>
          <w:rFonts w:ascii="Arial" w:cs="Arial" w:eastAsia="Arial" w:hAnsi="Arial"/>
          <w:sz w:val="18"/>
          <w:szCs w:val="18"/>
          <w:b w:val="1"/>
          <w:bCs w:val="1"/>
          <w:color w:val="auto"/>
        </w:rPr>
      </w:pPr>
    </w:p>
    <w:p>
      <w:pPr>
        <w:ind w:left="900" w:right="240" w:hanging="446"/>
        <w:spacing w:after="0" w:line="277"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b w:val="1"/>
          <w:bCs w:val="1"/>
          <w:color w:val="auto"/>
        </w:rPr>
      </w:pPr>
    </w:p>
    <w:p>
      <w:pPr>
        <w:ind w:left="900" w:right="340" w:hanging="446"/>
        <w:spacing w:after="0" w:line="277"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Credit Acceptance may not assert staff comments as a defense in any proceeding initiated by the Commission or any person under the federal securities laws of the United States.</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believe the above responses have adequately addressed your comments. Please direct any additional questions regarding the review and this related response to me at (248) 353-2700 ext. 4575.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Kenneth S. Booth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Acceptance Corporation</w:t>
      </w:r>
    </w:p>
    <w:p>
      <w:pPr>
        <w:spacing w:after="0" w:line="211" w:lineRule="exact"/>
        <w:rPr>
          <w:sz w:val="20"/>
          <w:szCs w:val="20"/>
          <w:color w:val="auto"/>
        </w:rPr>
      </w:pPr>
    </w:p>
    <w:p>
      <w:pPr>
        <w:ind w:left="460" w:right="40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Stephanie Hunsaker, Division of Corporate Finance, U.S. Securities and Exchange Commission Vince Tomkinson, Grant Thornton LLP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11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2019-12-10T10:01:16Z</dcterms:created>
  <dcterms:modified xsi:type="dcterms:W3CDTF">2019-12-10T10:01:16Z</dcterms:modified>
</cp:coreProperties>
</file>