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 2010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gridSpan w:val="5"/>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760" w:type="dxa"/>
            <w:vAlign w:val="bottom"/>
            <w:tcBorders>
              <w:top w:val="single" w:sz="8" w:color="auto"/>
            </w:tcBorders>
          </w:tcPr>
          <w:p>
            <w:pPr>
              <w:spacing w:after="0"/>
              <w:rPr>
                <w:sz w:val="20"/>
                <w:szCs w:val="20"/>
                <w:color w:val="auto"/>
              </w:rPr>
            </w:pPr>
          </w:p>
        </w:tc>
        <w:tc>
          <w:tcPr>
            <w:tcW w:w="1660" w:type="dxa"/>
            <w:vAlign w:val="bottom"/>
          </w:tcPr>
          <w:p>
            <w:pPr>
              <w:spacing w:after="0"/>
              <w:rPr>
                <w:sz w:val="20"/>
                <w:szCs w:val="20"/>
                <w:color w:val="auto"/>
              </w:rPr>
            </w:pPr>
          </w:p>
        </w:tc>
      </w:tr>
      <w:tr>
        <w:trPr>
          <w:trHeight w:val="425"/>
        </w:trPr>
        <w:tc>
          <w:tcPr>
            <w:tcW w:w="3840" w:type="dxa"/>
            <w:vAlign w:val="bottom"/>
            <w:gridSpan w:val="3"/>
          </w:tcPr>
          <w:p>
            <w:pPr>
              <w:jc w:val="center"/>
              <w:ind w:right="400"/>
              <w:spacing w:after="0"/>
              <w:rPr>
                <w:sz w:val="20"/>
                <w:szCs w:val="20"/>
                <w:color w:val="auto"/>
              </w:rPr>
            </w:pPr>
            <w:r>
              <w:rPr>
                <w:rFonts w:ascii="Arial" w:cs="Arial" w:eastAsia="Arial" w:hAnsi="Arial"/>
                <w:sz w:val="18"/>
                <w:szCs w:val="18"/>
                <w:color w:val="auto"/>
                <w:w w:val="94"/>
              </w:rPr>
              <w:t>Michigan</w:t>
            </w:r>
          </w:p>
        </w:tc>
        <w:tc>
          <w:tcPr>
            <w:tcW w:w="36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of incorporation)</w:t>
            </w:r>
          </w:p>
        </w:tc>
        <w:tc>
          <w:tcPr>
            <w:tcW w:w="18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gridSpan w:val="3"/>
          </w:tcPr>
          <w:p>
            <w:pPr>
              <w:jc w:val="center"/>
              <w:ind w:left="1450"/>
              <w:spacing w:after="0"/>
              <w:rPr>
                <w:sz w:val="20"/>
                <w:szCs w:val="20"/>
                <w:color w:val="auto"/>
              </w:rPr>
            </w:pPr>
            <w:r>
              <w:rPr>
                <w:rFonts w:ascii="Arial" w:cs="Arial" w:eastAsia="Arial" w:hAnsi="Arial"/>
                <w:sz w:val="18"/>
                <w:szCs w:val="18"/>
                <w:color w:val="auto"/>
                <w:w w:val="90"/>
              </w:rPr>
              <w:t>25505 West Twelve Mile Road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6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3"/>
              </w:rPr>
              <w:t>Southfield, Michigan</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48034-8339</w:t>
            </w:r>
          </w:p>
        </w:tc>
        <w:tc>
          <w:tcPr>
            <w:tcW w:w="1660" w:type="dxa"/>
            <w:vAlign w:val="bottom"/>
            <w:tcBorders>
              <w:bottom w:val="single" w:sz="8" w:color="auto"/>
            </w:tcBorders>
          </w:tcPr>
          <w:p>
            <w:pPr>
              <w:spacing w:after="0"/>
              <w:rPr>
                <w:sz w:val="20"/>
                <w:szCs w:val="20"/>
                <w:color w:val="auto"/>
              </w:rPr>
            </w:pPr>
          </w:p>
        </w:tc>
      </w:tr>
      <w:tr>
        <w:trPr>
          <w:trHeight w:val="224"/>
        </w:trPr>
        <w:tc>
          <w:tcPr>
            <w:tcW w:w="542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gridSpan w:val="2"/>
          </w:tcPr>
          <w:p>
            <w:pPr>
              <w:ind w:left="300"/>
              <w:spacing w:after="0"/>
              <w:rPr>
                <w:sz w:val="20"/>
                <w:szCs w:val="20"/>
                <w:color w:val="auto"/>
              </w:rPr>
            </w:pPr>
            <w:r>
              <w:rPr>
                <w:rFonts w:ascii="Arial" w:cs="Arial" w:eastAsia="Arial" w:hAnsi="Arial"/>
                <w:sz w:val="18"/>
                <w:szCs w:val="18"/>
                <w:color w:val="auto"/>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1, 2010, Credit Acceptance Corporation (the “Company”), issued a press release announcing its financial results for the three and nine months ended September 30, 2010 and details for the related November 1, 2010 webcast. The press release is attached as Exhibit 99.1 to this Form 8-K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99.1  Press Release dated November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Kenneth S. Booth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November 1, 2010</w:t>
      </w:r>
    </w:p>
    <w:p>
      <w:pPr>
        <w:sectPr>
          <w:pgSz w:w="11900" w:h="16838" w:orient="portrait"/>
          <w:cols w:equalWidth="0" w:num="1">
            <w:col w:w="11220"/>
          </w:cols>
          <w:pgMar w:left="240" w:top="125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November 1, 2010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2010 EARNINGS</w:t>
      </w:r>
    </w:p>
    <w:p>
      <w:pPr>
        <w:spacing w:after="0" w:line="9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Southfield, Michigan — November 1, 2010 — Credit Acceptance Corporation (NASDAQ: CACC) </w:t>
      </w:r>
      <w:r>
        <w:rPr>
          <w:rFonts w:ascii="Arial" w:cs="Arial" w:eastAsia="Arial" w:hAnsi="Arial"/>
          <w:sz w:val="18"/>
          <w:szCs w:val="18"/>
          <w:color w:val="auto"/>
        </w:rPr>
        <w:t>(referred to as the “Company”, “we”, “our”, or “us”)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consolidated net income of $42.0 million, or $1.48 per diluted share, for the three months ended September 30, 2010 compared to consolidated net income of $40.7 million, or $1.29 per diluted share, for the same period in 2009. For the nine months ended September 30, 2010, consolidated net income was $123.1 million, or $4.03 per diluted share, compared to consolidated net income of $105.9 million, or $3.38 per diluted share, for the same period in 2009.</w:t>
      </w:r>
    </w:p>
    <w:p>
      <w:pPr>
        <w:spacing w:after="0" w:line="8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Adjusted net income, a non-GAAP financial measure, for the three months ended September 30, 2010 was $39.6 million, or $1.39 per diluted share, compared to $34.7 million, or $1.10 per diluted share, for the same period in 2009. For the nine months ended September 30, 2010, adjusted net income was $116.8 million, or $3.83 per diluted share, compared to adjusted net income of $89.5 million, or $2.85 per diluted share, for the same period in 2009.</w:t>
      </w:r>
    </w:p>
    <w:p>
      <w:pPr>
        <w:spacing w:after="0" w:line="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our Form 10-Q, filed today with the Securities and Exchange Commission, which will appear on our website at creditacceptance.com, for a complete discussion of the results of operations and financial data for the three and nine months ended September 30, 2010.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Details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will host a webcast on November 1, 2010 at 5:00 p.m. Eastern Time to discuss third quarter 2010 results. The webcast can be accessed live by visiting the “Investor Relations” section of our website at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 xml:space="preserve"> or by dialing 877-303-2904. Additionally, a replay and transcript of the webcast will be archived in the “Investor Relations” section of our website.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the time the consumer loan is submitted to us for assignment, we forecast future expected cash flows from the consumer loan. Based on these forecasts, an advance or one-time payment is made to the related dealer-partner at a price designed to achieve an acceptable return on capital. If consumer loan performance equals or exceeds our original expectation, it is likely our target return on capital will be achieved.</w:t>
      </w:r>
    </w:p>
    <w:p>
      <w:pPr>
        <w:spacing w:after="0" w:line="73"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September 30, 2010, with the forecasts as of June 30, 2010, as of December 31, 2009,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Forecasted Collection Percentage as of</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60" w:type="dxa"/>
            <w:vAlign w:val="bottom"/>
            <w:tcBorders>
              <w:bottom w:val="single" w:sz="8" w:color="auto"/>
            </w:tcBorders>
            <w:gridSpan w:val="5"/>
          </w:tcPr>
          <w:p>
            <w:pPr>
              <w:jc w:val="right"/>
              <w:ind w:right="304"/>
              <w:spacing w:after="0"/>
              <w:rPr>
                <w:sz w:val="20"/>
                <w:szCs w:val="20"/>
                <w:color w:val="auto"/>
              </w:rPr>
            </w:pPr>
            <w:r>
              <w:rPr>
                <w:rFonts w:ascii="Arial" w:cs="Arial" w:eastAsia="Arial" w:hAnsi="Arial"/>
                <w:sz w:val="14"/>
                <w:szCs w:val="14"/>
                <w:b w:val="1"/>
                <w:bCs w:val="1"/>
                <w:color w:val="auto"/>
              </w:rPr>
              <w:t>Variance in Forecasted Collection Percentage from</w:t>
            </w:r>
          </w:p>
        </w:tc>
        <w:tc>
          <w:tcPr>
            <w:tcW w:w="0" w:type="dxa"/>
            <w:vAlign w:val="bottom"/>
          </w:tcPr>
          <w:p>
            <w:pPr>
              <w:spacing w:after="0"/>
              <w:rPr>
                <w:sz w:val="1"/>
                <w:szCs w:val="1"/>
                <w:color w:val="auto"/>
              </w:rPr>
            </w:pPr>
          </w:p>
        </w:tc>
      </w:tr>
      <w:tr>
        <w:trPr>
          <w:trHeight w:val="119"/>
        </w:trPr>
        <w:tc>
          <w:tcPr>
            <w:tcW w:w="2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Consumer Loan Assignment Year</w:t>
            </w:r>
          </w:p>
        </w:tc>
        <w:tc>
          <w:tcPr>
            <w:tcW w:w="10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106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86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Initial</w:t>
            </w:r>
          </w:p>
        </w:tc>
        <w:tc>
          <w:tcPr>
            <w:tcW w:w="340" w:type="dxa"/>
            <w:vAlign w:val="bottom"/>
          </w:tcPr>
          <w:p>
            <w:pPr>
              <w:spacing w:after="0"/>
              <w:rPr>
                <w:sz w:val="10"/>
                <w:szCs w:val="10"/>
                <w:color w:val="auto"/>
              </w:rPr>
            </w:pPr>
          </w:p>
        </w:tc>
        <w:tc>
          <w:tcPr>
            <w:tcW w:w="960" w:type="dxa"/>
            <w:vAlign w:val="bottom"/>
          </w:tcPr>
          <w:p>
            <w:pPr>
              <w:jc w:val="right"/>
              <w:ind w:right="144"/>
              <w:spacing w:after="0" w:line="119" w:lineRule="exact"/>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10"/>
                <w:szCs w:val="10"/>
                <w:color w:val="auto"/>
              </w:rPr>
            </w:pPr>
          </w:p>
        </w:tc>
        <w:tc>
          <w:tcPr>
            <w:tcW w:w="102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980" w:type="dxa"/>
            <w:vAlign w:val="bottom"/>
          </w:tcPr>
          <w:p>
            <w:pPr>
              <w:jc w:val="right"/>
              <w:ind w:right="224"/>
              <w:spacing w:after="0" w:line="119" w:lineRule="exact"/>
              <w:rPr>
                <w:sz w:val="20"/>
                <w:szCs w:val="20"/>
                <w:color w:val="auto"/>
              </w:rPr>
            </w:pPr>
            <w:r>
              <w:rPr>
                <w:rFonts w:ascii="Arial" w:cs="Arial" w:eastAsia="Arial" w:hAnsi="Arial"/>
                <w:sz w:val="13"/>
                <w:szCs w:val="13"/>
                <w:b w:val="1"/>
                <w:bCs w:val="1"/>
                <w:color w:val="auto"/>
              </w:rPr>
              <w:t>Initial</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2010</w:t>
            </w:r>
          </w:p>
        </w:tc>
        <w:tc>
          <w:tcPr>
            <w:tcW w:w="11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138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Forecast</w:t>
            </w:r>
          </w:p>
        </w:tc>
        <w:tc>
          <w:tcPr>
            <w:tcW w:w="1300" w:type="dxa"/>
            <w:vAlign w:val="bottom"/>
            <w:gridSpan w:val="2"/>
          </w:tcPr>
          <w:p>
            <w:pPr>
              <w:jc w:val="right"/>
              <w:ind w:right="264"/>
              <w:spacing w:after="0"/>
              <w:rPr>
                <w:sz w:val="20"/>
                <w:szCs w:val="20"/>
                <w:color w:val="auto"/>
              </w:rPr>
            </w:pPr>
            <w:r>
              <w:rPr>
                <w:rFonts w:ascii="Arial" w:cs="Arial" w:eastAsia="Arial" w:hAnsi="Arial"/>
                <w:sz w:val="14"/>
                <w:szCs w:val="14"/>
                <w:b w:val="1"/>
                <w:bCs w:val="1"/>
                <w:color w:val="auto"/>
              </w:rPr>
              <w:t>2010</w:t>
            </w:r>
          </w:p>
        </w:tc>
        <w:tc>
          <w:tcPr>
            <w:tcW w:w="148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980" w:type="dxa"/>
            <w:vAlign w:val="bottom"/>
          </w:tcPr>
          <w:p>
            <w:pPr>
              <w:jc w:val="right"/>
              <w:ind w:right="144"/>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70.4%</w:t>
            </w: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70.5%</w:t>
            </w:r>
          </w:p>
        </w:tc>
        <w:tc>
          <w:tcPr>
            <w:tcW w:w="1180" w:type="dxa"/>
            <w:vAlign w:val="bottom"/>
            <w:gridSpan w:val="2"/>
          </w:tcPr>
          <w:p>
            <w:pPr>
              <w:jc w:val="right"/>
              <w:ind w:right="62"/>
              <w:spacing w:after="0"/>
              <w:rPr>
                <w:sz w:val="20"/>
                <w:szCs w:val="20"/>
                <w:color w:val="auto"/>
              </w:rPr>
            </w:pPr>
            <w:r>
              <w:rPr>
                <w:rFonts w:ascii="Arial" w:cs="Arial" w:eastAsia="Arial" w:hAnsi="Arial"/>
                <w:sz w:val="18"/>
                <w:szCs w:val="18"/>
                <w:color w:val="auto"/>
              </w:rPr>
              <w:t>70.5%</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70.4%</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67.9%</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73.7%</w:t>
            </w:r>
          </w:p>
        </w:tc>
        <w:tc>
          <w:tcPr>
            <w:tcW w:w="11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73.7%</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73.7%</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72.0%</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73.0%</w:t>
            </w:r>
          </w:p>
        </w:tc>
        <w:tc>
          <w:tcPr>
            <w:tcW w:w="1180" w:type="dxa"/>
            <w:vAlign w:val="bottom"/>
            <w:gridSpan w:val="2"/>
          </w:tcPr>
          <w:p>
            <w:pPr>
              <w:jc w:val="right"/>
              <w:ind w:right="62"/>
              <w:spacing w:after="0"/>
              <w:rPr>
                <w:sz w:val="20"/>
                <w:szCs w:val="20"/>
                <w:color w:val="auto"/>
              </w:rPr>
            </w:pPr>
            <w:r>
              <w:rPr>
                <w:rFonts w:ascii="Arial" w:cs="Arial" w:eastAsia="Arial" w:hAnsi="Arial"/>
                <w:sz w:val="18"/>
                <w:szCs w:val="18"/>
                <w:color w:val="auto"/>
              </w:rPr>
              <w:t>73.1%</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73.1%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73.0%</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73.7%</w:t>
            </w:r>
          </w:p>
        </w:tc>
        <w:tc>
          <w:tcPr>
            <w:tcW w:w="11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73.8%</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73.7%</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74.0%</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70.2%</w:t>
            </w:r>
          </w:p>
        </w:tc>
        <w:tc>
          <w:tcPr>
            <w:tcW w:w="1180" w:type="dxa"/>
            <w:vAlign w:val="bottom"/>
            <w:gridSpan w:val="2"/>
          </w:tcPr>
          <w:p>
            <w:pPr>
              <w:jc w:val="right"/>
              <w:ind w:right="62"/>
              <w:spacing w:after="0"/>
              <w:rPr>
                <w:sz w:val="20"/>
                <w:szCs w:val="20"/>
                <w:color w:val="auto"/>
              </w:rPr>
            </w:pPr>
            <w:r>
              <w:rPr>
                <w:rFonts w:ascii="Arial" w:cs="Arial" w:eastAsia="Arial" w:hAnsi="Arial"/>
                <w:sz w:val="18"/>
                <w:szCs w:val="18"/>
                <w:color w:val="auto"/>
              </w:rPr>
              <w:t>70.2%</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70.3%</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71.4%</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67.9%</w:t>
            </w:r>
          </w:p>
        </w:tc>
        <w:tc>
          <w:tcPr>
            <w:tcW w:w="11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68.0%</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68.3%</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70.7%</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-0.4%</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69.9%</w:t>
            </w:r>
          </w:p>
        </w:tc>
        <w:tc>
          <w:tcPr>
            <w:tcW w:w="1180" w:type="dxa"/>
            <w:vAlign w:val="bottom"/>
            <w:gridSpan w:val="2"/>
          </w:tcPr>
          <w:p>
            <w:pPr>
              <w:jc w:val="right"/>
              <w:ind w:right="62"/>
              <w:spacing w:after="0"/>
              <w:rPr>
                <w:sz w:val="20"/>
                <w:szCs w:val="20"/>
                <w:color w:val="auto"/>
              </w:rPr>
            </w:pPr>
            <w:r>
              <w:rPr>
                <w:rFonts w:ascii="Arial" w:cs="Arial" w:eastAsia="Arial" w:hAnsi="Arial"/>
                <w:sz w:val="18"/>
                <w:szCs w:val="18"/>
                <w:color w:val="auto"/>
              </w:rPr>
              <w:t>69.8%</w:t>
            </w:r>
          </w:p>
        </w:tc>
        <w:tc>
          <w:tcPr>
            <w:tcW w:w="1380" w:type="dxa"/>
            <w:vAlign w:val="bottom"/>
            <w:gridSpan w:val="2"/>
          </w:tcPr>
          <w:p>
            <w:pPr>
              <w:jc w:val="right"/>
              <w:ind w:right="138"/>
              <w:spacing w:after="0"/>
              <w:rPr>
                <w:sz w:val="20"/>
                <w:szCs w:val="20"/>
                <w:color w:val="auto"/>
              </w:rPr>
            </w:pPr>
            <w:r>
              <w:rPr>
                <w:rFonts w:ascii="Arial" w:cs="Arial" w:eastAsia="Arial" w:hAnsi="Arial"/>
                <w:sz w:val="18"/>
                <w:szCs w:val="18"/>
                <w:color w:val="auto"/>
              </w:rPr>
              <w:t>70.0%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69.7%</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38"/>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78.0%</w:t>
            </w:r>
          </w:p>
        </w:tc>
        <w:tc>
          <w:tcPr>
            <w:tcW w:w="11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77.2%</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75.6%</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71.9%</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0.8%</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2"/>
              </w:rPr>
              <w:t>2010 (1)</w:t>
            </w:r>
          </w:p>
        </w:tc>
        <w:tc>
          <w:tcPr>
            <w:tcW w:w="320" w:type="dxa"/>
            <w:vAlign w:val="bottom"/>
          </w:tcPr>
          <w:p>
            <w:pPr>
              <w:spacing w:after="0"/>
              <w:rPr>
                <w:sz w:val="20"/>
                <w:szCs w:val="20"/>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75.6%</w:t>
            </w:r>
          </w:p>
        </w:tc>
        <w:tc>
          <w:tcPr>
            <w:tcW w:w="1180" w:type="dxa"/>
            <w:vAlign w:val="bottom"/>
            <w:gridSpan w:val="2"/>
          </w:tcPr>
          <w:p>
            <w:pPr>
              <w:jc w:val="right"/>
              <w:ind w:right="62"/>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20"/>
                <w:szCs w:val="20"/>
                <w:color w:val="auto"/>
              </w:rPr>
            </w:pPr>
          </w:p>
        </w:tc>
        <w:tc>
          <w:tcPr>
            <w:tcW w:w="106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73.5%</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0"/>
                <w:szCs w:val="20"/>
                <w:color w:val="auto"/>
              </w:rPr>
            </w:pPr>
          </w:p>
        </w:tc>
        <w:tc>
          <w:tcPr>
            <w:tcW w:w="10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forecasted collection rate for 2010 consumer loans as of September 30, 2010 includes both consumer loans that were in our portfolio as of June 30,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2010 and consumer loans assigned during the most recent quarter. The following table provides forecasted collection rates for each of these segments: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Forecasted Collection Percentage as of</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2010 Consumer Loan Assignment Period</w:t>
            </w:r>
          </w:p>
        </w:tc>
        <w:tc>
          <w:tcPr>
            <w:tcW w:w="880" w:type="dxa"/>
            <w:vAlign w:val="bottom"/>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0"/>
                <w:szCs w:val="10"/>
                <w:color w:val="auto"/>
              </w:rPr>
            </w:pPr>
          </w:p>
        </w:tc>
        <w:tc>
          <w:tcPr>
            <w:tcW w:w="8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0"/>
                <w:szCs w:val="10"/>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48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1, 2010 through June 30, 2010</w:t>
            </w:r>
          </w:p>
        </w:tc>
        <w:tc>
          <w:tcPr>
            <w:tcW w:w="56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76.4%</w:t>
            </w:r>
          </w:p>
        </w:tc>
        <w:tc>
          <w:tcPr>
            <w:tcW w:w="620" w:type="dxa"/>
            <w:vAlign w:val="bottom"/>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75.3%</w:t>
            </w:r>
          </w:p>
        </w:tc>
        <w:tc>
          <w:tcPr>
            <w:tcW w:w="560" w:type="dxa"/>
            <w:vAlign w:val="bottom"/>
          </w:tcPr>
          <w:p>
            <w:pPr>
              <w:spacing w:after="0"/>
              <w:rPr>
                <w:sz w:val="16"/>
                <w:szCs w:val="16"/>
                <w:color w:val="auto"/>
              </w:rPr>
            </w:pPr>
          </w:p>
        </w:tc>
        <w:tc>
          <w:tcPr>
            <w:tcW w:w="800" w:type="dxa"/>
            <w:vAlign w:val="bottom"/>
            <w:tcBorders>
              <w:top w:val="single" w:sz="8" w:color="auto"/>
            </w:tcBorders>
          </w:tcPr>
          <w:p>
            <w:pPr>
              <w:jc w:val="right"/>
              <w:ind w:right="136"/>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color w:val="auto"/>
              </w:rPr>
              <w:t>July 1, 2010 through September 30, 2010</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73.9%</w:t>
            </w:r>
          </w:p>
        </w:tc>
        <w:tc>
          <w:tcPr>
            <w:tcW w:w="6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Consumer loans assigned in 2002, 2003, 2008, 2009 and 2010 have performed better than our initial expectations while consumer loans assigned in 2001, 2005, 2006 and 2007 have performed worse. During the third quarter of 2010, forecasted collection rates increased for consumer loans assigned during 2009 and 2010 and were consistent with expectations at the start of the period for other assignment years. During the first nine months of 2010, forecasted collection rates increased for consumer loans assigned in 2009 and 2010, and decreased for 2007 consumer loan assignments.</w:t>
      </w:r>
    </w:p>
    <w:p>
      <w:pPr>
        <w:spacing w:after="0" w:line="4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Forecasting collection rates precisely at loan inception is difficult. With this in mind, we have established advance rates that are intended to allow us to achieve acceptable levels of profitability, even if collection rates are less than we currently forecast.</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September 30, 2010. Payments of dealer holdback and accelerated dealer holdback are not included in the advance percentage paid to the dealer-partner. All amounts, unless otherwise noted, are presented as a percentage of the initial balance of the consumer loan (principal + interest). The table includes both dealer loans and purchased loans.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2840" w:type="dxa"/>
            <w:vAlign w:val="bottom"/>
            <w:gridSpan w:val="2"/>
            <w:vMerge w:val="restart"/>
          </w:tcPr>
          <w:p>
            <w:pPr>
              <w:jc w:val="center"/>
              <w:ind w:right="1500"/>
              <w:spacing w:after="0"/>
              <w:rPr>
                <w:sz w:val="20"/>
                <w:szCs w:val="20"/>
                <w:color w:val="auto"/>
              </w:rPr>
            </w:pPr>
            <w:r>
              <w:rPr>
                <w:rFonts w:ascii="Arial" w:cs="Arial" w:eastAsia="Arial" w:hAnsi="Arial"/>
                <w:sz w:val="14"/>
                <w:szCs w:val="14"/>
                <w:b w:val="1"/>
                <w:bCs w:val="1"/>
                <w:color w:val="auto"/>
                <w:w w:val="91"/>
              </w:rPr>
              <w:t>Consumer Loan</w:t>
            </w: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w w:val="94"/>
              </w:rPr>
              <w:t>As of September 30, 2010</w:t>
            </w:r>
          </w:p>
        </w:tc>
        <w:tc>
          <w:tcPr>
            <w:tcW w:w="1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gridSpan w:val="2"/>
            <w:vMerge w:val="continue"/>
          </w:tcPr>
          <w:p>
            <w:pPr>
              <w:spacing w:after="0"/>
              <w:rPr>
                <w:sz w:val="10"/>
                <w:szCs w:val="10"/>
                <w:color w:val="auto"/>
              </w:rPr>
            </w:pPr>
          </w:p>
        </w:tc>
        <w:tc>
          <w:tcPr>
            <w:tcW w:w="10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Forecasted</w:t>
            </w:r>
          </w:p>
        </w:tc>
        <w:tc>
          <w:tcPr>
            <w:tcW w:w="15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Advance %</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Spread %</w:t>
            </w:r>
          </w:p>
        </w:tc>
        <w:tc>
          <w:tcPr>
            <w:tcW w:w="1540" w:type="dxa"/>
            <w:vAlign w:val="bottom"/>
          </w:tcPr>
          <w:p>
            <w:pPr>
              <w:spacing w:after="0"/>
              <w:rPr>
                <w:sz w:val="10"/>
                <w:szCs w:val="10"/>
                <w:color w:val="auto"/>
              </w:rPr>
            </w:pPr>
          </w:p>
        </w:tc>
        <w:tc>
          <w:tcPr>
            <w:tcW w:w="10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Assignment Year</w:t>
            </w:r>
          </w:p>
        </w:tc>
        <w:tc>
          <w:tcPr>
            <w:tcW w:w="1500" w:type="dxa"/>
            <w:vAlign w:val="bottom"/>
          </w:tcPr>
          <w:p>
            <w:pPr>
              <w:spacing w:after="0"/>
              <w:rPr>
                <w:sz w:val="14"/>
                <w:szCs w:val="14"/>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Collection %</w:t>
            </w:r>
          </w:p>
        </w:tc>
        <w:tc>
          <w:tcPr>
            <w:tcW w:w="152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Realized (1)</w:t>
            </w: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67.5%</w:t>
            </w:r>
          </w:p>
        </w:tc>
        <w:tc>
          <w:tcPr>
            <w:tcW w:w="2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46.0%</w:t>
            </w:r>
          </w:p>
        </w:tc>
        <w:tc>
          <w:tcPr>
            <w:tcW w:w="26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21.5%</w:t>
            </w:r>
          </w:p>
        </w:tc>
        <w:tc>
          <w:tcPr>
            <w:tcW w:w="25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50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70.5%</w:t>
            </w:r>
          </w:p>
        </w:tc>
        <w:tc>
          <w:tcPr>
            <w:tcW w:w="2440" w:type="dxa"/>
            <w:vAlign w:val="bottom"/>
            <w:gridSpan w:val="2"/>
          </w:tcPr>
          <w:p>
            <w:pPr>
              <w:jc w:val="right"/>
              <w:ind w:right="48"/>
              <w:spacing w:after="0"/>
              <w:rPr>
                <w:sz w:val="20"/>
                <w:szCs w:val="20"/>
                <w:color w:val="auto"/>
              </w:rPr>
            </w:pPr>
            <w:r>
              <w:rPr>
                <w:rFonts w:ascii="Arial" w:cs="Arial" w:eastAsia="Arial" w:hAnsi="Arial"/>
                <w:sz w:val="18"/>
                <w:szCs w:val="18"/>
                <w:color w:val="auto"/>
              </w:rPr>
              <w:t>42.2%</w:t>
            </w:r>
          </w:p>
        </w:tc>
        <w:tc>
          <w:tcPr>
            <w:tcW w:w="2600" w:type="dxa"/>
            <w:vAlign w:val="bottom"/>
            <w:gridSpan w:val="3"/>
          </w:tcPr>
          <w:p>
            <w:pPr>
              <w:jc w:val="right"/>
              <w:ind w:right="108"/>
              <w:spacing w:after="0"/>
              <w:rPr>
                <w:sz w:val="20"/>
                <w:szCs w:val="20"/>
                <w:color w:val="auto"/>
              </w:rPr>
            </w:pPr>
            <w:r>
              <w:rPr>
                <w:rFonts w:ascii="Arial" w:cs="Arial" w:eastAsia="Arial" w:hAnsi="Arial"/>
                <w:sz w:val="18"/>
                <w:szCs w:val="18"/>
                <w:color w:val="auto"/>
              </w:rPr>
              <w:t>28.3%</w:t>
            </w:r>
          </w:p>
        </w:tc>
        <w:tc>
          <w:tcPr>
            <w:tcW w:w="2540" w:type="dxa"/>
            <w:vAlign w:val="bottom"/>
            <w:gridSpan w:val="2"/>
          </w:tcPr>
          <w:p>
            <w:pPr>
              <w:jc w:val="right"/>
              <w:ind w:right="1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73.7%</w:t>
            </w:r>
          </w:p>
        </w:tc>
        <w:tc>
          <w:tcPr>
            <w:tcW w:w="2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43.4%</w:t>
            </w:r>
          </w:p>
        </w:tc>
        <w:tc>
          <w:tcPr>
            <w:tcW w:w="26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30.3%</w:t>
            </w:r>
          </w:p>
        </w:tc>
        <w:tc>
          <w:tcPr>
            <w:tcW w:w="25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50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73.0%</w:t>
            </w:r>
          </w:p>
        </w:tc>
        <w:tc>
          <w:tcPr>
            <w:tcW w:w="2440" w:type="dxa"/>
            <w:vAlign w:val="bottom"/>
            <w:gridSpan w:val="2"/>
          </w:tcPr>
          <w:p>
            <w:pPr>
              <w:jc w:val="right"/>
              <w:ind w:right="48"/>
              <w:spacing w:after="0"/>
              <w:rPr>
                <w:sz w:val="20"/>
                <w:szCs w:val="20"/>
                <w:color w:val="auto"/>
              </w:rPr>
            </w:pPr>
            <w:r>
              <w:rPr>
                <w:rFonts w:ascii="Arial" w:cs="Arial" w:eastAsia="Arial" w:hAnsi="Arial"/>
                <w:sz w:val="18"/>
                <w:szCs w:val="18"/>
                <w:color w:val="auto"/>
              </w:rPr>
              <w:t>44.0%</w:t>
            </w:r>
          </w:p>
        </w:tc>
        <w:tc>
          <w:tcPr>
            <w:tcW w:w="2600" w:type="dxa"/>
            <w:vAlign w:val="bottom"/>
            <w:gridSpan w:val="3"/>
          </w:tcPr>
          <w:p>
            <w:pPr>
              <w:jc w:val="right"/>
              <w:ind w:right="108"/>
              <w:spacing w:after="0"/>
              <w:rPr>
                <w:sz w:val="20"/>
                <w:szCs w:val="20"/>
                <w:color w:val="auto"/>
              </w:rPr>
            </w:pPr>
            <w:r>
              <w:rPr>
                <w:rFonts w:ascii="Arial" w:cs="Arial" w:eastAsia="Arial" w:hAnsi="Arial"/>
                <w:sz w:val="18"/>
                <w:szCs w:val="18"/>
                <w:color w:val="auto"/>
              </w:rPr>
              <w:t>29.0%</w:t>
            </w:r>
          </w:p>
        </w:tc>
        <w:tc>
          <w:tcPr>
            <w:tcW w:w="2540" w:type="dxa"/>
            <w:vAlign w:val="bottom"/>
            <w:gridSpan w:val="2"/>
          </w:tcPr>
          <w:p>
            <w:pPr>
              <w:jc w:val="right"/>
              <w:ind w:right="1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73.7%</w:t>
            </w:r>
          </w:p>
        </w:tc>
        <w:tc>
          <w:tcPr>
            <w:tcW w:w="2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46.9%</w:t>
            </w:r>
          </w:p>
        </w:tc>
        <w:tc>
          <w:tcPr>
            <w:tcW w:w="26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26.8%</w:t>
            </w:r>
          </w:p>
        </w:tc>
        <w:tc>
          <w:tcPr>
            <w:tcW w:w="25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50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70.2%</w:t>
            </w:r>
          </w:p>
        </w:tc>
        <w:tc>
          <w:tcPr>
            <w:tcW w:w="2440" w:type="dxa"/>
            <w:vAlign w:val="bottom"/>
            <w:gridSpan w:val="2"/>
          </w:tcPr>
          <w:p>
            <w:pPr>
              <w:jc w:val="right"/>
              <w:ind w:right="48"/>
              <w:spacing w:after="0"/>
              <w:rPr>
                <w:sz w:val="20"/>
                <w:szCs w:val="20"/>
                <w:color w:val="auto"/>
              </w:rPr>
            </w:pPr>
            <w:r>
              <w:rPr>
                <w:rFonts w:ascii="Arial" w:cs="Arial" w:eastAsia="Arial" w:hAnsi="Arial"/>
                <w:sz w:val="18"/>
                <w:szCs w:val="18"/>
                <w:color w:val="auto"/>
              </w:rPr>
              <w:t>46.6%</w:t>
            </w:r>
          </w:p>
        </w:tc>
        <w:tc>
          <w:tcPr>
            <w:tcW w:w="2600" w:type="dxa"/>
            <w:vAlign w:val="bottom"/>
            <w:gridSpan w:val="3"/>
          </w:tcPr>
          <w:p>
            <w:pPr>
              <w:jc w:val="right"/>
              <w:ind w:right="108"/>
              <w:spacing w:after="0"/>
              <w:rPr>
                <w:sz w:val="20"/>
                <w:szCs w:val="20"/>
                <w:color w:val="auto"/>
              </w:rPr>
            </w:pPr>
            <w:r>
              <w:rPr>
                <w:rFonts w:ascii="Arial" w:cs="Arial" w:eastAsia="Arial" w:hAnsi="Arial"/>
                <w:sz w:val="18"/>
                <w:szCs w:val="18"/>
                <w:color w:val="auto"/>
              </w:rPr>
              <w:t>23.6%</w:t>
            </w:r>
          </w:p>
        </w:tc>
        <w:tc>
          <w:tcPr>
            <w:tcW w:w="2540" w:type="dxa"/>
            <w:vAlign w:val="bottom"/>
            <w:gridSpan w:val="2"/>
          </w:tcPr>
          <w:p>
            <w:pPr>
              <w:jc w:val="right"/>
              <w:ind w:right="111"/>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67.9%</w:t>
            </w:r>
          </w:p>
        </w:tc>
        <w:tc>
          <w:tcPr>
            <w:tcW w:w="2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46.5%</w:t>
            </w:r>
          </w:p>
        </w:tc>
        <w:tc>
          <w:tcPr>
            <w:tcW w:w="26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21.4%</w:t>
            </w:r>
          </w:p>
        </w:tc>
        <w:tc>
          <w:tcPr>
            <w:tcW w:w="25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0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69.9%</w:t>
            </w:r>
          </w:p>
        </w:tc>
        <w:tc>
          <w:tcPr>
            <w:tcW w:w="2440" w:type="dxa"/>
            <w:vAlign w:val="bottom"/>
            <w:gridSpan w:val="2"/>
          </w:tcPr>
          <w:p>
            <w:pPr>
              <w:jc w:val="right"/>
              <w:ind w:right="48"/>
              <w:spacing w:after="0"/>
              <w:rPr>
                <w:sz w:val="20"/>
                <w:szCs w:val="20"/>
                <w:color w:val="auto"/>
              </w:rPr>
            </w:pPr>
            <w:r>
              <w:rPr>
                <w:rFonts w:ascii="Arial" w:cs="Arial" w:eastAsia="Arial" w:hAnsi="Arial"/>
                <w:sz w:val="18"/>
                <w:szCs w:val="18"/>
                <w:color w:val="auto"/>
              </w:rPr>
              <w:t>44.6%</w:t>
            </w:r>
          </w:p>
        </w:tc>
        <w:tc>
          <w:tcPr>
            <w:tcW w:w="2600" w:type="dxa"/>
            <w:vAlign w:val="bottom"/>
            <w:gridSpan w:val="3"/>
          </w:tcPr>
          <w:p>
            <w:pPr>
              <w:jc w:val="right"/>
              <w:ind w:right="108"/>
              <w:spacing w:after="0"/>
              <w:rPr>
                <w:sz w:val="20"/>
                <w:szCs w:val="20"/>
                <w:color w:val="auto"/>
              </w:rPr>
            </w:pPr>
            <w:r>
              <w:rPr>
                <w:rFonts w:ascii="Arial" w:cs="Arial" w:eastAsia="Arial" w:hAnsi="Arial"/>
                <w:sz w:val="18"/>
                <w:szCs w:val="18"/>
                <w:color w:val="auto"/>
              </w:rPr>
              <w:t>25.3%</w:t>
            </w:r>
          </w:p>
        </w:tc>
        <w:tc>
          <w:tcPr>
            <w:tcW w:w="2540" w:type="dxa"/>
            <w:vAlign w:val="bottom"/>
            <w:gridSpan w:val="2"/>
          </w:tcPr>
          <w:p>
            <w:pPr>
              <w:jc w:val="right"/>
              <w:ind w:right="11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78.0%</w:t>
            </w:r>
          </w:p>
        </w:tc>
        <w:tc>
          <w:tcPr>
            <w:tcW w:w="2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43.9%</w:t>
            </w:r>
          </w:p>
        </w:tc>
        <w:tc>
          <w:tcPr>
            <w:tcW w:w="26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34.1%</w:t>
            </w:r>
          </w:p>
        </w:tc>
        <w:tc>
          <w:tcPr>
            <w:tcW w:w="25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00" w:type="dxa"/>
            <w:vAlign w:val="bottom"/>
          </w:tcPr>
          <w:p>
            <w:pPr>
              <w:spacing w:after="0"/>
              <w:rPr>
                <w:sz w:val="20"/>
                <w:szCs w:val="20"/>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75.6%</w:t>
            </w:r>
          </w:p>
        </w:tc>
        <w:tc>
          <w:tcPr>
            <w:tcW w:w="2440" w:type="dxa"/>
            <w:vAlign w:val="bottom"/>
            <w:gridSpan w:val="2"/>
          </w:tcPr>
          <w:p>
            <w:pPr>
              <w:jc w:val="right"/>
              <w:ind w:right="48"/>
              <w:spacing w:after="0"/>
              <w:rPr>
                <w:sz w:val="20"/>
                <w:szCs w:val="20"/>
                <w:color w:val="auto"/>
              </w:rPr>
            </w:pPr>
            <w:r>
              <w:rPr>
                <w:rFonts w:ascii="Arial" w:cs="Arial" w:eastAsia="Arial" w:hAnsi="Arial"/>
                <w:sz w:val="18"/>
                <w:szCs w:val="18"/>
                <w:color w:val="auto"/>
              </w:rPr>
              <w:t>44.7%</w:t>
            </w:r>
          </w:p>
        </w:tc>
        <w:tc>
          <w:tcPr>
            <w:tcW w:w="2600" w:type="dxa"/>
            <w:vAlign w:val="bottom"/>
            <w:gridSpan w:val="3"/>
          </w:tcPr>
          <w:p>
            <w:pPr>
              <w:jc w:val="right"/>
              <w:ind w:right="108"/>
              <w:spacing w:after="0"/>
              <w:rPr>
                <w:sz w:val="20"/>
                <w:szCs w:val="20"/>
                <w:color w:val="auto"/>
              </w:rPr>
            </w:pPr>
            <w:r>
              <w:rPr>
                <w:rFonts w:ascii="Arial" w:cs="Arial" w:eastAsia="Arial" w:hAnsi="Arial"/>
                <w:sz w:val="18"/>
                <w:szCs w:val="18"/>
                <w:color w:val="auto"/>
              </w:rPr>
              <w:t>30.9%</w:t>
            </w:r>
          </w:p>
        </w:tc>
        <w:tc>
          <w:tcPr>
            <w:tcW w:w="2540" w:type="dxa"/>
            <w:vAlign w:val="bottom"/>
            <w:gridSpan w:val="2"/>
          </w:tcPr>
          <w:p>
            <w:pPr>
              <w:jc w:val="right"/>
              <w:ind w:right="1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as a percentage of total forecasted collections.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2006 and prior consumer loan assignments, the risk of a material forecast variance is modest, as we have currently realized in excess of 95% of the expected collections. Conversely, the forecasted collection rates for more recent consumer loan assignments are less certain as a significant portion of our forecast has not been realized.</w:t>
      </w:r>
    </w:p>
    <w:p>
      <w:pPr>
        <w:spacing w:after="0" w:line="5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spread between the forecasted collection rate and the advance rate declined during the 2004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We increased advance rates during the last four months of 2009 and the first quarter of 2010. The decline in the spread for 2010 reflects these increases.</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presents forecasted consumer loan collection rates, advance rates (includes amounts paid to acquire purchased loans), and the spread (the forecasted collection rate less the advance rate) as of September 30, 2010 for purchased loans and dealer loans separately. Payments of dealer holdback and accelerated dealer holdback are not included in the advance percentage paid to the dealer-partner. All amounts are presented as a percentage of the initial balance of the consumer loan (principal +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Consumer Loan</w:t>
            </w:r>
          </w:p>
        </w:tc>
        <w:tc>
          <w:tcPr>
            <w:tcW w:w="14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Forecasted</w:t>
            </w:r>
          </w:p>
        </w:tc>
        <w:tc>
          <w:tcPr>
            <w:tcW w:w="146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Advance %</w:t>
            </w:r>
          </w:p>
        </w:tc>
        <w:tc>
          <w:tcPr>
            <w:tcW w:w="1460" w:type="dxa"/>
            <w:vAlign w:val="bottom"/>
          </w:tcPr>
          <w:p>
            <w:pPr>
              <w:spacing w:after="0"/>
              <w:rPr>
                <w:sz w:val="14"/>
                <w:szCs w:val="14"/>
                <w:color w:val="auto"/>
              </w:rPr>
            </w:pP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146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Collection %</w:t>
            </w:r>
          </w:p>
        </w:tc>
        <w:tc>
          <w:tcPr>
            <w:tcW w:w="146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68.0%</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48.6%</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68.9%</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46.2%</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77.9%</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44.6%</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75.8%</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47.0%</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67.9%</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45.9%</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70.5%</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43.6%</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78.0%</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43.7%</w:t>
            </w:r>
          </w:p>
        </w:tc>
        <w:tc>
          <w:tcPr>
            <w:tcW w:w="2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75.6%</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44.4%</w:t>
            </w:r>
          </w:p>
        </w:tc>
        <w:tc>
          <w:tcPr>
            <w:tcW w:w="2460" w:type="dxa"/>
            <w:vAlign w:val="bottom"/>
            <w:gridSpan w:val="2"/>
          </w:tcPr>
          <w:p>
            <w:pPr>
              <w:jc w:val="right"/>
              <w:ind w:right="108"/>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seven quarters as compared to the same period in the previous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vMerge w:val="restart"/>
          </w:tcPr>
          <w:p>
            <w:pPr>
              <w:ind w:left="34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vMerge w:val="restart"/>
          </w:tcPr>
          <w:p>
            <w:pPr>
              <w:spacing w:after="0"/>
              <w:rPr>
                <w:sz w:val="14"/>
                <w:szCs w:val="14"/>
                <w:color w:val="auto"/>
              </w:rPr>
            </w:pPr>
          </w:p>
        </w:tc>
        <w:tc>
          <w:tcPr>
            <w:tcW w:w="2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over Year Percent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46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Unit Volume</w:t>
            </w: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Dollar Volume (1)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payments made to dealer-partners for advances on dealer loans and the acquisition of purchased loans. Payments of dealer holdback and accelerated dealer holdback are not included.</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product (2) the amount of capital available to fund new loans (3) our assessment of the assignment volume that our current infrastructure can support. Our pricing strategy is intended to maximize the amount of economic profit we generate, within the confines of capital and infrastructure constraints. During the last four months of 2009 and the first quarter of 2010, we increased advance rates, which had a positive impact on unit volumes. While the advance increases also reduced the return on capital we expect to earn on new assignments, we believe it is very likely the advance increases had a positive impact on economic profit. During October 2010, unit volume increased by 36.1% as compared to October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dealer-partners: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6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33,075</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26,069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25,364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22,241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1,580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80" w:type="dxa"/>
            <w:vAlign w:val="bottom"/>
            <w:gridSpan w:val="2"/>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217</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-29.3%</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dealer loan or purchased loan during the period.</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active dealer-partners are dealer-partners who enrolled in our program and have received funding for their first dealer loan or purchased loan from us during the period.</w:t>
      </w:r>
    </w:p>
    <w:p>
      <w:pPr>
        <w:spacing w:after="0" w:line="21"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700"/>
        <w:spacing w:after="0" w:line="277" w:lineRule="auto"/>
        <w:rPr>
          <w:sz w:val="20"/>
          <w:szCs w:val="20"/>
          <w:color w:val="auto"/>
        </w:rPr>
      </w:pPr>
      <w:r>
        <w:rPr>
          <w:rFonts w:ascii="Arial" w:cs="Arial" w:eastAsia="Arial" w:hAnsi="Arial"/>
          <w:sz w:val="18"/>
          <w:szCs w:val="18"/>
          <w:color w:val="auto"/>
        </w:rPr>
        <w:t>Consumer loans are assigned to us through either our portfolio program or our purchase program. The following table summarizes the portion of our consumer loan volume that was assigned to us through our purchase program: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710"/>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69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920" w:type="dxa"/>
            <w:vAlign w:val="bottom"/>
            <w:vMerge w:val="restart"/>
          </w:tcPr>
          <w:p>
            <w:pPr>
              <w:spacing w:after="0"/>
              <w:rPr>
                <w:sz w:val="20"/>
                <w:szCs w:val="20"/>
                <w:color w:val="auto"/>
              </w:rPr>
            </w:pPr>
            <w:r>
              <w:rPr>
                <w:rFonts w:ascii="Arial" w:cs="Arial" w:eastAsia="Arial" w:hAnsi="Arial"/>
                <w:sz w:val="18"/>
                <w:szCs w:val="18"/>
                <w:color w:val="auto"/>
              </w:rPr>
              <w:t>New purchased loan unit volume as a percentage of total unit volume</w:t>
            </w:r>
          </w:p>
        </w:tc>
        <w:tc>
          <w:tcPr>
            <w:tcW w:w="8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1680" w:type="dxa"/>
            <w:vAlign w:val="bottom"/>
            <w:gridSpan w:val="3"/>
          </w:tcPr>
          <w:p>
            <w:pPr>
              <w:ind w:left="1060"/>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7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1700" w:type="dxa"/>
            <w:vAlign w:val="bottom"/>
            <w:gridSpan w:val="3"/>
          </w:tcPr>
          <w:p>
            <w:pPr>
              <w:ind w:left="106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95"/>
        </w:trPr>
        <w:tc>
          <w:tcPr>
            <w:tcW w:w="592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w:t>
            </w:r>
          </w:p>
        </w:tc>
        <w:tc>
          <w:tcPr>
            <w:tcW w:w="1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11.0%</w:t>
            </w:r>
          </w:p>
        </w:tc>
        <w:tc>
          <w:tcPr>
            <w:tcW w:w="54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w:t>
            </w:r>
          </w:p>
        </w:tc>
        <w:tc>
          <w:tcPr>
            <w:tcW w:w="1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New purchased loan dollar volume as a percentage of total dollar volume</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13.3%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700" w:type="dxa"/>
            <w:vAlign w:val="bottom"/>
            <w:gridSpan w:val="3"/>
          </w:tcPr>
          <w:p>
            <w:pPr>
              <w:ind w:left="10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For the three and nine months ended September 30, 2010, new purchased loan unit and dollar volume as a percentage of total unit and dollar volume, respectively, decreased as compared to 2009 primarily due to the continued impact of program enrollment eligibility changes we made in 2008, which restricts new dealer-partners’ access to the purchase program.</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September 30, 2010 and December 31, 2009, the net purchased loans receivable balance was 22.0% and 27.5%, respectively, of the total net loans receivable balance.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Adjusted Financial Results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Material adjustments are explained in the table footnotes and the subsequent “Floating Yield Adjustment” and “Program Fee Yield Adjustment” sections. Measures such as adjusted average capital, adjusted net income, adjusted net income per diluted share, adjusted net income plus interest expense after-tax, adjusted return on capital, adjusted revenue, operating expenses, and economic profit are all non-GAAP financial measures. These non-GAAP financial measures should be viewed in addition to, and not as an alternative for, our reported results prepared in accordance with GAAP.</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and nine months ended September 30, 2010, compared to the same periods in 2009, include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9"/>
              </w:rPr>
              <w:t>Nine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rPr>
              <w:t>2009</w:t>
            </w:r>
          </w:p>
        </w:tc>
        <w:tc>
          <w:tcPr>
            <w:tcW w:w="10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2009</w:t>
            </w:r>
          </w:p>
        </w:tc>
        <w:tc>
          <w:tcPr>
            <w:tcW w:w="10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1,087,484</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1,000,340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1,055,705</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1,001,690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Adjusted net income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39,608</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34,691</w:t>
            </w: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116,849</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89,536</w:t>
            </w: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7,584</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5,225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22,686</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15,166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Adjusted net income plus interest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expense after-tax</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47,192</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39,916</w:t>
            </w: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139,535</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104,702</w:t>
            </w: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Cost of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Economic profit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29,085</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22,515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80,920</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55,894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w w:val="98"/>
              </w:rPr>
              <w:t>GAAP diluted weighted average shares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28,451,721</w:t>
            </w:r>
          </w:p>
        </w:tc>
        <w:tc>
          <w:tcPr>
            <w:tcW w:w="480" w:type="dxa"/>
            <w:vAlign w:val="bottom"/>
          </w:tcPr>
          <w:p>
            <w:pPr>
              <w:spacing w:after="0"/>
              <w:rPr>
                <w:sz w:val="20"/>
                <w:szCs w:val="20"/>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w w:val="88"/>
              </w:rPr>
              <w:t>31,539,119</w:t>
            </w: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w w:val="88"/>
              </w:rPr>
              <w:t>30,540,150</w:t>
            </w:r>
          </w:p>
        </w:tc>
        <w:tc>
          <w:tcPr>
            <w:tcW w:w="460" w:type="dxa"/>
            <w:vAlign w:val="bottom"/>
          </w:tcPr>
          <w:p>
            <w:pPr>
              <w:spacing w:after="0"/>
              <w:rPr>
                <w:sz w:val="20"/>
                <w:szCs w:val="20"/>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color w:val="auto"/>
                <w:w w:val="88"/>
              </w:rPr>
              <w:t>31,370,580</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1.39</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3.83</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Economic profit increased 29.2% and 44.8% for the three and nine months ended September 30, 2010, respectively, as compared to the same periods in 2009. Economic profit is a function of the return on capital in excess of the cost of capital and the amount of capital invested in the business. The following table summarizes the impact each of these components had on the increase in economic profit for the three and nine months ended September 30, 2010, as compared to the same periods in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Year over Year Change in Economic Profit</w:t>
            </w:r>
          </w:p>
        </w:tc>
      </w:tr>
      <w:tr>
        <w:trPr>
          <w:trHeight w:val="119"/>
        </w:trPr>
        <w:tc>
          <w:tcPr>
            <w:tcW w:w="8180" w:type="dxa"/>
            <w:vAlign w:val="bottom"/>
          </w:tcPr>
          <w:p>
            <w:pPr>
              <w:spacing w:after="0"/>
              <w:rPr>
                <w:sz w:val="10"/>
                <w:szCs w:val="10"/>
                <w:color w:val="auto"/>
              </w:rPr>
            </w:pPr>
          </w:p>
        </w:tc>
        <w:tc>
          <w:tcPr>
            <w:tcW w:w="1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Three Months Ended</w:t>
            </w: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r>
      <w:tr>
        <w:trPr>
          <w:trHeight w:val="171"/>
        </w:trPr>
        <w:tc>
          <w:tcPr>
            <w:tcW w:w="8180" w:type="dxa"/>
            <w:vAlign w:val="bottom"/>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2010</w:t>
            </w:r>
          </w:p>
        </w:tc>
        <w:tc>
          <w:tcPr>
            <w:tcW w:w="600" w:type="dxa"/>
            <w:vAlign w:val="bottom"/>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2010</w:t>
            </w:r>
          </w:p>
        </w:tc>
        <w:tc>
          <w:tcPr>
            <w:tcW w:w="100" w:type="dxa"/>
            <w:vAlign w:val="bottom"/>
          </w:tcPr>
          <w:p>
            <w:pPr>
              <w:spacing w:after="0"/>
              <w:rPr>
                <w:sz w:val="14"/>
                <w:szCs w:val="14"/>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Increase in adjusted return on capital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29,188</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Decrease (increase) in cost of capital</w:t>
            </w:r>
          </w:p>
        </w:tc>
        <w:tc>
          <w:tcPr>
            <w:tcW w:w="18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810</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(7,176)</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Increase in adjusted average capital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Increase in economic profit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6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25,026</w:t>
            </w:r>
          </w:p>
        </w:tc>
        <w:tc>
          <w:tcPr>
            <w:tcW w:w="10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increases in economic profit for the three and nine months ended September 30, 2010, as compared to the same periods in 2009, were primarily the result of increases in our adjusted returns on capital as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 period ended September 30, 2010, the adjusted return on capital increased 140 basis points due to the following:</w:t>
      </w:r>
    </w:p>
    <w:p>
      <w:pPr>
        <w:spacing w:after="0" w:line="117" w:lineRule="exact"/>
        <w:rPr>
          <w:sz w:val="20"/>
          <w:szCs w:val="20"/>
          <w:color w:val="auto"/>
        </w:rPr>
      </w:pPr>
    </w:p>
    <w:p>
      <w:pPr>
        <w:ind w:left="660" w:right="4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Loan yields positively impacted the adjusted return on capital by 210 basis points primarily due to higher yields on more recent consumer loan assignments.</w:t>
      </w:r>
    </w:p>
    <w:p>
      <w:pPr>
        <w:spacing w:after="0" w:line="75" w:lineRule="exact"/>
        <w:rPr>
          <w:rFonts w:ascii="Arial" w:cs="Arial" w:eastAsia="Arial" w:hAnsi="Arial"/>
          <w:sz w:val="18"/>
          <w:szCs w:val="18"/>
          <w:b w:val="1"/>
          <w:bCs w:val="1"/>
          <w:color w:val="auto"/>
        </w:rPr>
      </w:pPr>
    </w:p>
    <w:p>
      <w:pPr>
        <w:jc w:val="both"/>
        <w:ind w:left="660" w:right="260" w:hanging="314"/>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Operating expenses declined as a percentage of capital as a result of lower stock compensation expenses, legal expenses, tax consulting expenses, and loan servicing expenses, partially offset by higher software development expenses and origination expenses. This decline positively impacted the adjusted return on capital by 60 basis points.</w:t>
      </w:r>
    </w:p>
    <w:p>
      <w:pPr>
        <w:spacing w:after="0" w:line="86"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decline in premiums earned negatively impacted our adjusted return on capital by 100 basis points, primarily as a result of $2.1 million (after-tax) of income recognized during the third quarter of 2009 related to a revision in our revenue recognition timing.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For the nine month period ended September 30, 2010, the adjusted return on capital increased 370 basis points due to the following:</w:t>
      </w:r>
    </w:p>
    <w:p>
      <w:pPr>
        <w:spacing w:after="0" w:line="117" w:lineRule="exact"/>
        <w:rPr>
          <w:sz w:val="20"/>
          <w:szCs w:val="20"/>
          <w:color w:val="auto"/>
        </w:rPr>
      </w:pPr>
    </w:p>
    <w:p>
      <w:pPr>
        <w:ind w:left="660" w:right="48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Loan yields positively impacted the adjusted return on capital by 310 basis points primarily due to higher yields on more recent consumer loan assignments.</w:t>
      </w:r>
    </w:p>
    <w:p>
      <w:pPr>
        <w:spacing w:after="0" w:line="75" w:lineRule="exact"/>
        <w:rPr>
          <w:rFonts w:ascii="Arial" w:cs="Arial" w:eastAsia="Arial" w:hAnsi="Arial"/>
          <w:sz w:val="18"/>
          <w:szCs w:val="18"/>
          <w:b w:val="1"/>
          <w:bCs w:val="1"/>
          <w:color w:val="auto"/>
        </w:rPr>
      </w:pPr>
    </w:p>
    <w:p>
      <w:pPr>
        <w:ind w:left="660" w:right="80" w:hanging="314"/>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Operating expenses declined as a percentage of average capital as a result of lower stock compensation expenses, legal expenses, and loan servicing expenses, partially offset by higher origination expenses. This decline positively impacted adjusted return on capital by 70 basis points.</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adjusted return on capital for the nine months ended September 30, 2010 was partially offset by a 90 basis point increase in our cost of capital, as compared to the same period in 2009. The increase in our cost of capital was primarily due to an increase in our average cost of debt primarily due to the issuance of our senior notes during the first quarter of 2010.</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adjusted revenue and operating expenses as a percentage of adjusted average capital and the percentage change in adjusted average capital for each of the last eight quarters, compared to the same periods in the prior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Sept. 30,</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Jun. 30,</w:t>
            </w:r>
          </w:p>
        </w:tc>
        <w:tc>
          <w:tcPr>
            <w:tcW w:w="11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Mar. 31,</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Dec. 31,</w:t>
            </w:r>
          </w:p>
        </w:tc>
        <w:tc>
          <w:tcPr>
            <w:tcW w:w="11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Sept. 30,</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Jun. 30,</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Mar. 31,</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Dec.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revenue as a</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adjusted</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capital</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 as a</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percentage of adjusted</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average capital</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Percentage change in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adjusted average capital</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compared to the same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period in the prior year</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adjusted return on capital for the three months ended September 30, 2010, as compared to the three months ended June 30, 2010, decreased 110 basis points primarily due to the following:</w:t>
      </w:r>
    </w:p>
    <w:p>
      <w:pPr>
        <w:spacing w:after="0" w:line="62" w:lineRule="exact"/>
        <w:rPr>
          <w:sz w:val="20"/>
          <w:szCs w:val="20"/>
          <w:color w:val="auto"/>
        </w:rPr>
      </w:pPr>
    </w:p>
    <w:p>
      <w:pPr>
        <w:jc w:val="both"/>
        <w:ind w:left="660" w:right="160" w:hanging="314"/>
        <w:spacing w:after="0" w:line="30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decrease in other income negatively impacted the adjusted return on capital by 100 basis points primarily as a result of $2.1 million (after-tax) of income recognized during the second quarter of 2010 related to an arrangement with one of our third party vehicle service contract providers. This arrangement was discontinued in 2008 and no additional income is expected beyond the amount recognized to date. While we continue to generate income from vehicle service contracts, such amounts are captured through VSC Re and recorded over the life of the contracts.</w:t>
      </w:r>
    </w:p>
    <w:p>
      <w:pPr>
        <w:spacing w:after="0" w:line="59" w:lineRule="exact"/>
        <w:rPr>
          <w:rFonts w:ascii="Arial" w:cs="Arial" w:eastAsia="Arial" w:hAnsi="Arial"/>
          <w:sz w:val="16"/>
          <w:szCs w:val="16"/>
          <w:b w:val="1"/>
          <w:bCs w:val="1"/>
          <w:color w:val="auto"/>
        </w:rPr>
      </w:pPr>
    </w:p>
    <w:p>
      <w:pPr>
        <w:ind w:left="660" w:right="42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Operating expenses increased as a percentage of capital primarily due to the write-off of $0.9 million (after-tax) previously capitalized software development expenditures. This increase reduced the adjusted return on capital by 70 basis points.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increases were partially offset by higher loan yields, which increased our adjusted return on capital by 40 basis points, primarily due to an improvement in forecasted collection rates on our loan portfolio.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0" w:name="page11"/>
    <w:bookmarkEnd w:id="10"/>
    <w:p>
      <w:pPr>
        <w:ind w:right="540"/>
        <w:spacing w:after="0" w:line="277" w:lineRule="auto"/>
        <w:rPr>
          <w:sz w:val="20"/>
          <w:szCs w:val="20"/>
          <w:color w:val="auto"/>
        </w:rPr>
      </w:pPr>
      <w:r>
        <w:rPr>
          <w:rFonts w:ascii="Arial" w:cs="Arial" w:eastAsia="Arial" w:hAnsi="Arial"/>
          <w:sz w:val="18"/>
          <w:szCs w:val="18"/>
          <w:color w:val="auto"/>
        </w:rPr>
        <w:t>The following tables show how non-GAAP measures reconcile to GAAP measures. All after-tax adjustments are calculated using a 37% tax rate as we estimate that to be our long term average effective tax rate. Amounts do not recalculate due to rounding.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Sept.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6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gridSpan w:val="8"/>
          </w:tcPr>
          <w:p>
            <w:pPr>
              <w:spacing w:after="0"/>
              <w:rPr>
                <w:sz w:val="20"/>
                <w:szCs w:val="20"/>
                <w:color w:val="auto"/>
              </w:rPr>
            </w:pPr>
            <w:r>
              <w:rPr>
                <w:rFonts w:ascii="Arial" w:cs="Arial" w:eastAsia="Arial" w:hAnsi="Arial"/>
                <w:sz w:val="14"/>
                <w:szCs w:val="14"/>
                <w:color w:val="auto"/>
              </w:rPr>
              <w:t>(Dollars in thousands)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Adjusted net income</w:t>
            </w:r>
          </w:p>
        </w:tc>
        <w:tc>
          <w:tcPr>
            <w:tcW w:w="1700" w:type="dxa"/>
            <w:vAlign w:val="bottom"/>
            <w:tcBorders>
              <w:bottom w:val="single" w:sz="8" w:color="CCEEFF"/>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gridSpan w:val="7"/>
          </w:tcPr>
          <w:p>
            <w:pPr>
              <w:spacing w:after="0" w:line="142" w:lineRule="exact"/>
              <w:rPr>
                <w:sz w:val="20"/>
                <w:szCs w:val="20"/>
                <w:color w:val="auto"/>
              </w:rPr>
            </w:pPr>
            <w:r>
              <w:rPr>
                <w:rFonts w:ascii="Arial" w:cs="Arial" w:eastAsia="Arial" w:hAnsi="Arial"/>
                <w:sz w:val="14"/>
                <w:szCs w:val="14"/>
                <w:color w:val="auto"/>
              </w:rPr>
              <w:t>GAAP net income</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42,047</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49,040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32,010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40,335</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40,734</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36,185</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29,001</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18,556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Floating yield adjustment (after-tax)</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(4,345)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Program fee yield adjustment (after-tax)</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Loss (gain) from discontinued United Kingdom</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shd w:val="clear" w:color="auto" w:fill="CCEEFF"/>
          </w:tcPr>
          <w:p>
            <w:pPr>
              <w:ind w:left="200"/>
              <w:spacing w:after="0"/>
              <w:rPr>
                <w:sz w:val="20"/>
                <w:szCs w:val="20"/>
                <w:color w:val="auto"/>
              </w:rPr>
            </w:pPr>
            <w:r>
              <w:rPr>
                <w:rFonts w:ascii="Arial" w:cs="Arial" w:eastAsia="Arial" w:hAnsi="Arial"/>
                <w:sz w:val="14"/>
                <w:szCs w:val="14"/>
                <w:color w:val="auto"/>
              </w:rPr>
              <w:t>segment (after-tax)</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7"/>
          </w:tcPr>
          <w:p>
            <w:pPr>
              <w:spacing w:after="0" w:line="130" w:lineRule="exact"/>
              <w:rPr>
                <w:sz w:val="20"/>
                <w:szCs w:val="20"/>
                <w:color w:val="auto"/>
              </w:rPr>
            </w:pPr>
            <w:r>
              <w:rPr>
                <w:rFonts w:ascii="Arial" w:cs="Arial" w:eastAsia="Arial" w:hAnsi="Arial"/>
                <w:sz w:val="14"/>
                <w:szCs w:val="14"/>
                <w:color w:val="auto"/>
              </w:rPr>
              <w:t>Interest expense related to interest rate swap</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tcPr>
          <w:p>
            <w:pPr>
              <w:ind w:left="200"/>
              <w:spacing w:after="0"/>
              <w:rPr>
                <w:sz w:val="20"/>
                <w:szCs w:val="20"/>
                <w:color w:val="auto"/>
              </w:rPr>
            </w:pPr>
            <w:r>
              <w:rPr>
                <w:rFonts w:ascii="Arial" w:cs="Arial" w:eastAsia="Arial" w:hAnsi="Arial"/>
                <w:sz w:val="14"/>
                <w:szCs w:val="14"/>
                <w:color w:val="auto"/>
              </w:rPr>
              <w:t>agreement (after-tax)</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Adjustment to record taxes at 37%(1)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7"/>
          </w:tcPr>
          <w:p>
            <w:pPr>
              <w:ind w:left="200"/>
              <w:spacing w:after="0" w:line="155" w:lineRule="exact"/>
              <w:rPr>
                <w:sz w:val="20"/>
                <w:szCs w:val="20"/>
                <w:color w:val="auto"/>
              </w:rPr>
            </w:pPr>
            <w:r>
              <w:rPr>
                <w:rFonts w:ascii="Arial" w:cs="Arial" w:eastAsia="Arial" w:hAnsi="Arial"/>
                <w:sz w:val="14"/>
                <w:szCs w:val="14"/>
                <w:color w:val="auto"/>
              </w:rPr>
              <w:t>Adjusted net income</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24,714</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per diluted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0.79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Diluted weighted average shares outstanding</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28,451,721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31,601,027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31,584,326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31,868,441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31,539,119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31,423,187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31,180,146</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31,038,088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Adjusted revenue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gridSpan w:val="7"/>
          </w:tcPr>
          <w:p>
            <w:pPr>
              <w:spacing w:after="0" w:line="142" w:lineRule="exact"/>
              <w:rPr>
                <w:sz w:val="20"/>
                <w:szCs w:val="20"/>
                <w:color w:val="auto"/>
              </w:rPr>
            </w:pPr>
            <w:r>
              <w:rPr>
                <w:rFonts w:ascii="Arial" w:cs="Arial" w:eastAsia="Arial" w:hAnsi="Arial"/>
                <w:sz w:val="14"/>
                <w:szCs w:val="14"/>
                <w:color w:val="auto"/>
              </w:rPr>
              <w:t>GAAP total revenue</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111,661</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111,779</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103,262</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100,135</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100,268</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92,373</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87,888</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86,296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Floating yield adjustment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(6,898)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507</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Provision for claims</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(4,809)</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Adjusted revenue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103,247</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103,316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95,528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93,329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91,466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82,296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76,521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76,530</w:t>
            </w:r>
          </w:p>
        </w:tc>
        <w:tc>
          <w:tcPr>
            <w:tcW w:w="0" w:type="dxa"/>
            <w:vAlign w:val="bottom"/>
          </w:tcPr>
          <w:p>
            <w:pPr>
              <w:spacing w:after="0"/>
              <w:rPr>
                <w:sz w:val="1"/>
                <w:szCs w:val="1"/>
                <w:color w:val="auto"/>
              </w:rPr>
            </w:pPr>
          </w:p>
        </w:tc>
      </w:tr>
      <w:tr>
        <w:trPr>
          <w:trHeight w:val="20"/>
        </w:trPr>
        <w:tc>
          <w:tcPr>
            <w:tcW w:w="29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Adjusted average capital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gridSpan w:val="5"/>
            <w:shd w:val="clear" w:color="auto" w:fill="CCEEFF"/>
          </w:tcPr>
          <w:p>
            <w:pPr>
              <w:spacing w:after="0" w:line="142" w:lineRule="exact"/>
              <w:rPr>
                <w:sz w:val="20"/>
                <w:szCs w:val="20"/>
                <w:color w:val="auto"/>
              </w:rPr>
            </w:pPr>
            <w:r>
              <w:rPr>
                <w:rFonts w:ascii="Arial" w:cs="Arial" w:eastAsia="Arial" w:hAnsi="Arial"/>
                <w:sz w:val="14"/>
                <w:szCs w:val="14"/>
                <w:color w:val="auto"/>
              </w:rPr>
              <w:t>GAAP average debt</w:t>
            </w:r>
          </w:p>
        </w:tc>
        <w:tc>
          <w:tcPr>
            <w:tcW w:w="144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645,383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509,867</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492,069</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510,123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562,663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604,863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624,279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665,635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GAAP average shareholders’ equity</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437,288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553,297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514,364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474,984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428,377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388,242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352,562</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331,402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Floating yield adjustment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21,829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(1,274)</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Adjusted average capital</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1,087,484</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1,068,163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1,011,469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989,804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1,000,340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1,007,336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997,396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1,014,071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gridSpan w:val="8"/>
            <w:vMerge w:val="restart"/>
          </w:tcPr>
          <w:p>
            <w:pPr>
              <w:spacing w:after="0"/>
              <w:rPr>
                <w:sz w:val="20"/>
                <w:szCs w:val="20"/>
                <w:color w:val="auto"/>
              </w:rPr>
            </w:pPr>
            <w:r>
              <w:rPr>
                <w:rFonts w:ascii="Arial" w:cs="Arial" w:eastAsia="Arial" w:hAnsi="Arial"/>
                <w:sz w:val="14"/>
                <w:szCs w:val="14"/>
                <w:color w:val="auto"/>
              </w:rPr>
              <w:t>Adjusted revenue as a percentage of adjusted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80" w:type="dxa"/>
            <w:vAlign w:val="bottom"/>
            <w:gridSpan w:val="8"/>
            <w:vMerge w:val="continue"/>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tcPr>
          <w:p>
            <w:pPr>
              <w:ind w:left="200"/>
              <w:spacing w:after="0"/>
              <w:rPr>
                <w:sz w:val="20"/>
                <w:szCs w:val="20"/>
                <w:color w:val="auto"/>
              </w:rPr>
            </w:pPr>
            <w:r>
              <w:rPr>
                <w:rFonts w:ascii="Arial" w:cs="Arial" w:eastAsia="Arial" w:hAnsi="Arial"/>
                <w:sz w:val="14"/>
                <w:szCs w:val="14"/>
                <w:color w:val="auto"/>
              </w:rPr>
              <w:t>average capital</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Adjusted return on capital</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color w:val="auto"/>
              </w:rPr>
              <w:t>Adjusted net income</w:t>
            </w:r>
          </w:p>
        </w:tc>
        <w:tc>
          <w:tcPr>
            <w:tcW w:w="13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39,608</w:t>
            </w:r>
          </w:p>
        </w:tc>
        <w:tc>
          <w:tcPr>
            <w:tcW w:w="18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41,729</w:t>
            </w:r>
          </w:p>
        </w:tc>
        <w:tc>
          <w:tcPr>
            <w:tcW w:w="2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35,512</w:t>
            </w:r>
          </w:p>
        </w:tc>
        <w:tc>
          <w:tcPr>
            <w:tcW w:w="2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35,508</w:t>
            </w:r>
          </w:p>
        </w:tc>
        <w:tc>
          <w:tcPr>
            <w:tcW w:w="2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34,691</w:t>
            </w:r>
          </w:p>
        </w:tc>
        <w:tc>
          <w:tcPr>
            <w:tcW w:w="2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30,131</w:t>
            </w:r>
          </w:p>
        </w:tc>
        <w:tc>
          <w:tcPr>
            <w:tcW w:w="2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gridSpan w:val="2"/>
          </w:tcPr>
          <w:p>
            <w:pPr>
              <w:jc w:val="right"/>
              <w:ind w:right="320"/>
              <w:spacing w:after="0" w:line="142" w:lineRule="exact"/>
              <w:rPr>
                <w:sz w:val="20"/>
                <w:szCs w:val="20"/>
                <w:color w:val="auto"/>
              </w:rPr>
            </w:pPr>
            <w:r>
              <w:rPr>
                <w:rFonts w:ascii="Arial" w:cs="Arial" w:eastAsia="Arial" w:hAnsi="Arial"/>
                <w:sz w:val="14"/>
                <w:szCs w:val="14"/>
                <w:color w:val="auto"/>
              </w:rPr>
              <w:t>24,714</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23,572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Adjusted interest expense (after-tax)</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5,205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6,994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60" w:type="dxa"/>
            <w:vAlign w:val="bottom"/>
            <w:gridSpan w:val="7"/>
          </w:tcPr>
          <w:p>
            <w:pPr>
              <w:ind w:left="200"/>
              <w:spacing w:after="0" w:line="137" w:lineRule="exact"/>
              <w:rPr>
                <w:sz w:val="20"/>
                <w:szCs w:val="20"/>
                <w:color w:val="auto"/>
              </w:rPr>
            </w:pPr>
            <w:r>
              <w:rPr>
                <w:rFonts w:ascii="Arial" w:cs="Arial" w:eastAsia="Arial" w:hAnsi="Arial"/>
                <w:sz w:val="14"/>
                <w:szCs w:val="14"/>
                <w:color w:val="auto"/>
              </w:rPr>
              <w:t>Adjusted net income plus interest expense</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tcPr>
          <w:p>
            <w:pPr>
              <w:ind w:left="400"/>
              <w:spacing w:after="0"/>
              <w:rPr>
                <w:sz w:val="20"/>
                <w:szCs w:val="20"/>
                <w:color w:val="auto"/>
              </w:rPr>
            </w:pPr>
            <w:r>
              <w:rPr>
                <w:rFonts w:ascii="Arial" w:cs="Arial" w:eastAsia="Arial" w:hAnsi="Arial"/>
                <w:sz w:val="14"/>
                <w:szCs w:val="14"/>
                <w:color w:val="auto"/>
              </w:rPr>
              <w:t>(after-tax)</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47,192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49,457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42,886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41,275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39,916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34,867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29,919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Adjusted return on capital (2)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29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Economic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color w:val="auto"/>
              </w:rPr>
              <w:t>Adjusted return on capital</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Cost of capital (3)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3"/>
                <w:szCs w:val="13"/>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Adjusted return on capital in excess of cost of</w:t>
            </w: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shd w:val="clear" w:color="auto" w:fill="CCEEFF"/>
          </w:tcPr>
          <w:p>
            <w:pPr>
              <w:ind w:left="200"/>
              <w:spacing w:after="0"/>
              <w:rPr>
                <w:sz w:val="20"/>
                <w:szCs w:val="20"/>
                <w:color w:val="auto"/>
              </w:rPr>
            </w:pPr>
            <w:r>
              <w:rPr>
                <w:rFonts w:ascii="Arial" w:cs="Arial" w:eastAsia="Arial" w:hAnsi="Arial"/>
                <w:sz w:val="14"/>
                <w:szCs w:val="14"/>
                <w:color w:val="auto"/>
              </w:rPr>
              <w:t>capital</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Adjusted average capital</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1,087,484</w:t>
            </w:r>
          </w:p>
        </w:tc>
        <w:tc>
          <w:tcPr>
            <w:tcW w:w="2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1,068,163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1,011,469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989,804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1,000,340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1,007,336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997,396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1,014,071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ind w:left="200"/>
              <w:spacing w:after="0" w:line="149" w:lineRule="exact"/>
              <w:rPr>
                <w:sz w:val="20"/>
                <w:szCs w:val="20"/>
                <w:color w:val="auto"/>
              </w:rPr>
            </w:pPr>
            <w:r>
              <w:rPr>
                <w:rFonts w:ascii="Arial" w:cs="Arial" w:eastAsia="Arial" w:hAnsi="Arial"/>
                <w:sz w:val="14"/>
                <w:szCs w:val="14"/>
                <w:color w:val="auto"/>
              </w:rPr>
              <w:t>Economic profit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29,085</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28,799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23,205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22,515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18,493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14,886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14,559</w:t>
            </w:r>
          </w:p>
        </w:tc>
        <w:tc>
          <w:tcPr>
            <w:tcW w:w="0" w:type="dxa"/>
            <w:vAlign w:val="bottom"/>
          </w:tcPr>
          <w:p>
            <w:pPr>
              <w:spacing w:after="0"/>
              <w:rPr>
                <w:sz w:val="1"/>
                <w:szCs w:val="1"/>
                <w:color w:val="auto"/>
              </w:rPr>
            </w:pPr>
          </w:p>
        </w:tc>
      </w:tr>
      <w:tr>
        <w:trPr>
          <w:trHeight w:val="20"/>
        </w:trPr>
        <w:tc>
          <w:tcPr>
            <w:tcW w:w="29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color w:val="auto"/>
              </w:rPr>
              <w:t>GAAP salaries and wages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16,133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14,050</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16,110</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16,395</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16,862</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16,515</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17,121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17,788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spacing w:after="0" w:line="149" w:lineRule="exact"/>
              <w:rPr>
                <w:sz w:val="20"/>
                <w:szCs w:val="20"/>
                <w:color w:val="auto"/>
              </w:rPr>
            </w:pPr>
            <w:r>
              <w:rPr>
                <w:rFonts w:ascii="Arial" w:cs="Arial" w:eastAsia="Arial" w:hAnsi="Arial"/>
                <w:sz w:val="14"/>
                <w:szCs w:val="14"/>
                <w:color w:val="auto"/>
              </w:rPr>
              <w:t>GAAP general and administrative</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7,995</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GAAP sales and marketing</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7"/>
          </w:tcPr>
          <w:p>
            <w:pPr>
              <w:ind w:left="200"/>
              <w:spacing w:after="0" w:line="155" w:lineRule="exact"/>
              <w:rPr>
                <w:sz w:val="20"/>
                <w:szCs w:val="20"/>
                <w:color w:val="auto"/>
              </w:rPr>
            </w:pPr>
            <w:r>
              <w:rPr>
                <w:rFonts w:ascii="Arial" w:cs="Arial" w:eastAsia="Arial" w:hAnsi="Arial"/>
                <w:sz w:val="14"/>
                <w:szCs w:val="14"/>
                <w:color w:val="auto"/>
              </w:rPr>
              <w:t>Operating expenses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24,804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27,462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29,037</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6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w w:val="97"/>
              </w:rPr>
              <w:t>Operating expenses as a percentage of adjusted</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shd w:val="clear" w:color="auto" w:fill="CCEEFF"/>
          </w:tcPr>
          <w:p>
            <w:pPr>
              <w:ind w:left="200"/>
              <w:spacing w:after="0"/>
              <w:rPr>
                <w:sz w:val="20"/>
                <w:szCs w:val="20"/>
                <w:color w:val="auto"/>
              </w:rPr>
            </w:pPr>
            <w:r>
              <w:rPr>
                <w:rFonts w:ascii="Arial" w:cs="Arial" w:eastAsia="Arial" w:hAnsi="Arial"/>
                <w:sz w:val="14"/>
                <w:szCs w:val="14"/>
                <w:color w:val="auto"/>
              </w:rPr>
              <w:t>average capital</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2980" w:type="dxa"/>
            <w:vAlign w:val="bottom"/>
            <w:gridSpan w:val="8"/>
            <w:vMerge w:val="restart"/>
          </w:tcPr>
          <w:p>
            <w:pPr>
              <w:spacing w:after="0"/>
              <w:rPr>
                <w:sz w:val="20"/>
                <w:szCs w:val="20"/>
                <w:color w:val="auto"/>
              </w:rPr>
            </w:pPr>
            <w:r>
              <w:rPr>
                <w:rFonts w:ascii="Arial" w:cs="Arial" w:eastAsia="Arial" w:hAnsi="Arial"/>
                <w:sz w:val="14"/>
                <w:szCs w:val="14"/>
                <w:color w:val="auto"/>
              </w:rPr>
              <w:t>Percentage change in adjusted average capital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80" w:type="dxa"/>
            <w:vAlign w:val="bottom"/>
            <w:gridSpan w:val="8"/>
            <w:vMerge w:val="continue"/>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7"/>
          </w:tcPr>
          <w:p>
            <w:pPr>
              <w:ind w:left="200"/>
              <w:spacing w:after="0" w:line="149" w:lineRule="exact"/>
              <w:rPr>
                <w:sz w:val="20"/>
                <w:szCs w:val="20"/>
                <w:color w:val="auto"/>
              </w:rPr>
            </w:pPr>
            <w:r>
              <w:rPr>
                <w:rFonts w:ascii="Arial" w:cs="Arial" w:eastAsia="Arial" w:hAnsi="Arial"/>
                <w:sz w:val="14"/>
                <w:szCs w:val="14"/>
                <w:color w:val="auto"/>
              </w:rPr>
              <w:t>compared to the same period in the prior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7"/>
          </w:tcPr>
          <w:p>
            <w:pPr>
              <w:ind w:left="200"/>
              <w:spacing w:after="0"/>
              <w:rPr>
                <w:sz w:val="20"/>
                <w:szCs w:val="20"/>
                <w:color w:val="auto"/>
              </w:rPr>
            </w:pPr>
            <w:r>
              <w:rPr>
                <w:rFonts w:ascii="Arial" w:cs="Arial" w:eastAsia="Arial" w:hAnsi="Arial"/>
                <w:sz w:val="14"/>
                <w:szCs w:val="14"/>
                <w:color w:val="auto"/>
              </w:rPr>
              <w:t>year</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6520" w:type="dxa"/>
            <w:vAlign w:val="bottom"/>
            <w:gridSpan w:val="7"/>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6520" w:type="dxa"/>
            <w:vAlign w:val="bottom"/>
            <w:gridSpan w:val="7"/>
            <w:vMerge w:val="continue"/>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0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Adjusted net income</w:t>
            </w: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GAAP net income</w:t>
            </w:r>
          </w:p>
        </w:tc>
        <w:tc>
          <w:tcPr>
            <w:tcW w:w="4940" w:type="dxa"/>
            <w:vAlign w:val="bottom"/>
            <w:tcBorders>
              <w:top w:val="single" w:sz="8" w:color="CCEEFF"/>
            </w:tcBorders>
            <w:gridSpan w:val="4"/>
          </w:tcPr>
          <w:p>
            <w:pPr>
              <w:spacing w:after="0"/>
              <w:rPr>
                <w:sz w:val="18"/>
                <w:szCs w:val="18"/>
                <w:color w:val="auto"/>
              </w:rPr>
            </w:pPr>
          </w:p>
        </w:tc>
        <w:tc>
          <w:tcPr>
            <w:tcW w:w="2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760"/>
              <w:spacing w:after="0"/>
              <w:rPr>
                <w:sz w:val="20"/>
                <w:szCs w:val="20"/>
                <w:color w:val="auto"/>
              </w:rPr>
            </w:pPr>
            <w:r>
              <w:rPr>
                <w:rFonts w:ascii="Arial" w:cs="Arial" w:eastAsia="Arial" w:hAnsi="Arial"/>
                <w:sz w:val="18"/>
                <w:szCs w:val="18"/>
                <w:color w:val="auto"/>
              </w:rPr>
              <w:t>123,097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Floating yield adjustment (after-tax)</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Program fee yield adjustment (after-tax)</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Loss from discontinued United Kingdom segment (after-tax)</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Interest expense related to interest rate swap agreement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 to record taxes at 37%</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6"/>
          </w:tcPr>
          <w:p>
            <w:pPr>
              <w:ind w:left="200"/>
              <w:spacing w:after="0"/>
              <w:rPr>
                <w:sz w:val="20"/>
                <w:szCs w:val="20"/>
                <w:color w:val="auto"/>
              </w:rPr>
            </w:pPr>
            <w:r>
              <w:rPr>
                <w:rFonts w:ascii="Arial" w:cs="Arial" w:eastAsia="Arial" w:hAnsi="Arial"/>
                <w:sz w:val="18"/>
                <w:szCs w:val="18"/>
                <w:color w:val="auto"/>
              </w:rPr>
              <w:t>Adjusted net income</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116,849</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Adjusted net income per diluted share</w:t>
            </w:r>
          </w:p>
        </w:tc>
        <w:tc>
          <w:tcPr>
            <w:tcW w:w="358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760"/>
              <w:spacing w:after="0" w:line="176" w:lineRule="exact"/>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Diluted weighted average shares outstanding</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w w:val="88"/>
              </w:rPr>
              <w:t>30,540,150</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31,370,580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Adjusted average capital</w:t>
            </w:r>
          </w:p>
        </w:tc>
        <w:tc>
          <w:tcPr>
            <w:tcW w:w="4600" w:type="dxa"/>
            <w:vAlign w:val="bottom"/>
            <w:tcBorders>
              <w:bottom w:val="single" w:sz="8" w:color="CCEEFF"/>
            </w:tcBorders>
            <w:gridSpan w:val="3"/>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GAAP average debt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549,106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average shareholders’ equity</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501,650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Floating yield adjustment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Program fee yield adjustment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6"/>
          </w:tcPr>
          <w:p>
            <w:pPr>
              <w:ind w:left="200"/>
              <w:spacing w:after="0"/>
              <w:rPr>
                <w:sz w:val="20"/>
                <w:szCs w:val="20"/>
                <w:color w:val="auto"/>
              </w:rPr>
            </w:pPr>
            <w:r>
              <w:rPr>
                <w:rFonts w:ascii="Arial" w:cs="Arial" w:eastAsia="Arial" w:hAnsi="Arial"/>
                <w:sz w:val="18"/>
                <w:szCs w:val="18"/>
                <w:color w:val="auto"/>
              </w:rPr>
              <w:t>Adjusted average capital</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1,055,705</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1,001,690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return on capital</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Adjusted net income</w:t>
            </w:r>
          </w:p>
        </w:tc>
        <w:tc>
          <w:tcPr>
            <w:tcW w:w="4480" w:type="dxa"/>
            <w:vAlign w:val="bottom"/>
            <w:tcBorders>
              <w:top w:val="single" w:sz="8" w:color="CCEEFF"/>
            </w:tcBorders>
            <w:gridSpan w:val="2"/>
          </w:tcPr>
          <w:p>
            <w:pPr>
              <w:spacing w:after="0"/>
              <w:rPr>
                <w:sz w:val="18"/>
                <w:szCs w:val="18"/>
                <w:color w:val="auto"/>
              </w:rPr>
            </w:pPr>
          </w:p>
        </w:tc>
        <w:tc>
          <w:tcPr>
            <w:tcW w:w="2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760"/>
              <w:spacing w:after="0"/>
              <w:rPr>
                <w:sz w:val="20"/>
                <w:szCs w:val="20"/>
                <w:color w:val="auto"/>
              </w:rPr>
            </w:pPr>
            <w:r>
              <w:rPr>
                <w:rFonts w:ascii="Arial" w:cs="Arial" w:eastAsia="Arial" w:hAnsi="Arial"/>
                <w:sz w:val="18"/>
                <w:szCs w:val="18"/>
                <w:color w:val="auto"/>
              </w:rPr>
              <w:t>116,849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22,686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6"/>
          </w:tcPr>
          <w:p>
            <w:pPr>
              <w:ind w:left="200"/>
              <w:spacing w:after="0"/>
              <w:rPr>
                <w:sz w:val="20"/>
                <w:szCs w:val="20"/>
                <w:color w:val="auto"/>
              </w:rPr>
            </w:pPr>
            <w:r>
              <w:rPr>
                <w:rFonts w:ascii="Arial" w:cs="Arial" w:eastAsia="Arial" w:hAnsi="Arial"/>
                <w:sz w:val="18"/>
                <w:szCs w:val="18"/>
                <w:color w:val="auto"/>
              </w:rPr>
              <w:t>Adjusted net income plus interest expense after-tax</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139,535</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return on capital (2)</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5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Economic profit</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20" w:type="dxa"/>
            <w:vAlign w:val="bottom"/>
            <w:gridSpan w:val="7"/>
            <w:vMerge w:val="continue"/>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Cost of capital (3)</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return on capital in excess of cost of capital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6"/>
          </w:tcPr>
          <w:p>
            <w:pPr>
              <w:spacing w:after="0"/>
              <w:rPr>
                <w:sz w:val="20"/>
                <w:szCs w:val="20"/>
                <w:color w:val="auto"/>
              </w:rPr>
            </w:pPr>
            <w:r>
              <w:rPr>
                <w:rFonts w:ascii="Arial" w:cs="Arial" w:eastAsia="Arial" w:hAnsi="Arial"/>
                <w:sz w:val="18"/>
                <w:szCs w:val="18"/>
                <w:color w:val="auto"/>
              </w:rPr>
              <w:t>Adjusted average capital</w:t>
            </w:r>
          </w:p>
        </w:tc>
        <w:tc>
          <w:tcPr>
            <w:tcW w:w="2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1,055,705</w:t>
            </w:r>
          </w:p>
        </w:tc>
        <w:tc>
          <w:tcPr>
            <w:tcW w:w="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1,001,690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Economic profit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80,920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00" w:hanging="452"/>
        <w:spacing w:after="0" w:line="30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adjustment for the three months ended June 30, 2010 is primarily related to the reversal of reserves for uncertain tax positions and associated interest as a result of the completion of the IRS audit during the period, which reduced our effective tax rate under GAAP.</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return on capital is defined as annualized adjusted net income plus adjusted interest expense after-tax divided by adjusted average capital.</w:t>
      </w:r>
    </w:p>
    <w:p>
      <w:pPr>
        <w:spacing w:after="0" w:line="99" w:lineRule="exact"/>
        <w:rPr>
          <w:rFonts w:ascii="Arial" w:cs="Arial" w:eastAsia="Arial" w:hAnsi="Arial"/>
          <w:sz w:val="16"/>
          <w:szCs w:val="16"/>
          <w:color w:val="auto"/>
        </w:rPr>
      </w:pPr>
    </w:p>
    <w:p>
      <w:pPr>
        <w:ind w:left="460" w:right="180" w:hanging="452"/>
        <w:spacing w:after="0" w:line="25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 year treasury rate + 5%) + [(1 – tax rate) x (the average 30 year treasury rate + 5% – pre-tax average cost of debt rate) x average debt/(average equity + average debt x tax rate)]. For the periods presented, the average 30 year treasury rate and the adjusted pre-tax average cost of debt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86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Sept. 30,</w:t>
            </w:r>
          </w:p>
        </w:tc>
        <w:tc>
          <w:tcPr>
            <w:tcW w:w="260" w:type="dxa"/>
            <w:vAlign w:val="bottom"/>
          </w:tcPr>
          <w:p>
            <w:pPr>
              <w:spacing w:after="0"/>
              <w:rPr>
                <w:sz w:val="10"/>
                <w:szCs w:val="10"/>
                <w:color w:val="auto"/>
              </w:rPr>
            </w:pPr>
          </w:p>
        </w:tc>
        <w:tc>
          <w:tcPr>
            <w:tcW w:w="86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 30,</w:t>
            </w:r>
          </w:p>
        </w:tc>
        <w:tc>
          <w:tcPr>
            <w:tcW w:w="280" w:type="dxa"/>
            <w:vAlign w:val="bottom"/>
          </w:tcPr>
          <w:p>
            <w:pPr>
              <w:spacing w:after="0"/>
              <w:rPr>
                <w:sz w:val="10"/>
                <w:szCs w:val="10"/>
                <w:color w:val="auto"/>
              </w:rPr>
            </w:pPr>
          </w:p>
        </w:tc>
        <w:tc>
          <w:tcPr>
            <w:tcW w:w="86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Mar. 31,</w:t>
            </w:r>
          </w:p>
        </w:tc>
        <w:tc>
          <w:tcPr>
            <w:tcW w:w="280" w:type="dxa"/>
            <w:vAlign w:val="bottom"/>
          </w:tcPr>
          <w:p>
            <w:pPr>
              <w:spacing w:after="0"/>
              <w:rPr>
                <w:sz w:val="10"/>
                <w:szCs w:val="10"/>
                <w:color w:val="auto"/>
              </w:rPr>
            </w:pPr>
          </w:p>
        </w:tc>
        <w:tc>
          <w:tcPr>
            <w:tcW w:w="86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Dec. 31,</w:t>
            </w:r>
          </w:p>
        </w:tc>
        <w:tc>
          <w:tcPr>
            <w:tcW w:w="28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Sept. 30,</w:t>
            </w:r>
          </w:p>
        </w:tc>
        <w:tc>
          <w:tcPr>
            <w:tcW w:w="280" w:type="dxa"/>
            <w:vAlign w:val="bottom"/>
          </w:tcPr>
          <w:p>
            <w:pPr>
              <w:spacing w:after="0"/>
              <w:rPr>
                <w:sz w:val="10"/>
                <w:szCs w:val="10"/>
                <w:color w:val="auto"/>
              </w:rPr>
            </w:pPr>
          </w:p>
        </w:tc>
        <w:tc>
          <w:tcPr>
            <w:tcW w:w="88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Jun. 30,</w:t>
            </w:r>
          </w:p>
        </w:tc>
        <w:tc>
          <w:tcPr>
            <w:tcW w:w="280" w:type="dxa"/>
            <w:vAlign w:val="bottom"/>
          </w:tcPr>
          <w:p>
            <w:pPr>
              <w:spacing w:after="0"/>
              <w:rPr>
                <w:sz w:val="10"/>
                <w:szCs w:val="10"/>
                <w:color w:val="auto"/>
              </w:rPr>
            </w:pPr>
          </w:p>
        </w:tc>
        <w:tc>
          <w:tcPr>
            <w:tcW w:w="8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Mar. 31,</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Dec. 31,</w:t>
            </w:r>
          </w:p>
        </w:tc>
        <w:tc>
          <w:tcPr>
            <w:tcW w:w="0" w:type="dxa"/>
            <w:vAlign w:val="bottom"/>
          </w:tcPr>
          <w:p>
            <w:pPr>
              <w:spacing w:after="0"/>
              <w:rPr>
                <w:sz w:val="1"/>
                <w:szCs w:val="1"/>
                <w:color w:val="auto"/>
              </w:rPr>
            </w:pPr>
          </w:p>
        </w:tc>
      </w:tr>
      <w:tr>
        <w:trPr>
          <w:trHeight w:val="171"/>
        </w:trPr>
        <w:tc>
          <w:tcPr>
            <w:tcW w:w="2500" w:type="dxa"/>
            <w:vAlign w:val="bottom"/>
            <w:vMerge w:val="restart"/>
          </w:tcPr>
          <w:p>
            <w:pPr>
              <w:spacing w:after="0"/>
              <w:rPr>
                <w:sz w:val="20"/>
                <w:szCs w:val="20"/>
                <w:color w:val="auto"/>
              </w:rPr>
            </w:pPr>
            <w:r>
              <w:rPr>
                <w:rFonts w:ascii="Arial" w:cs="Arial" w:eastAsia="Arial" w:hAnsi="Arial"/>
                <w:sz w:val="18"/>
                <w:szCs w:val="18"/>
                <w:color w:val="auto"/>
              </w:rPr>
              <w:t>Average 30 year treasury rate</w:t>
            </w: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11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1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14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rPr>
              <w:t>2009</w:t>
            </w:r>
          </w:p>
        </w:tc>
        <w:tc>
          <w:tcPr>
            <w:tcW w:w="11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1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11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224"/>
        </w:trPr>
        <w:tc>
          <w:tcPr>
            <w:tcW w:w="2500" w:type="dxa"/>
            <w:vAlign w:val="bottom"/>
            <w:vMerge w:val="continue"/>
          </w:tcPr>
          <w:p>
            <w:pPr>
              <w:spacing w:after="0"/>
              <w:rPr>
                <w:sz w:val="19"/>
                <w:szCs w:val="19"/>
                <w:color w:val="auto"/>
              </w:rPr>
            </w:pPr>
          </w:p>
        </w:tc>
        <w:tc>
          <w:tcPr>
            <w:tcW w:w="86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ind w:right="84"/>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rPr>
              <w:t>4.1%</w:t>
            </w:r>
          </w:p>
        </w:tc>
        <w:tc>
          <w:tcPr>
            <w:tcW w:w="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4"/>
        </w:trPr>
        <w:tc>
          <w:tcPr>
            <w:tcW w:w="2500" w:type="dxa"/>
            <w:vAlign w:val="bottom"/>
          </w:tcPr>
          <w:p>
            <w:pPr>
              <w:spacing w:after="0"/>
              <w:rPr>
                <w:sz w:val="20"/>
                <w:szCs w:val="20"/>
                <w:color w:val="auto"/>
              </w:rPr>
            </w:pPr>
            <w:r>
              <w:rPr>
                <w:rFonts w:ascii="Arial" w:cs="Arial" w:eastAsia="Arial" w:hAnsi="Arial"/>
                <w:sz w:val="18"/>
                <w:szCs w:val="18"/>
                <w:color w:val="auto"/>
              </w:rPr>
              <w:t>Adjusted pre-tax average cost</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of debt</w:t>
            </w:r>
          </w:p>
        </w:tc>
        <w:tc>
          <w:tcPr>
            <w:tcW w:w="860" w:type="dxa"/>
            <w:vAlign w:val="bottom"/>
          </w:tcPr>
          <w:p>
            <w:pPr>
              <w:jc w:val="right"/>
              <w:ind w:right="8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9.6%</w:t>
            </w:r>
          </w:p>
        </w:tc>
        <w:tc>
          <w:tcPr>
            <w:tcW w:w="1140" w:type="dxa"/>
            <w:vAlign w:val="bottom"/>
            <w:gridSpan w:val="2"/>
          </w:tcPr>
          <w:p>
            <w:pPr>
              <w:jc w:val="right"/>
              <w:ind w:right="82"/>
              <w:spacing w:after="0"/>
              <w:rPr>
                <w:sz w:val="20"/>
                <w:szCs w:val="20"/>
                <w:color w:val="auto"/>
              </w:rPr>
            </w:pPr>
            <w:r>
              <w:rPr>
                <w:rFonts w:ascii="Arial" w:cs="Arial" w:eastAsia="Arial" w:hAnsi="Arial"/>
                <w:sz w:val="18"/>
                <w:szCs w:val="18"/>
                <w:color w:val="auto"/>
              </w:rPr>
              <w:t>9.5%</w:t>
            </w:r>
          </w:p>
        </w:tc>
        <w:tc>
          <w:tcPr>
            <w:tcW w:w="1140" w:type="dxa"/>
            <w:vAlign w:val="bottom"/>
            <w:gridSpan w:val="2"/>
          </w:tcPr>
          <w:p>
            <w:pPr>
              <w:jc w:val="right"/>
              <w:ind w:right="84"/>
              <w:spacing w:after="0"/>
              <w:rPr>
                <w:sz w:val="20"/>
                <w:szCs w:val="20"/>
                <w:color w:val="auto"/>
              </w:rPr>
            </w:pPr>
            <w:r>
              <w:rPr>
                <w:rFonts w:ascii="Arial" w:cs="Arial" w:eastAsia="Arial" w:hAnsi="Arial"/>
                <w:sz w:val="18"/>
                <w:szCs w:val="18"/>
                <w:color w:val="auto"/>
              </w:rPr>
              <w:t>7.2%</w:t>
            </w:r>
          </w:p>
        </w:tc>
        <w:tc>
          <w:tcPr>
            <w:tcW w:w="1160" w:type="dxa"/>
            <w:vAlign w:val="bottom"/>
            <w:gridSpan w:val="2"/>
          </w:tcPr>
          <w:p>
            <w:pPr>
              <w:jc w:val="right"/>
              <w:ind w:right="102"/>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62"/>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c>
          <w:tcPr>
            <w:tcW w:w="1180" w:type="dxa"/>
            <w:vAlign w:val="bottom"/>
            <w:gridSpan w:val="3"/>
          </w:tcPr>
          <w:p>
            <w:pPr>
              <w:jc w:val="right"/>
              <w:ind w:right="105"/>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65"/>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50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Sept. 30,</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Sept. 30,</w:t>
            </w:r>
          </w:p>
        </w:tc>
        <w:tc>
          <w:tcPr>
            <w:tcW w:w="0" w:type="dxa"/>
            <w:vAlign w:val="bottom"/>
          </w:tcPr>
          <w:p>
            <w:pPr>
              <w:spacing w:after="0"/>
              <w:rPr>
                <w:sz w:val="1"/>
                <w:szCs w:val="1"/>
                <w:color w:val="auto"/>
              </w:rPr>
            </w:pPr>
          </w:p>
        </w:tc>
      </w:tr>
      <w:tr>
        <w:trPr>
          <w:trHeight w:val="171"/>
        </w:trPr>
        <w:tc>
          <w:tcPr>
            <w:tcW w:w="2500" w:type="dxa"/>
            <w:vAlign w:val="bottom"/>
            <w:vMerge w:val="restart"/>
          </w:tcPr>
          <w:p>
            <w:pPr>
              <w:spacing w:after="0"/>
              <w:rPr>
                <w:sz w:val="20"/>
                <w:szCs w:val="20"/>
                <w:color w:val="auto"/>
              </w:rPr>
            </w:pPr>
            <w:r>
              <w:rPr>
                <w:rFonts w:ascii="Arial" w:cs="Arial" w:eastAsia="Arial" w:hAnsi="Arial"/>
                <w:sz w:val="18"/>
                <w:szCs w:val="18"/>
                <w:color w:val="auto"/>
              </w:rPr>
              <w:t>Average 30 year treasury rate</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18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6"/>
              </w:rPr>
              <w:t>2009</w:t>
            </w:r>
          </w:p>
        </w:tc>
        <w:tc>
          <w:tcPr>
            <w:tcW w:w="0" w:type="dxa"/>
            <w:vAlign w:val="bottom"/>
          </w:tcPr>
          <w:p>
            <w:pPr>
              <w:spacing w:after="0"/>
              <w:rPr>
                <w:sz w:val="1"/>
                <w:szCs w:val="1"/>
                <w:color w:val="auto"/>
              </w:rPr>
            </w:pPr>
          </w:p>
        </w:tc>
      </w:tr>
      <w:tr>
        <w:trPr>
          <w:trHeight w:val="224"/>
        </w:trPr>
        <w:tc>
          <w:tcPr>
            <w:tcW w:w="25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104"/>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tcBorders>
            <w:gridSpan w:val="2"/>
          </w:tcPr>
          <w:p>
            <w:pPr>
              <w:jc w:val="right"/>
              <w:ind w:right="10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8"/>
        </w:trPr>
        <w:tc>
          <w:tcPr>
            <w:tcW w:w="3360" w:type="dxa"/>
            <w:vAlign w:val="bottom"/>
            <w:gridSpan w:val="2"/>
          </w:tcPr>
          <w:p>
            <w:pPr>
              <w:spacing w:after="0"/>
              <w:rPr>
                <w:sz w:val="20"/>
                <w:szCs w:val="20"/>
                <w:color w:val="auto"/>
              </w:rPr>
            </w:pPr>
            <w:r>
              <w:rPr>
                <w:rFonts w:ascii="Arial" w:cs="Arial" w:eastAsia="Arial" w:hAnsi="Arial"/>
                <w:sz w:val="18"/>
                <w:szCs w:val="18"/>
                <w:color w:val="auto"/>
              </w:rPr>
              <w:t>Adjusted pre-tax average cost of debt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right"/>
              <w:ind w:right="104"/>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4"/>
                <w:szCs w:val="24"/>
                <w:color w:val="auto"/>
              </w:rPr>
            </w:pPr>
          </w:p>
        </w:tc>
        <w:tc>
          <w:tcPr>
            <w:tcW w:w="1180" w:type="dxa"/>
            <w:vAlign w:val="bottom"/>
            <w:gridSpan w:val="3"/>
          </w:tcPr>
          <w:p>
            <w:pPr>
              <w:jc w:val="right"/>
              <w:ind w:right="10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92"/>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Finance charge revenue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“floating yield” method, all changes in expected cash flows (both positive and negative) are treated as yield adjustments and therefore impact earnings over time. The GAAP treatment always results in a lower carrying value of the loan receivable asset, but may result in either higher or lower earnings for any given period depending on the timing and amount of expected cash flow changes.</w:t>
      </w:r>
    </w:p>
    <w:p>
      <w:pPr>
        <w:spacing w:after="0" w:line="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believe adjusted earnings, which include the floating yield adjustment, are a more accurate reflection of the performance of our business, since both favorable and unfavorable changes in estimated cash flows are treated consistently.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Fee Yield Adjustment</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purpose of this adjustment is to make revenue from program fees comparable across time periods. In 2001, we began charging dealer-partners a monthly program fee. Effective January 1, 2007, we implemented a change in the way these fees are charged designed to positively impact dealer-partner attrition. We continue to charge a monthly program fee, but instead of collecting the fee in the current period, we collect it from future dealer holdback payments.</w:t>
      </w:r>
    </w:p>
    <w:p>
      <w:pPr>
        <w:spacing w:after="0" w:line="3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a result of this change, (as of January 1, 2007) we record program fees on a GAAP basis as a yield adjustment, recognizing these fees as finance charge revenue over the term of the dealer loan because collection is dependent on the future cash flows of the loan. Previously, we had recorded the fee as program fee revenue in the month the fee was charged. The current GAAP treatment is more consistent with the cash economics of the business.</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allow for proper comparisons between periods, we make an adjustment to our financial results as though program fees had always been recorded as a yield adjustment. The program fee yield adjustment is immaterial for 2010 and future periods.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2009, other risk factors discussed herein or listed from time to time in our reports filed with the Securities and Exchange Commission and the following:</w:t>
      </w:r>
    </w:p>
    <w:p>
      <w:pPr>
        <w:spacing w:after="0" w:line="84" w:lineRule="exact"/>
        <w:rPr>
          <w:sz w:val="20"/>
          <w:szCs w:val="20"/>
          <w:color w:val="auto"/>
        </w:rPr>
      </w:pPr>
    </w:p>
    <w:p>
      <w:pPr>
        <w:ind w:left="660" w:right="5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may be unable to execute our business strategy due to current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terms of our debt limit how we conduct our business.</w:t>
      </w:r>
    </w:p>
    <w:p>
      <w:pPr>
        <w:spacing w:after="0" w:line="130" w:lineRule="exact"/>
        <w:rPr>
          <w:rFonts w:ascii="Arial" w:cs="Arial" w:eastAsia="Arial" w:hAnsi="Arial"/>
          <w:sz w:val="18"/>
          <w:szCs w:val="18"/>
          <w:b w:val="1"/>
          <w:bCs w:val="1"/>
          <w:color w:val="auto"/>
        </w:rPr>
      </w:pPr>
    </w:p>
    <w:p>
      <w:pPr>
        <w:ind w:left="660" w:right="440" w:hanging="314"/>
        <w:spacing w:after="0" w:line="34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right="68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right="3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30" w:lineRule="exact"/>
        <w:rPr>
          <w:rFonts w:ascii="Arial" w:cs="Arial" w:eastAsia="Arial" w:hAnsi="Arial"/>
          <w:sz w:val="18"/>
          <w:szCs w:val="18"/>
          <w:b w:val="1"/>
          <w:bCs w:val="1"/>
          <w:color w:val="auto"/>
        </w:rPr>
      </w:pPr>
    </w:p>
    <w:p>
      <w:pPr>
        <w:ind w:left="660" w:right="60" w:hanging="314"/>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operations are dependent on technology.</w:t>
      </w:r>
    </w:p>
    <w:p>
      <w:pPr>
        <w:spacing w:after="0" w:line="130"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concentration of our dealer-partners in several states could adversely affect us.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153" w:lineRule="exact"/>
        <w:rPr>
          <w:rFonts w:ascii="Arial" w:cs="Arial" w:eastAsia="Arial" w:hAnsi="Arial"/>
          <w:sz w:val="16"/>
          <w:szCs w:val="16"/>
          <w:b w:val="1"/>
          <w:bCs w:val="1"/>
          <w:color w:val="auto"/>
        </w:rPr>
      </w:pPr>
    </w:p>
    <w:p>
      <w:pPr>
        <w:ind w:left="660" w:right="8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Reliance on our outsourced business functions could adversely affect our business.</w:t>
      </w:r>
    </w:p>
    <w:p>
      <w:pPr>
        <w:spacing w:after="0" w:line="130" w:lineRule="exact"/>
        <w:rPr>
          <w:rFonts w:ascii="Arial" w:cs="Arial" w:eastAsia="Arial" w:hAnsi="Arial"/>
          <w:sz w:val="18"/>
          <w:szCs w:val="18"/>
          <w:b w:val="1"/>
          <w:bCs w:val="1"/>
          <w:color w:val="auto"/>
        </w:rPr>
      </w:pPr>
    </w:p>
    <w:p>
      <w:pPr>
        <w:ind w:left="660" w:right="68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Since 1972, Credit Acceptance has provided auto loans to consumers, regardless of their credit history. Our product is offered through a nationwide network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automobile dealers who benefit from sales of vehicles to consumers who otherwise could not obtain financing; from repeat and referral sales generated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same customers; and from sales to customers responding to advertisements for our product, but who actually end up qualifying for traditional financing.</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Without our product,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99,255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84,489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284,467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8,627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11,596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100,268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326,702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280,529</w:t>
            </w:r>
          </w:p>
        </w:tc>
        <w:tc>
          <w:tcPr>
            <w:tcW w:w="0" w:type="dxa"/>
            <w:vAlign w:val="bottom"/>
          </w:tcPr>
          <w:p>
            <w:pPr>
              <w:spacing w:after="0"/>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16,133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16,862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46,293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7,869</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19,670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17,606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37,965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142,413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115,197</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65,196</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62,303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184,289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23,149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21,491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61,162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59,358</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42,047</w:t>
            </w:r>
          </w:p>
        </w:tc>
        <w:tc>
          <w:tcPr>
            <w:tcW w:w="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40,812</w:t>
            </w:r>
          </w:p>
        </w:tc>
        <w:tc>
          <w:tcPr>
            <w:tcW w:w="6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123,127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Gain (loss) from discontinued United Kingdom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105,920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28,063,104</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30,658,969</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30,081,696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30,540,274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28,451,721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31,539,119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30,540,150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31,370,580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8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80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Loans receivable (including $9,959 and $12,674 from affiliates as of September 30, 2010 and December 31,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 respectively)</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1,301,067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(124,949)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receivable,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1,176,118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1,050,013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16,421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23,932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1,284,285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1,176,236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2180"/>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73,747</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Secured financing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328,100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244,174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859,860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678,026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stock, $.01 par value, 80,000,000 shares authorized, 27,141,593 and 31,038,217 shares issued and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September 30, 2010 and December 31, 2009, respectively</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27,079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200"/>
              <w:spacing w:after="0" w:line="201" w:lineRule="exact"/>
              <w:rPr>
                <w:sz w:val="20"/>
                <w:szCs w:val="20"/>
                <w:color w:val="auto"/>
              </w:rPr>
            </w:pPr>
            <w:r>
              <w:rPr>
                <w:rFonts w:ascii="Arial" w:cs="Arial" w:eastAsia="Arial" w:hAnsi="Arial"/>
                <w:sz w:val="18"/>
                <w:szCs w:val="18"/>
                <w:color w:val="auto"/>
                <w:w w:val="94"/>
              </w:rPr>
              <w:t>Accumulated other comprehensive loss, net of tax of $85 and $526 at September 30, 2010 and December 31,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2009, respectively</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1,284,285</w:t>
            </w:r>
          </w:p>
        </w:tc>
        <w:tc>
          <w:tcPr>
            <w:tcW w:w="120" w:type="dxa"/>
            <w:vAlign w:val="bottom"/>
          </w:tcPr>
          <w:p>
            <w:pPr>
              <w:spacing w:after="0"/>
              <w:rPr>
                <w:sz w:val="24"/>
                <w:szCs w:val="24"/>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1,176,236</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jc w:val="right"/>
              <w:ind w:right="259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2019-12-10T10:37:21Z</dcterms:created>
  <dcterms:modified xsi:type="dcterms:W3CDTF">2019-12-10T10:37:21Z</dcterms:modified>
</cp:coreProperties>
</file>