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29, 2009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CREDIT ACCEPTANCE CORPORATION</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4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(Exact name of registrant as specified in its charter)</w:t>
            </w:r>
          </w:p>
        </w:tc>
        <w:tc>
          <w:tcPr>
            <w:tcW w:w="2840" w:type="dxa"/>
            <w:vAlign w:val="bottom"/>
          </w:tcPr>
          <w:p>
            <w:pPr>
              <w:spacing w:after="0"/>
              <w:rPr>
                <w:sz w:val="20"/>
                <w:szCs w:val="20"/>
                <w:color w:val="auto"/>
              </w:rPr>
            </w:pPr>
          </w:p>
        </w:tc>
      </w:tr>
      <w:tr>
        <w:trPr>
          <w:trHeight w:val="416"/>
        </w:trPr>
        <w:tc>
          <w:tcPr>
            <w:tcW w:w="3240" w:type="dxa"/>
            <w:vAlign w:val="bottom"/>
          </w:tcPr>
          <w:p>
            <w:pPr>
              <w:jc w:val="center"/>
              <w:ind w:left="110"/>
              <w:spacing w:after="0"/>
              <w:rPr>
                <w:sz w:val="20"/>
                <w:szCs w:val="20"/>
                <w:color w:val="auto"/>
              </w:rPr>
            </w:pPr>
            <w:r>
              <w:rPr>
                <w:rFonts w:ascii="Arial" w:cs="Arial" w:eastAsia="Arial" w:hAnsi="Arial"/>
                <w:sz w:val="18"/>
                <w:szCs w:val="18"/>
                <w:color w:val="auto"/>
                <w:w w:val="94"/>
              </w:rPr>
              <w:t>Michigan</w:t>
            </w:r>
          </w:p>
        </w:tc>
        <w:tc>
          <w:tcPr>
            <w:tcW w:w="420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000-20202</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jc w:val="center"/>
              <w:ind w:right="490"/>
              <w:spacing w:after="0"/>
              <w:rPr>
                <w:sz w:val="20"/>
                <w:szCs w:val="20"/>
                <w:color w:val="auto"/>
              </w:rPr>
            </w:pPr>
            <w:r>
              <w:rPr>
                <w:rFonts w:ascii="Arial" w:cs="Arial" w:eastAsia="Arial" w:hAnsi="Arial"/>
                <w:sz w:val="18"/>
                <w:szCs w:val="18"/>
                <w:color w:val="auto"/>
                <w:w w:val="89"/>
              </w:rPr>
              <w:t>38-1999511</w:t>
            </w:r>
          </w:p>
        </w:tc>
      </w:tr>
      <w:tr>
        <w:trPr>
          <w:trHeight w:val="209"/>
        </w:trPr>
        <w:tc>
          <w:tcPr>
            <w:tcW w:w="324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91"/>
              </w:rPr>
              <w:t>(State or other jurisdiction</w:t>
            </w:r>
          </w:p>
        </w:tc>
        <w:tc>
          <w:tcPr>
            <w:tcW w:w="2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2"/>
              </w:rPr>
              <w:t>(I.R.S. Employer</w:t>
            </w:r>
          </w:p>
        </w:tc>
      </w:tr>
      <w:tr>
        <w:trPr>
          <w:trHeight w:val="230"/>
        </w:trPr>
        <w:tc>
          <w:tcPr>
            <w:tcW w:w="3240" w:type="dxa"/>
            <w:vAlign w:val="bottom"/>
          </w:tcPr>
          <w:p>
            <w:pPr>
              <w:jc w:val="center"/>
              <w:ind w:left="130"/>
              <w:spacing w:after="0"/>
              <w:rPr>
                <w:sz w:val="20"/>
                <w:szCs w:val="20"/>
                <w:color w:val="auto"/>
              </w:rPr>
            </w:pPr>
            <w:r>
              <w:rPr>
                <w:rFonts w:ascii="Arial" w:cs="Arial" w:eastAsia="Arial" w:hAnsi="Arial"/>
                <w:sz w:val="18"/>
                <w:szCs w:val="18"/>
                <w:color w:val="auto"/>
                <w:w w:val="93"/>
              </w:rPr>
              <w:t>of incorporation)</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gridSpan w:val="3"/>
          </w:tcPr>
          <w:p>
            <w:pPr>
              <w:jc w:val="center"/>
              <w:ind w:right="1140"/>
              <w:spacing w:after="0"/>
              <w:rPr>
                <w:sz w:val="20"/>
                <w:szCs w:val="20"/>
                <w:color w:val="auto"/>
              </w:rPr>
            </w:pPr>
            <w:r>
              <w:rPr>
                <w:rFonts w:ascii="Arial" w:cs="Arial" w:eastAsia="Arial" w:hAnsi="Arial"/>
                <w:sz w:val="18"/>
                <w:szCs w:val="18"/>
                <w:color w:val="auto"/>
                <w:w w:val="94"/>
              </w:rPr>
              <w:t>File Number)</w:t>
            </w:r>
          </w:p>
        </w:tc>
        <w:tc>
          <w:tcPr>
            <w:tcW w:w="2840" w:type="dxa"/>
            <w:vAlign w:val="bottom"/>
          </w:tcPr>
          <w:p>
            <w:pPr>
              <w:jc w:val="center"/>
              <w:ind w:right="4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240" w:type="dxa"/>
            <w:vAlign w:val="bottom"/>
          </w:tcPr>
          <w:p>
            <w:pPr>
              <w:jc w:val="center"/>
              <w:ind w:left="70"/>
              <w:spacing w:after="0"/>
              <w:rPr>
                <w:sz w:val="20"/>
                <w:szCs w:val="20"/>
                <w:color w:val="auto"/>
              </w:rPr>
            </w:pPr>
            <w:r>
              <w:rPr>
                <w:rFonts w:ascii="Arial" w:cs="Arial" w:eastAsia="Arial" w:hAnsi="Arial"/>
                <w:sz w:val="18"/>
                <w:szCs w:val="18"/>
                <w:color w:val="auto"/>
                <w:w w:val="91"/>
              </w:rPr>
              <w:t>25505 West Twelve Mile Road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32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Southfield, Michigan</w:t>
            </w:r>
          </w:p>
        </w:tc>
        <w:tc>
          <w:tcPr>
            <w:tcW w:w="2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89"/>
              </w:rPr>
              <w:t>48034-8339</w:t>
            </w:r>
          </w:p>
        </w:tc>
      </w:tr>
      <w:tr>
        <w:trPr>
          <w:trHeight w:val="224"/>
        </w:trPr>
        <w:tc>
          <w:tcPr>
            <w:tcW w:w="324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40" w:type="dxa"/>
            <w:vAlign w:val="bottom"/>
          </w:tcPr>
          <w:p>
            <w:pPr>
              <w:jc w:val="center"/>
              <w:ind w:right="490"/>
              <w:spacing w:after="0"/>
              <w:rPr>
                <w:sz w:val="20"/>
                <w:szCs w:val="20"/>
                <w:color w:val="auto"/>
              </w:rPr>
            </w:pPr>
            <w:r>
              <w:rPr>
                <w:rFonts w:ascii="Arial" w:cs="Arial" w:eastAsia="Arial" w:hAnsi="Arial"/>
                <w:sz w:val="18"/>
                <w:szCs w:val="18"/>
                <w:color w:val="auto"/>
                <w:w w:val="91"/>
              </w:rPr>
              <w:t>(Zip Code)</w:t>
            </w:r>
          </w:p>
        </w:tc>
      </w:tr>
      <w:tr>
        <w:trPr>
          <w:trHeight w:val="431"/>
        </w:trPr>
        <w:tc>
          <w:tcPr>
            <w:tcW w:w="3240" w:type="dxa"/>
            <w:vAlign w:val="bottom"/>
          </w:tcPr>
          <w:p>
            <w:pPr>
              <w:spacing w:after="0"/>
              <w:rPr>
                <w:sz w:val="24"/>
                <w:szCs w:val="24"/>
                <w:color w:val="auto"/>
              </w:rPr>
            </w:pPr>
          </w:p>
        </w:tc>
        <w:tc>
          <w:tcPr>
            <w:tcW w:w="534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Registrant’s telephone number, including area code: 248-353-2700</w:t>
            </w:r>
          </w:p>
        </w:tc>
        <w:tc>
          <w:tcPr>
            <w:tcW w:w="284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3336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October 29, 2009, Credit Acceptance Corporation (the “Company”), issued a press release announcing its financial results for the three and nine months ended September 30, 2009. The press release is attached as Exhibit 99.1 to this Form 8-K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Kenneth S. Booth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October 29, 2009</w:t>
      </w:r>
    </w:p>
    <w:p>
      <w:pPr>
        <w:sectPr>
          <w:pgSz w:w="11900" w:h="16838" w:orient="portrait"/>
          <w:cols w:equalWidth="0" w:num="1">
            <w:col w:w="11220"/>
          </w:cols>
          <w:pgMar w:left="240" w:top="125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October 29, 2009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2009 EARNINGS</w:t>
      </w:r>
    </w:p>
    <w:p>
      <w:pPr>
        <w:spacing w:after="0" w:line="9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Southfield, Michigan — October 29, 2009 — Credit Acceptance Corporation (NASDAQ: CACC) </w:t>
      </w:r>
      <w:r>
        <w:rPr>
          <w:rFonts w:ascii="Arial" w:cs="Arial" w:eastAsia="Arial" w:hAnsi="Arial"/>
          <w:sz w:val="16"/>
          <w:szCs w:val="16"/>
          <w:color w:val="auto"/>
        </w:rPr>
        <w:t>(referred to as the “Company”, “we”, “our”, or “us”)</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consolidated net income of $40.7 million, or $1.29 per diluted share, for the three months ended September 30, 2009 compared to consolidated net income of $20.7 million, or $0.67 per diluted share, for the same period in 2008. For the nine months ended September 30, 2009, consolidated net income was $105.9 million, or $3.38 per diluted share, compared to consolidated net income of $48.6 million, or $1.57 per diluted share, for the same period in 2008.</w:t>
      </w:r>
    </w:p>
    <w:p>
      <w:pPr>
        <w:spacing w:after="0" w:line="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Adjusted net income, a non-GAAP financial measure, for the three months ended September 30, 2009 was $34.7 million, or $1.10 per diluted share, compared to $22.3 million, or $0.72 per diluted share, for the same period in 2008. For the nine months ended September 30, 2009, adjusted net income was $89.5 million, or $2.85 per diluted share, compared to adjusted net income of $59.2 million, of $1.91 per diluted share, for the same period in 2008.</w:t>
      </w:r>
    </w:p>
    <w:p>
      <w:pPr>
        <w:spacing w:after="0" w:line="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 to our Form 10-Q, filed today with the Securities and Exchange Commission, which will appear on our website at creditacceptance.com, for a complete discussion of the results of operations and financial data for the three and nine months ended September 30,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Consumer Loan Performance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the time of consumer loan acceptance or purchase, we forecast future expected cash flows from the consumer loan. Based on these forecasts, an advance or one time payment is made to the related dealer-partner at a level designed to achieve an acceptable return on capital. If consumer loan performance equals or exceeds our original expectation, it is likely our target return on capital will be achieved.</w:t>
      </w:r>
    </w:p>
    <w:p>
      <w:pPr>
        <w:spacing w:after="0" w:line="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inception. We continue to evaluate the expected collection rate of each consumer loan subsequent to inception.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September 30, 2009, with the forecasts as of June 30, 2009, as of December 31, 2008 and at the time of assignment, segmented by year of assignment: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Consumer</w:t>
            </w:r>
          </w:p>
        </w:tc>
        <w:tc>
          <w:tcPr>
            <w:tcW w:w="1080" w:type="dxa"/>
            <w:vAlign w:val="bottom"/>
          </w:tcPr>
          <w:p>
            <w:pPr>
              <w:spacing w:after="0"/>
              <w:rPr>
                <w:sz w:val="14"/>
                <w:szCs w:val="14"/>
                <w:color w:val="auto"/>
              </w:rPr>
            </w:pPr>
          </w:p>
        </w:tc>
        <w:tc>
          <w:tcPr>
            <w:tcW w:w="2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Forecasted Collection Percentage as of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60" w:type="dxa"/>
            <w:vAlign w:val="bottom"/>
            <w:gridSpan w:val="5"/>
            <w:vMerge w:val="restart"/>
          </w:tcPr>
          <w:p>
            <w:pPr>
              <w:jc w:val="right"/>
              <w:ind w:right="311"/>
              <w:spacing w:after="0"/>
              <w:rPr>
                <w:sz w:val="20"/>
                <w:szCs w:val="20"/>
                <w:color w:val="auto"/>
              </w:rPr>
            </w:pPr>
            <w:r>
              <w:rPr>
                <w:rFonts w:ascii="Arial" w:cs="Arial" w:eastAsia="Arial" w:hAnsi="Arial"/>
                <w:sz w:val="14"/>
                <w:szCs w:val="14"/>
                <w:b w:val="1"/>
                <w:bCs w:val="1"/>
                <w:color w:val="auto"/>
              </w:rPr>
              <w:t>Variance in Forecasted Collection Percentage from</w:t>
            </w:r>
          </w:p>
        </w:tc>
        <w:tc>
          <w:tcPr>
            <w:tcW w:w="0" w:type="dxa"/>
            <w:vAlign w:val="bottom"/>
          </w:tcPr>
          <w:p>
            <w:pPr>
              <w:spacing w:after="0"/>
              <w:rPr>
                <w:sz w:val="1"/>
                <w:szCs w:val="1"/>
                <w:color w:val="auto"/>
              </w:rPr>
            </w:pPr>
          </w:p>
        </w:tc>
      </w:tr>
      <w:tr>
        <w:trPr>
          <w:trHeight w:val="158"/>
        </w:trPr>
        <w:tc>
          <w:tcPr>
            <w:tcW w:w="23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Loan</w:t>
            </w:r>
          </w:p>
        </w:tc>
        <w:tc>
          <w:tcPr>
            <w:tcW w:w="10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86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Assignment</w:t>
            </w:r>
          </w:p>
        </w:tc>
        <w:tc>
          <w:tcPr>
            <w:tcW w:w="10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0"/>
                <w:szCs w:val="10"/>
                <w:color w:val="auto"/>
              </w:rPr>
            </w:pPr>
          </w:p>
        </w:tc>
        <w:tc>
          <w:tcPr>
            <w:tcW w:w="860" w:type="dxa"/>
            <w:vAlign w:val="bottom"/>
          </w:tcPr>
          <w:p>
            <w:pPr>
              <w:jc w:val="right"/>
              <w:ind w:right="91"/>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104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880" w:type="dxa"/>
            <w:vAlign w:val="bottom"/>
          </w:tcPr>
          <w:p>
            <w:pPr>
              <w:ind w:left="260"/>
              <w:spacing w:after="0" w:line="119" w:lineRule="exact"/>
              <w:rPr>
                <w:sz w:val="20"/>
                <w:szCs w:val="20"/>
                <w:color w:val="auto"/>
              </w:rPr>
            </w:pPr>
            <w:r>
              <w:rPr>
                <w:rFonts w:ascii="Arial" w:cs="Arial" w:eastAsia="Arial" w:hAnsi="Arial"/>
                <w:sz w:val="13"/>
                <w:szCs w:val="13"/>
                <w:b w:val="1"/>
                <w:bCs w:val="1"/>
                <w:color w:val="auto"/>
              </w:rPr>
              <w:t>Initial</w:t>
            </w:r>
          </w:p>
        </w:tc>
        <w:tc>
          <w:tcPr>
            <w:tcW w:w="340" w:type="dxa"/>
            <w:vAlign w:val="bottom"/>
          </w:tcPr>
          <w:p>
            <w:pPr>
              <w:spacing w:after="0"/>
              <w:rPr>
                <w:sz w:val="10"/>
                <w:szCs w:val="10"/>
                <w:color w:val="auto"/>
              </w:rPr>
            </w:pPr>
          </w:p>
        </w:tc>
        <w:tc>
          <w:tcPr>
            <w:tcW w:w="960" w:type="dxa"/>
            <w:vAlign w:val="bottom"/>
          </w:tcPr>
          <w:p>
            <w:pPr>
              <w:jc w:val="right"/>
              <w:ind w:right="150"/>
              <w:spacing w:after="0" w:line="119" w:lineRule="exact"/>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10"/>
                <w:szCs w:val="10"/>
                <w:color w:val="auto"/>
              </w:rPr>
            </w:pPr>
          </w:p>
        </w:tc>
        <w:tc>
          <w:tcPr>
            <w:tcW w:w="102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0"/>
                <w:szCs w:val="10"/>
                <w:color w:val="auto"/>
              </w:rPr>
            </w:pPr>
          </w:p>
        </w:tc>
        <w:tc>
          <w:tcPr>
            <w:tcW w:w="980" w:type="dxa"/>
            <w:vAlign w:val="bottom"/>
          </w:tcPr>
          <w:p>
            <w:pPr>
              <w:jc w:val="right"/>
              <w:ind w:right="231"/>
              <w:spacing w:after="0" w:line="119" w:lineRule="exact"/>
              <w:rPr>
                <w:sz w:val="20"/>
                <w:szCs w:val="20"/>
                <w:color w:val="auto"/>
              </w:rPr>
            </w:pPr>
            <w:r>
              <w:rPr>
                <w:rFonts w:ascii="Arial" w:cs="Arial" w:eastAsia="Arial" w:hAnsi="Arial"/>
                <w:sz w:val="13"/>
                <w:szCs w:val="13"/>
                <w:b w:val="1"/>
                <w:bCs w:val="1"/>
                <w:color w:val="auto"/>
              </w:rPr>
              <w:t>Initial</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4"/>
                <w:szCs w:val="14"/>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Forecast</w:t>
            </w: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0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Forecast</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72.6%</w:t>
            </w:r>
          </w:p>
        </w:tc>
        <w:tc>
          <w:tcPr>
            <w:tcW w:w="11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72.6%</w:t>
            </w:r>
          </w:p>
        </w:tc>
        <w:tc>
          <w:tcPr>
            <w:tcW w:w="13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72.5%</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72.8%</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67.4%</w:t>
            </w:r>
          </w:p>
        </w:tc>
        <w:tc>
          <w:tcPr>
            <w:tcW w:w="1180" w:type="dxa"/>
            <w:vAlign w:val="bottom"/>
            <w:gridSpan w:val="2"/>
          </w:tcPr>
          <w:p>
            <w:pPr>
              <w:jc w:val="right"/>
              <w:ind w:right="51"/>
              <w:spacing w:after="0"/>
              <w:rPr>
                <w:sz w:val="20"/>
                <w:szCs w:val="20"/>
                <w:color w:val="auto"/>
              </w:rPr>
            </w:pPr>
            <w:r>
              <w:rPr>
                <w:rFonts w:ascii="Arial" w:cs="Arial" w:eastAsia="Arial" w:hAnsi="Arial"/>
                <w:sz w:val="18"/>
                <w:szCs w:val="18"/>
                <w:color w:val="auto"/>
              </w:rPr>
              <w:t>67.4%</w:t>
            </w:r>
          </w:p>
        </w:tc>
        <w:tc>
          <w:tcPr>
            <w:tcW w:w="1380" w:type="dxa"/>
            <w:vAlign w:val="bottom"/>
            <w:gridSpan w:val="2"/>
          </w:tcPr>
          <w:p>
            <w:pPr>
              <w:jc w:val="right"/>
              <w:ind w:right="144"/>
              <w:spacing w:after="0"/>
              <w:rPr>
                <w:sz w:val="20"/>
                <w:szCs w:val="20"/>
                <w:color w:val="auto"/>
              </w:rPr>
            </w:pPr>
            <w:r>
              <w:rPr>
                <w:rFonts w:ascii="Arial" w:cs="Arial" w:eastAsia="Arial" w:hAnsi="Arial"/>
                <w:sz w:val="18"/>
                <w:szCs w:val="18"/>
                <w:color w:val="auto"/>
              </w:rPr>
              <w:t>67.4%</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70.4%</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0.0%</w:t>
            </w:r>
          </w:p>
        </w:tc>
        <w:tc>
          <w:tcPr>
            <w:tcW w:w="1480" w:type="dxa"/>
            <w:vAlign w:val="bottom"/>
            <w:gridSpan w:val="2"/>
          </w:tcPr>
          <w:p>
            <w:pPr>
              <w:jc w:val="right"/>
              <w:ind w:right="144"/>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70.4%</w:t>
            </w:r>
          </w:p>
        </w:tc>
        <w:tc>
          <w:tcPr>
            <w:tcW w:w="11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70.5%</w:t>
            </w:r>
          </w:p>
        </w:tc>
        <w:tc>
          <w:tcPr>
            <w:tcW w:w="13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70.4%</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67.9%</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73.7%</w:t>
            </w:r>
          </w:p>
        </w:tc>
        <w:tc>
          <w:tcPr>
            <w:tcW w:w="1180" w:type="dxa"/>
            <w:vAlign w:val="bottom"/>
            <w:gridSpan w:val="2"/>
          </w:tcPr>
          <w:p>
            <w:pPr>
              <w:jc w:val="right"/>
              <w:ind w:right="51"/>
              <w:spacing w:after="0"/>
              <w:rPr>
                <w:sz w:val="20"/>
                <w:szCs w:val="20"/>
                <w:color w:val="auto"/>
              </w:rPr>
            </w:pPr>
            <w:r>
              <w:rPr>
                <w:rFonts w:ascii="Arial" w:cs="Arial" w:eastAsia="Arial" w:hAnsi="Arial"/>
                <w:sz w:val="18"/>
                <w:szCs w:val="18"/>
                <w:color w:val="auto"/>
              </w:rPr>
              <w:t>73.8%</w:t>
            </w:r>
          </w:p>
        </w:tc>
        <w:tc>
          <w:tcPr>
            <w:tcW w:w="1380" w:type="dxa"/>
            <w:vAlign w:val="bottom"/>
            <w:gridSpan w:val="2"/>
          </w:tcPr>
          <w:p>
            <w:pPr>
              <w:jc w:val="right"/>
              <w:ind w:right="144"/>
              <w:spacing w:after="0"/>
              <w:rPr>
                <w:sz w:val="20"/>
                <w:szCs w:val="20"/>
                <w:color w:val="auto"/>
              </w:rPr>
            </w:pPr>
            <w:r>
              <w:rPr>
                <w:rFonts w:ascii="Arial" w:cs="Arial" w:eastAsia="Arial" w:hAnsi="Arial"/>
                <w:sz w:val="18"/>
                <w:szCs w:val="18"/>
                <w:color w:val="auto"/>
              </w:rPr>
              <w:t>73.8%</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72.0%</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44"/>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73.1%</w:t>
            </w:r>
          </w:p>
        </w:tc>
        <w:tc>
          <w:tcPr>
            <w:tcW w:w="11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73.3%</w:t>
            </w:r>
          </w:p>
        </w:tc>
        <w:tc>
          <w:tcPr>
            <w:tcW w:w="13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73.4%</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73.0%</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4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-0.3%</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73.9%</w:t>
            </w:r>
          </w:p>
        </w:tc>
        <w:tc>
          <w:tcPr>
            <w:tcW w:w="1180" w:type="dxa"/>
            <w:vAlign w:val="bottom"/>
            <w:gridSpan w:val="2"/>
          </w:tcPr>
          <w:p>
            <w:pPr>
              <w:jc w:val="right"/>
              <w:ind w:right="51"/>
              <w:spacing w:after="0"/>
              <w:rPr>
                <w:sz w:val="20"/>
                <w:szCs w:val="20"/>
                <w:color w:val="auto"/>
              </w:rPr>
            </w:pPr>
            <w:r>
              <w:rPr>
                <w:rFonts w:ascii="Arial" w:cs="Arial" w:eastAsia="Arial" w:hAnsi="Arial"/>
                <w:sz w:val="18"/>
                <w:szCs w:val="18"/>
                <w:color w:val="auto"/>
              </w:rPr>
              <w:t>74.0%</w:t>
            </w:r>
          </w:p>
        </w:tc>
        <w:tc>
          <w:tcPr>
            <w:tcW w:w="1380" w:type="dxa"/>
            <w:vAlign w:val="bottom"/>
            <w:gridSpan w:val="2"/>
          </w:tcPr>
          <w:p>
            <w:pPr>
              <w:jc w:val="right"/>
              <w:ind w:right="144"/>
              <w:spacing w:after="0"/>
              <w:rPr>
                <w:sz w:val="20"/>
                <w:szCs w:val="20"/>
                <w:color w:val="auto"/>
              </w:rPr>
            </w:pPr>
            <w:r>
              <w:rPr>
                <w:rFonts w:ascii="Arial" w:cs="Arial" w:eastAsia="Arial" w:hAnsi="Arial"/>
                <w:sz w:val="18"/>
                <w:szCs w:val="18"/>
                <w:color w:val="auto"/>
              </w:rPr>
              <w:t>74.1%</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74.0%</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44"/>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70.5%</w:t>
            </w:r>
          </w:p>
        </w:tc>
        <w:tc>
          <w:tcPr>
            <w:tcW w:w="11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70.5%</w:t>
            </w:r>
          </w:p>
        </w:tc>
        <w:tc>
          <w:tcPr>
            <w:tcW w:w="13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70.3%</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71.4%</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0.2%</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68.4%</w:t>
            </w:r>
          </w:p>
        </w:tc>
        <w:tc>
          <w:tcPr>
            <w:tcW w:w="1180" w:type="dxa"/>
            <w:vAlign w:val="bottom"/>
            <w:gridSpan w:val="2"/>
          </w:tcPr>
          <w:p>
            <w:pPr>
              <w:jc w:val="right"/>
              <w:ind w:right="51"/>
              <w:spacing w:after="0"/>
              <w:rPr>
                <w:sz w:val="20"/>
                <w:szCs w:val="20"/>
                <w:color w:val="auto"/>
              </w:rPr>
            </w:pPr>
            <w:r>
              <w:rPr>
                <w:rFonts w:ascii="Arial" w:cs="Arial" w:eastAsia="Arial" w:hAnsi="Arial"/>
                <w:sz w:val="18"/>
                <w:szCs w:val="18"/>
                <w:color w:val="auto"/>
              </w:rPr>
              <w:t>68.3%</w:t>
            </w:r>
          </w:p>
        </w:tc>
        <w:tc>
          <w:tcPr>
            <w:tcW w:w="1380" w:type="dxa"/>
            <w:vAlign w:val="bottom"/>
            <w:gridSpan w:val="2"/>
          </w:tcPr>
          <w:p>
            <w:pPr>
              <w:jc w:val="right"/>
              <w:ind w:right="144"/>
              <w:spacing w:after="0"/>
              <w:rPr>
                <w:sz w:val="20"/>
                <w:szCs w:val="20"/>
                <w:color w:val="auto"/>
              </w:rPr>
            </w:pPr>
            <w:r>
              <w:rPr>
                <w:rFonts w:ascii="Arial" w:cs="Arial" w:eastAsia="Arial" w:hAnsi="Arial"/>
                <w:sz w:val="18"/>
                <w:szCs w:val="18"/>
                <w:color w:val="auto"/>
              </w:rPr>
              <w:t>67.9%</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70.7%</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44"/>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69.0%</w:t>
            </w:r>
          </w:p>
        </w:tc>
        <w:tc>
          <w:tcPr>
            <w:tcW w:w="11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68.4%</w:t>
            </w:r>
          </w:p>
        </w:tc>
        <w:tc>
          <w:tcPr>
            <w:tcW w:w="13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67.9%</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69.7%</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48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1.1%</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40" w:type="dxa"/>
            <w:vAlign w:val="bottom"/>
          </w:tcPr>
          <w:p>
            <w:pPr>
              <w:jc w:val="right"/>
              <w:ind w:right="556"/>
              <w:spacing w:after="0"/>
              <w:rPr>
                <w:sz w:val="20"/>
                <w:szCs w:val="20"/>
                <w:color w:val="auto"/>
              </w:rPr>
            </w:pPr>
            <w:r>
              <w:rPr>
                <w:rFonts w:ascii="Arial" w:cs="Arial" w:eastAsia="Arial" w:hAnsi="Arial"/>
                <w:sz w:val="18"/>
                <w:szCs w:val="18"/>
                <w:color w:val="auto"/>
              </w:rPr>
              <w:t>2009(1)</w:t>
            </w:r>
          </w:p>
        </w:tc>
        <w:tc>
          <w:tcPr>
            <w:tcW w:w="320" w:type="dxa"/>
            <w:vAlign w:val="bottom"/>
          </w:tcPr>
          <w:p>
            <w:pPr>
              <w:spacing w:after="0"/>
              <w:rPr>
                <w:sz w:val="20"/>
                <w:szCs w:val="20"/>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73.9%</w:t>
            </w:r>
          </w:p>
        </w:tc>
        <w:tc>
          <w:tcPr>
            <w:tcW w:w="1180" w:type="dxa"/>
            <w:vAlign w:val="bottom"/>
            <w:gridSpan w:val="2"/>
          </w:tcPr>
          <w:p>
            <w:pPr>
              <w:jc w:val="right"/>
              <w:ind w:right="51"/>
              <w:spacing w:after="0"/>
              <w:rPr>
                <w:sz w:val="20"/>
                <w:szCs w:val="20"/>
                <w:color w:val="auto"/>
              </w:rPr>
            </w:pPr>
            <w:r>
              <w:rPr>
                <w:rFonts w:ascii="Arial" w:cs="Arial" w:eastAsia="Arial" w:hAnsi="Arial"/>
                <w:sz w:val="18"/>
                <w:szCs w:val="18"/>
                <w:color w:val="auto"/>
              </w:rPr>
              <w:t>72.3%</w:t>
            </w:r>
          </w:p>
        </w:tc>
        <w:tc>
          <w:tcPr>
            <w:tcW w:w="340" w:type="dxa"/>
            <w:vAlign w:val="bottom"/>
          </w:tcPr>
          <w:p>
            <w:pPr>
              <w:spacing w:after="0"/>
              <w:rPr>
                <w:sz w:val="20"/>
                <w:szCs w:val="20"/>
                <w:color w:val="auto"/>
              </w:rPr>
            </w:pPr>
          </w:p>
        </w:tc>
        <w:tc>
          <w:tcPr>
            <w:tcW w:w="1040" w:type="dxa"/>
            <w:vAlign w:val="bottom"/>
          </w:tcPr>
          <w:p>
            <w:pPr>
              <w:jc w:val="right"/>
              <w:ind w:right="284"/>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71.1%</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0"/>
                <w:szCs w:val="20"/>
                <w:color w:val="auto"/>
              </w:rPr>
            </w:pPr>
          </w:p>
        </w:tc>
        <w:tc>
          <w:tcPr>
            <w:tcW w:w="1020" w:type="dxa"/>
            <w:vAlign w:val="bottom"/>
          </w:tcPr>
          <w:p>
            <w:pPr>
              <w:jc w:val="right"/>
              <w:ind w:right="284"/>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forecasted collection rate for 2009 consumer loans as of September 30, 2009 includes both consumer loans that were in our portfolio as of June 30,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2009 and consumer loans received during the most recent quarter. The following table provides forecasted collection rates for each of these segments: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w w:val="96"/>
              </w:rPr>
              <w:t>Forecasted Collection Percentage as of</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2009 Consumer Loan Assignment Period</w:t>
            </w:r>
          </w:p>
        </w:tc>
        <w:tc>
          <w:tcPr>
            <w:tcW w:w="10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September 30,</w:t>
            </w:r>
          </w:p>
        </w:tc>
        <w:tc>
          <w:tcPr>
            <w:tcW w:w="620" w:type="dxa"/>
            <w:vAlign w:val="bottom"/>
          </w:tcPr>
          <w:p>
            <w:pPr>
              <w:spacing w:after="0"/>
              <w:rPr>
                <w:sz w:val="10"/>
                <w:szCs w:val="10"/>
                <w:color w:val="auto"/>
              </w:rPr>
            </w:pPr>
          </w:p>
        </w:tc>
        <w:tc>
          <w:tcPr>
            <w:tcW w:w="10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Pr>
          <w:p>
            <w:pPr>
              <w:spacing w:after="0"/>
              <w:rPr>
                <w:sz w:val="10"/>
                <w:szCs w:val="10"/>
                <w:color w:val="auto"/>
              </w:rPr>
            </w:pPr>
          </w:p>
        </w:tc>
        <w:tc>
          <w:tcPr>
            <w:tcW w:w="9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7240" w:type="dxa"/>
            <w:vAlign w:val="bottom"/>
            <w:gridSpan w:val="3"/>
            <w:vMerge w:val="continue"/>
          </w:tcPr>
          <w:p>
            <w:pPr>
              <w:spacing w:after="0"/>
              <w:rPr>
                <w:sz w:val="14"/>
                <w:szCs w:val="14"/>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2009</w:t>
            </w:r>
          </w:p>
        </w:tc>
        <w:tc>
          <w:tcPr>
            <w:tcW w:w="168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2009 through June 30, 2009</w:t>
            </w: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74.6%</w:t>
            </w:r>
          </w:p>
        </w:tc>
        <w:tc>
          <w:tcPr>
            <w:tcW w:w="6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72.3%</w:t>
            </w:r>
          </w:p>
        </w:tc>
        <w:tc>
          <w:tcPr>
            <w:tcW w:w="5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July 1, 2009 through September 30, 2009</w:t>
            </w:r>
          </w:p>
        </w:tc>
        <w:tc>
          <w:tcPr>
            <w:tcW w:w="1080" w:type="dxa"/>
            <w:vAlign w:val="bottom"/>
          </w:tcPr>
          <w:p>
            <w:pPr>
              <w:ind w:left="400"/>
              <w:spacing w:after="0"/>
              <w:rPr>
                <w:sz w:val="20"/>
                <w:szCs w:val="20"/>
                <w:color w:val="auto"/>
              </w:rPr>
            </w:pPr>
            <w:r>
              <w:rPr>
                <w:rFonts w:ascii="Arial" w:cs="Arial" w:eastAsia="Arial" w:hAnsi="Arial"/>
                <w:sz w:val="18"/>
                <w:szCs w:val="18"/>
                <w:color w:val="auto"/>
              </w:rPr>
              <w:t>72.2%</w:t>
            </w:r>
          </w:p>
        </w:tc>
        <w:tc>
          <w:tcPr>
            <w:tcW w:w="620" w:type="dxa"/>
            <w:vAlign w:val="bottom"/>
          </w:tcPr>
          <w:p>
            <w:pPr>
              <w:spacing w:after="0"/>
              <w:rPr>
                <w:sz w:val="20"/>
                <w:szCs w:val="20"/>
                <w:color w:val="auto"/>
              </w:rPr>
            </w:pPr>
          </w:p>
        </w:tc>
        <w:tc>
          <w:tcPr>
            <w:tcW w:w="106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0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Consumer loan performance for the three and nine months ended September 30, 2009 exceeded our forecasts at June 30, 2009 and December 31, 2008. As a general rule, for GAAP results, improvements in forecasted collection rates are recorded over time as yield adjustments. However, when forecasted collection rates improve on previously impaired loan pools, the improvement is recorded as a reversal of previously recorded loan loss provisions. During the three and nine months ended September 30, 2009, forecasted collection rates increased and a portion of this increase was recorded as a reversal of previously recorded loan provisions. This reversal positively impacted 2009 GAAP results and is primarily what caused GAAP net income to exceed adjusted net income for the first nine months of 2009.</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As a result of current economic conditions and uncertainty about future conditions, we continue to be cautious about our forecasts of future collection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believe our current estimates are reasonable for the following reasons:</w:t>
      </w:r>
    </w:p>
    <w:p>
      <w:pPr>
        <w:spacing w:after="0" w:line="103" w:lineRule="exact"/>
        <w:rPr>
          <w:sz w:val="20"/>
          <w:szCs w:val="20"/>
          <w:color w:val="auto"/>
        </w:rPr>
      </w:pPr>
    </w:p>
    <w:p>
      <w:pPr>
        <w:ind w:left="660" w:right="7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forecasts start with the assumption that consumer loans in our current portfolio will perform like historical consumer loans with similar attributes.</w:t>
      </w:r>
    </w:p>
    <w:p>
      <w:pPr>
        <w:spacing w:after="0" w:line="75" w:lineRule="exact"/>
        <w:rPr>
          <w:rFonts w:ascii="Arial" w:cs="Arial" w:eastAsia="Arial" w:hAnsi="Arial"/>
          <w:sz w:val="18"/>
          <w:szCs w:val="18"/>
          <w:b w:val="1"/>
          <w:bCs w:val="1"/>
          <w:color w:val="auto"/>
        </w:rPr>
      </w:pPr>
    </w:p>
    <w:p>
      <w:pPr>
        <w:jc w:val="both"/>
        <w:ind w:left="660" w:right="360" w:hanging="436"/>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During 2008, we reduced our forecasts on consumer loans assigned in 2006 through 2008 as these consumer loans began to perform worse than expected. Additionally, we adjusted our estimated timing of future net cash flows to reflect recent trends relating to consumer loan prepayments.</w:t>
      </w:r>
    </w:p>
    <w:p>
      <w:pPr>
        <w:spacing w:after="0" w:line="29" w:lineRule="exact"/>
        <w:rPr>
          <w:rFonts w:ascii="Arial" w:cs="Arial" w:eastAsia="Arial" w:hAnsi="Arial"/>
          <w:sz w:val="16"/>
          <w:szCs w:val="16"/>
          <w:b w:val="1"/>
          <w:bCs w:val="1"/>
          <w:color w:val="auto"/>
        </w:rPr>
      </w:pPr>
    </w:p>
    <w:p>
      <w:pPr>
        <w:ind w:left="660" w:right="36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2008, and during the first quarter of 2009, we reduced the expected collection rate on new consumer loan assignments. The reductions reflected both the experience to date on 2006 through 2008 consumer loans as well as an expectation that the external environment was likely to negatively impact consumer loan performance.</w:t>
      </w:r>
    </w:p>
    <w:p>
      <w:pPr>
        <w:spacing w:after="0" w:line="86"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current forecasting methodology, when applied against historical data, produces a consistent forecasted collection rate as the consumer loans age.</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Although current economic uncertainty increases the risk of poor consumer loan performance, we set prices at consumer loan inception to increase the likelihood of achieving an acceptable return on capital, even if collection results are worse than we currently forecast.</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table presents forecasted consumer loan collection rates, advance rates (includes amounts paid to acquire purchased loans), the spread (the forecasted collection rate less the advance rate), and the percentage of the forecasted collections that had been realized as of September 30, 2009. Payments of dealer holdback and accelerated payments of dealer holdback are not included in the advance percentage paid to the dealer-partner. All amounts are presented as a percentage of the initial balance of the consumer loan (principal + interest). The table includes both dealer loans and purchased loans.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4"/>
                <w:szCs w:val="14"/>
                <w:b w:val="1"/>
                <w:bCs w:val="1"/>
                <w:color w:val="auto"/>
                <w:w w:val="94"/>
              </w:rPr>
              <w:t>As of September 30, 2009</w:t>
            </w:r>
          </w:p>
        </w:tc>
        <w:tc>
          <w:tcPr>
            <w:tcW w:w="9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Loan Assignment Year</w:t>
            </w:r>
          </w:p>
        </w:tc>
        <w:tc>
          <w:tcPr>
            <w:tcW w:w="1460" w:type="dxa"/>
            <w:vAlign w:val="bottom"/>
          </w:tcPr>
          <w:p>
            <w:pPr>
              <w:jc w:val="right"/>
              <w:ind w:right="313"/>
              <w:spacing w:after="0" w:line="119" w:lineRule="exact"/>
              <w:rPr>
                <w:sz w:val="20"/>
                <w:szCs w:val="20"/>
                <w:color w:val="auto"/>
              </w:rPr>
            </w:pPr>
            <w:r>
              <w:rPr>
                <w:rFonts w:ascii="Arial" w:cs="Arial" w:eastAsia="Arial" w:hAnsi="Arial"/>
                <w:sz w:val="13"/>
                <w:szCs w:val="13"/>
                <w:b w:val="1"/>
                <w:bCs w:val="1"/>
                <w:color w:val="auto"/>
              </w:rPr>
              <w:t>Forecasted</w:t>
            </w:r>
          </w:p>
        </w:tc>
        <w:tc>
          <w:tcPr>
            <w:tcW w:w="9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Advance %</w:t>
            </w: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Spread %</w:t>
            </w:r>
          </w:p>
        </w:tc>
        <w:tc>
          <w:tcPr>
            <w:tcW w:w="940" w:type="dxa"/>
            <w:vAlign w:val="bottom"/>
          </w:tcPr>
          <w:p>
            <w:pPr>
              <w:spacing w:after="0"/>
              <w:rPr>
                <w:sz w:val="10"/>
                <w:szCs w:val="10"/>
                <w:color w:val="auto"/>
              </w:rPr>
            </w:pPr>
          </w:p>
        </w:tc>
        <w:tc>
          <w:tcPr>
            <w:tcW w:w="1560" w:type="dxa"/>
            <w:vAlign w:val="bottom"/>
          </w:tcPr>
          <w:p>
            <w:pPr>
              <w:jc w:val="right"/>
              <w:ind w:right="284"/>
              <w:spacing w:after="0" w:line="119" w:lineRule="exact"/>
              <w:rPr>
                <w:sz w:val="20"/>
                <w:szCs w:val="20"/>
                <w:color w:val="auto"/>
              </w:rPr>
            </w:pPr>
            <w:r>
              <w:rPr>
                <w:rFonts w:ascii="Arial" w:cs="Arial" w:eastAsia="Arial" w:hAnsi="Arial"/>
                <w:sz w:val="13"/>
                <w:szCs w:val="13"/>
                <w:b w:val="1"/>
                <w:bCs w:val="1"/>
                <w:color w:val="auto"/>
              </w:rPr>
              <w:t>% of Forecast</w:t>
            </w:r>
          </w:p>
        </w:tc>
        <w:tc>
          <w:tcPr>
            <w:tcW w:w="0" w:type="dxa"/>
            <w:vAlign w:val="bottom"/>
          </w:tcPr>
          <w:p>
            <w:pPr>
              <w:spacing w:after="0"/>
              <w:rPr>
                <w:sz w:val="1"/>
                <w:szCs w:val="1"/>
                <w:color w:val="auto"/>
              </w:rPr>
            </w:pPr>
          </w:p>
        </w:tc>
      </w:tr>
      <w:tr>
        <w:trPr>
          <w:trHeight w:val="171"/>
        </w:trPr>
        <w:tc>
          <w:tcPr>
            <w:tcW w:w="2660" w:type="dxa"/>
            <w:vAlign w:val="bottom"/>
            <w:gridSpan w:val="3"/>
            <w:vMerge w:val="continue"/>
          </w:tcPr>
          <w:p>
            <w:pPr>
              <w:spacing w:after="0"/>
              <w:rPr>
                <w:sz w:val="14"/>
                <w:szCs w:val="14"/>
                <w:color w:val="auto"/>
              </w:rPr>
            </w:pPr>
          </w:p>
        </w:tc>
        <w:tc>
          <w:tcPr>
            <w:tcW w:w="1460" w:type="dxa"/>
            <w:vAlign w:val="bottom"/>
          </w:tcPr>
          <w:p>
            <w:pPr>
              <w:jc w:val="right"/>
              <w:ind w:right="233"/>
              <w:spacing w:after="0"/>
              <w:rPr>
                <w:sz w:val="20"/>
                <w:szCs w:val="20"/>
                <w:color w:val="auto"/>
              </w:rPr>
            </w:pPr>
            <w:r>
              <w:rPr>
                <w:rFonts w:ascii="Arial" w:cs="Arial" w:eastAsia="Arial" w:hAnsi="Arial"/>
                <w:sz w:val="14"/>
                <w:szCs w:val="14"/>
                <w:b w:val="1"/>
                <w:bCs w:val="1"/>
                <w:color w:val="auto"/>
              </w:rPr>
              <w:t>Collection %</w:t>
            </w:r>
          </w:p>
        </w:tc>
        <w:tc>
          <w:tcPr>
            <w:tcW w:w="9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right"/>
              <w:ind w:right="444"/>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2000</w:t>
            </w:r>
          </w:p>
        </w:tc>
        <w:tc>
          <w:tcPr>
            <w:tcW w:w="9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72.6%</w:t>
            </w:r>
          </w:p>
        </w:tc>
        <w:tc>
          <w:tcPr>
            <w:tcW w:w="9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24.7%</w:t>
            </w:r>
          </w:p>
        </w:tc>
        <w:tc>
          <w:tcPr>
            <w:tcW w:w="94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2001</w:t>
            </w:r>
          </w:p>
        </w:tc>
        <w:tc>
          <w:tcPr>
            <w:tcW w:w="900" w:type="dxa"/>
            <w:vAlign w:val="bottom"/>
          </w:tcPr>
          <w:p>
            <w:pPr>
              <w:spacing w:after="0"/>
              <w:rPr>
                <w:sz w:val="18"/>
                <w:szCs w:val="18"/>
                <w:color w:val="auto"/>
              </w:rPr>
            </w:pPr>
          </w:p>
        </w:tc>
        <w:tc>
          <w:tcPr>
            <w:tcW w:w="1460" w:type="dxa"/>
            <w:vAlign w:val="bottom"/>
          </w:tcPr>
          <w:p>
            <w:pPr>
              <w:jc w:val="right"/>
              <w:ind w:right="293"/>
              <w:spacing w:after="0"/>
              <w:rPr>
                <w:sz w:val="20"/>
                <w:szCs w:val="20"/>
                <w:color w:val="auto"/>
              </w:rPr>
            </w:pPr>
            <w:r>
              <w:rPr>
                <w:rFonts w:ascii="Arial" w:cs="Arial" w:eastAsia="Arial" w:hAnsi="Arial"/>
                <w:sz w:val="18"/>
                <w:szCs w:val="18"/>
                <w:color w:val="auto"/>
              </w:rPr>
              <w:t>67.4%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2720" w:type="dxa"/>
            <w:vAlign w:val="bottom"/>
            <w:gridSpan w:val="3"/>
          </w:tcPr>
          <w:p>
            <w:pPr>
              <w:jc w:val="right"/>
              <w:ind w:right="319"/>
              <w:spacing w:after="0"/>
              <w:rPr>
                <w:sz w:val="20"/>
                <w:szCs w:val="20"/>
                <w:color w:val="auto"/>
              </w:rPr>
            </w:pPr>
            <w:r>
              <w:rPr>
                <w:rFonts w:ascii="Arial" w:cs="Arial" w:eastAsia="Arial" w:hAnsi="Arial"/>
                <w:sz w:val="18"/>
                <w:szCs w:val="18"/>
                <w:color w:val="auto"/>
              </w:rPr>
              <w:t>21.4%</w:t>
            </w:r>
          </w:p>
        </w:tc>
        <w:tc>
          <w:tcPr>
            <w:tcW w:w="2500" w:type="dxa"/>
            <w:vAlign w:val="bottom"/>
            <w:gridSpan w:val="2"/>
          </w:tcPr>
          <w:p>
            <w:pPr>
              <w:jc w:val="right"/>
              <w:ind w:right="364"/>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2002</w:t>
            </w: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70.4%</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720" w:type="dxa"/>
            <w:vAlign w:val="bottom"/>
            <w:gridSpan w:val="3"/>
            <w:shd w:val="clear" w:color="auto" w:fill="CCEEFF"/>
          </w:tcPr>
          <w:p>
            <w:pPr>
              <w:jc w:val="right"/>
              <w:ind w:right="319"/>
              <w:spacing w:after="0"/>
              <w:rPr>
                <w:sz w:val="20"/>
                <w:szCs w:val="20"/>
                <w:color w:val="auto"/>
              </w:rPr>
            </w:pPr>
            <w:r>
              <w:rPr>
                <w:rFonts w:ascii="Arial" w:cs="Arial" w:eastAsia="Arial" w:hAnsi="Arial"/>
                <w:sz w:val="18"/>
                <w:szCs w:val="18"/>
                <w:color w:val="auto"/>
              </w:rPr>
              <w:t>28.2%</w:t>
            </w:r>
          </w:p>
        </w:tc>
        <w:tc>
          <w:tcPr>
            <w:tcW w:w="25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2003</w:t>
            </w:r>
          </w:p>
        </w:tc>
        <w:tc>
          <w:tcPr>
            <w:tcW w:w="900" w:type="dxa"/>
            <w:vAlign w:val="bottom"/>
          </w:tcPr>
          <w:p>
            <w:pPr>
              <w:spacing w:after="0"/>
              <w:rPr>
                <w:sz w:val="18"/>
                <w:szCs w:val="18"/>
                <w:color w:val="auto"/>
              </w:rPr>
            </w:pPr>
          </w:p>
        </w:tc>
        <w:tc>
          <w:tcPr>
            <w:tcW w:w="1460" w:type="dxa"/>
            <w:vAlign w:val="bottom"/>
          </w:tcPr>
          <w:p>
            <w:pPr>
              <w:jc w:val="right"/>
              <w:ind w:right="293"/>
              <w:spacing w:after="0"/>
              <w:rPr>
                <w:sz w:val="20"/>
                <w:szCs w:val="20"/>
                <w:color w:val="auto"/>
              </w:rPr>
            </w:pPr>
            <w:r>
              <w:rPr>
                <w:rFonts w:ascii="Arial" w:cs="Arial" w:eastAsia="Arial" w:hAnsi="Arial"/>
                <w:sz w:val="18"/>
                <w:szCs w:val="18"/>
                <w:color w:val="auto"/>
              </w:rPr>
              <w:t>73.7%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2720" w:type="dxa"/>
            <w:vAlign w:val="bottom"/>
            <w:gridSpan w:val="3"/>
          </w:tcPr>
          <w:p>
            <w:pPr>
              <w:jc w:val="right"/>
              <w:ind w:right="319"/>
              <w:spacing w:after="0"/>
              <w:rPr>
                <w:sz w:val="20"/>
                <w:szCs w:val="20"/>
                <w:color w:val="auto"/>
              </w:rPr>
            </w:pPr>
            <w:r>
              <w:rPr>
                <w:rFonts w:ascii="Arial" w:cs="Arial" w:eastAsia="Arial" w:hAnsi="Arial"/>
                <w:sz w:val="18"/>
                <w:szCs w:val="18"/>
                <w:color w:val="auto"/>
              </w:rPr>
              <w:t>30.3%</w:t>
            </w:r>
          </w:p>
        </w:tc>
        <w:tc>
          <w:tcPr>
            <w:tcW w:w="2500" w:type="dxa"/>
            <w:vAlign w:val="bottom"/>
            <w:gridSpan w:val="2"/>
          </w:tcPr>
          <w:p>
            <w:pPr>
              <w:jc w:val="right"/>
              <w:ind w:right="364"/>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2004</w:t>
            </w: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73.1%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720" w:type="dxa"/>
            <w:vAlign w:val="bottom"/>
            <w:gridSpan w:val="3"/>
            <w:shd w:val="clear" w:color="auto" w:fill="CCEEFF"/>
          </w:tcPr>
          <w:p>
            <w:pPr>
              <w:jc w:val="right"/>
              <w:ind w:right="319"/>
              <w:spacing w:after="0"/>
              <w:rPr>
                <w:sz w:val="20"/>
                <w:szCs w:val="20"/>
                <w:color w:val="auto"/>
              </w:rPr>
            </w:pPr>
            <w:r>
              <w:rPr>
                <w:rFonts w:ascii="Arial" w:cs="Arial" w:eastAsia="Arial" w:hAnsi="Arial"/>
                <w:sz w:val="18"/>
                <w:szCs w:val="18"/>
                <w:color w:val="auto"/>
              </w:rPr>
              <w:t>29.1%</w:t>
            </w:r>
          </w:p>
        </w:tc>
        <w:tc>
          <w:tcPr>
            <w:tcW w:w="25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2005</w:t>
            </w:r>
          </w:p>
        </w:tc>
        <w:tc>
          <w:tcPr>
            <w:tcW w:w="900" w:type="dxa"/>
            <w:vAlign w:val="bottom"/>
          </w:tcPr>
          <w:p>
            <w:pPr>
              <w:spacing w:after="0"/>
              <w:rPr>
                <w:sz w:val="18"/>
                <w:szCs w:val="18"/>
                <w:color w:val="auto"/>
              </w:rPr>
            </w:pPr>
          </w:p>
        </w:tc>
        <w:tc>
          <w:tcPr>
            <w:tcW w:w="1460" w:type="dxa"/>
            <w:vAlign w:val="bottom"/>
          </w:tcPr>
          <w:p>
            <w:pPr>
              <w:jc w:val="right"/>
              <w:ind w:right="293"/>
              <w:spacing w:after="0"/>
              <w:rPr>
                <w:sz w:val="20"/>
                <w:szCs w:val="20"/>
                <w:color w:val="auto"/>
              </w:rPr>
            </w:pPr>
            <w:r>
              <w:rPr>
                <w:rFonts w:ascii="Arial" w:cs="Arial" w:eastAsia="Arial" w:hAnsi="Arial"/>
                <w:sz w:val="18"/>
                <w:szCs w:val="18"/>
                <w:color w:val="auto"/>
              </w:rPr>
              <w:t>73.9%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2720" w:type="dxa"/>
            <w:vAlign w:val="bottom"/>
            <w:gridSpan w:val="3"/>
          </w:tcPr>
          <w:p>
            <w:pPr>
              <w:jc w:val="right"/>
              <w:ind w:right="319"/>
              <w:spacing w:after="0"/>
              <w:rPr>
                <w:sz w:val="20"/>
                <w:szCs w:val="20"/>
                <w:color w:val="auto"/>
              </w:rPr>
            </w:pPr>
            <w:r>
              <w:rPr>
                <w:rFonts w:ascii="Arial" w:cs="Arial" w:eastAsia="Arial" w:hAnsi="Arial"/>
                <w:sz w:val="18"/>
                <w:szCs w:val="18"/>
                <w:color w:val="auto"/>
              </w:rPr>
              <w:t>27.0%</w:t>
            </w:r>
          </w:p>
        </w:tc>
        <w:tc>
          <w:tcPr>
            <w:tcW w:w="2500" w:type="dxa"/>
            <w:vAlign w:val="bottom"/>
            <w:gridSpan w:val="2"/>
          </w:tcPr>
          <w:p>
            <w:pPr>
              <w:jc w:val="right"/>
              <w:ind w:right="364"/>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2006</w:t>
            </w: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70.5%</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720" w:type="dxa"/>
            <w:vAlign w:val="bottom"/>
            <w:gridSpan w:val="3"/>
            <w:shd w:val="clear" w:color="auto" w:fill="CCEEFF"/>
          </w:tcPr>
          <w:p>
            <w:pPr>
              <w:jc w:val="right"/>
              <w:ind w:right="319"/>
              <w:spacing w:after="0"/>
              <w:rPr>
                <w:sz w:val="20"/>
                <w:szCs w:val="20"/>
                <w:color w:val="auto"/>
              </w:rPr>
            </w:pPr>
            <w:r>
              <w:rPr>
                <w:rFonts w:ascii="Arial" w:cs="Arial" w:eastAsia="Arial" w:hAnsi="Arial"/>
                <w:sz w:val="18"/>
                <w:szCs w:val="18"/>
                <w:color w:val="auto"/>
              </w:rPr>
              <w:t>23.9%</w:t>
            </w:r>
          </w:p>
        </w:tc>
        <w:tc>
          <w:tcPr>
            <w:tcW w:w="25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2007</w:t>
            </w:r>
          </w:p>
        </w:tc>
        <w:tc>
          <w:tcPr>
            <w:tcW w:w="900" w:type="dxa"/>
            <w:vAlign w:val="bottom"/>
          </w:tcPr>
          <w:p>
            <w:pPr>
              <w:spacing w:after="0"/>
              <w:rPr>
                <w:sz w:val="18"/>
                <w:szCs w:val="18"/>
                <w:color w:val="auto"/>
              </w:rPr>
            </w:pPr>
          </w:p>
        </w:tc>
        <w:tc>
          <w:tcPr>
            <w:tcW w:w="1460" w:type="dxa"/>
            <w:vAlign w:val="bottom"/>
          </w:tcPr>
          <w:p>
            <w:pPr>
              <w:jc w:val="right"/>
              <w:ind w:right="293"/>
              <w:spacing w:after="0"/>
              <w:rPr>
                <w:sz w:val="20"/>
                <w:szCs w:val="20"/>
                <w:color w:val="auto"/>
              </w:rPr>
            </w:pPr>
            <w:r>
              <w:rPr>
                <w:rFonts w:ascii="Arial" w:cs="Arial" w:eastAsia="Arial" w:hAnsi="Arial"/>
                <w:sz w:val="18"/>
                <w:szCs w:val="18"/>
                <w:color w:val="auto"/>
              </w:rPr>
              <w:t>68.4%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2720" w:type="dxa"/>
            <w:vAlign w:val="bottom"/>
            <w:gridSpan w:val="3"/>
          </w:tcPr>
          <w:p>
            <w:pPr>
              <w:jc w:val="right"/>
              <w:ind w:right="319"/>
              <w:spacing w:after="0"/>
              <w:rPr>
                <w:sz w:val="20"/>
                <w:szCs w:val="20"/>
                <w:color w:val="auto"/>
              </w:rPr>
            </w:pPr>
            <w:r>
              <w:rPr>
                <w:rFonts w:ascii="Arial" w:cs="Arial" w:eastAsia="Arial" w:hAnsi="Arial"/>
                <w:sz w:val="18"/>
                <w:szCs w:val="18"/>
                <w:color w:val="auto"/>
              </w:rPr>
              <w:t>21.9%</w:t>
            </w:r>
          </w:p>
        </w:tc>
        <w:tc>
          <w:tcPr>
            <w:tcW w:w="2500" w:type="dxa"/>
            <w:vAlign w:val="bottom"/>
            <w:gridSpan w:val="2"/>
          </w:tcPr>
          <w:p>
            <w:pPr>
              <w:jc w:val="right"/>
              <w:ind w:right="364"/>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2008</w:t>
            </w: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69.0%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720" w:type="dxa"/>
            <w:vAlign w:val="bottom"/>
            <w:gridSpan w:val="3"/>
            <w:shd w:val="clear" w:color="auto" w:fill="CCEEFF"/>
          </w:tcPr>
          <w:p>
            <w:pPr>
              <w:jc w:val="right"/>
              <w:ind w:right="319"/>
              <w:spacing w:after="0"/>
              <w:rPr>
                <w:sz w:val="20"/>
                <w:szCs w:val="20"/>
                <w:color w:val="auto"/>
              </w:rPr>
            </w:pPr>
            <w:r>
              <w:rPr>
                <w:rFonts w:ascii="Arial" w:cs="Arial" w:eastAsia="Arial" w:hAnsi="Arial"/>
                <w:sz w:val="18"/>
                <w:szCs w:val="18"/>
                <w:color w:val="auto"/>
              </w:rPr>
              <w:t>24.4%</w:t>
            </w:r>
          </w:p>
        </w:tc>
        <w:tc>
          <w:tcPr>
            <w:tcW w:w="25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2009</w:t>
            </w:r>
          </w:p>
        </w:tc>
        <w:tc>
          <w:tcPr>
            <w:tcW w:w="900" w:type="dxa"/>
            <w:vAlign w:val="bottom"/>
          </w:tcPr>
          <w:p>
            <w:pPr>
              <w:spacing w:after="0"/>
              <w:rPr>
                <w:sz w:val="20"/>
                <w:szCs w:val="20"/>
                <w:color w:val="auto"/>
              </w:rPr>
            </w:pPr>
          </w:p>
        </w:tc>
        <w:tc>
          <w:tcPr>
            <w:tcW w:w="1460" w:type="dxa"/>
            <w:vAlign w:val="bottom"/>
          </w:tcPr>
          <w:p>
            <w:pPr>
              <w:jc w:val="right"/>
              <w:ind w:right="293"/>
              <w:spacing w:after="0"/>
              <w:rPr>
                <w:sz w:val="20"/>
                <w:szCs w:val="20"/>
                <w:color w:val="auto"/>
              </w:rPr>
            </w:pPr>
            <w:r>
              <w:rPr>
                <w:rFonts w:ascii="Arial" w:cs="Arial" w:eastAsia="Arial" w:hAnsi="Arial"/>
                <w:sz w:val="18"/>
                <w:szCs w:val="18"/>
                <w:color w:val="auto"/>
              </w:rPr>
              <w:t>73.9%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2720" w:type="dxa"/>
            <w:vAlign w:val="bottom"/>
            <w:gridSpan w:val="3"/>
          </w:tcPr>
          <w:p>
            <w:pPr>
              <w:jc w:val="right"/>
              <w:ind w:right="319"/>
              <w:spacing w:after="0"/>
              <w:rPr>
                <w:sz w:val="20"/>
                <w:szCs w:val="20"/>
                <w:color w:val="auto"/>
              </w:rPr>
            </w:pPr>
            <w:r>
              <w:rPr>
                <w:rFonts w:ascii="Arial" w:cs="Arial" w:eastAsia="Arial" w:hAnsi="Arial"/>
                <w:sz w:val="18"/>
                <w:szCs w:val="18"/>
                <w:color w:val="auto"/>
              </w:rPr>
              <w:t>30.2%</w:t>
            </w:r>
          </w:p>
        </w:tc>
        <w:tc>
          <w:tcPr>
            <w:tcW w:w="2500" w:type="dxa"/>
            <w:vAlign w:val="bottom"/>
            <w:gridSpan w:val="2"/>
          </w:tcPr>
          <w:p>
            <w:pPr>
              <w:jc w:val="right"/>
              <w:ind w:right="364"/>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table presents forecasted consumer loan collection rates, advance rates (includes amounts paid to acquire purchased loans), and the spread (the forecasted collection rate less the advance rate) as of September 30, 2009 for purchased loans and dealer loans separately: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Loan Assignment Year</w:t>
            </w:r>
          </w:p>
        </w:tc>
        <w:tc>
          <w:tcPr>
            <w:tcW w:w="46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Forecasted</w:t>
            </w:r>
          </w:p>
        </w:tc>
        <w:tc>
          <w:tcPr>
            <w:tcW w:w="48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Advance %</w:t>
            </w:r>
          </w:p>
        </w:tc>
        <w:tc>
          <w:tcPr>
            <w:tcW w:w="480" w:type="dxa"/>
            <w:vAlign w:val="bottom"/>
          </w:tcPr>
          <w:p>
            <w:pPr>
              <w:spacing w:after="0"/>
              <w:rPr>
                <w:sz w:val="14"/>
                <w:szCs w:val="14"/>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Collection %</w:t>
            </w:r>
          </w:p>
        </w:tc>
        <w:tc>
          <w:tcPr>
            <w:tcW w:w="4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68.5%</w:t>
            </w:r>
          </w:p>
        </w:tc>
        <w:tc>
          <w:tcPr>
            <w:tcW w:w="1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48.8%</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68.0%</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46.6%</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73.8%</w:t>
            </w:r>
          </w:p>
        </w:tc>
        <w:tc>
          <w:tcPr>
            <w:tcW w:w="1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45.8%</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Dealer loans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68.4%</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45.9%</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69.7%</w:t>
            </w:r>
          </w:p>
        </w:tc>
        <w:tc>
          <w:tcPr>
            <w:tcW w:w="1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43.5%</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73.9%</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43.2%</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Although the advance rate on purchased loans is higher as compared to the advance rate on dealer loans, purchased loans do not require the Company to pay dealer holdback. The increase in the spread between the forecasted collection rate and the advance rate during 2008 and 2009 occurred as a result of pricing changes implemented during the first nine months of 2008 and improving forecasted collection rates during the first nine months of 2009.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Access to Capital</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third quarter of 2009, the maturity of the $325.0 million revolving secured warehouse facility was extended. The agreement was modified to provide that in the event that the facility is not renewed after the revolving period ends on August 23, 2010, and the borrower is in compliance with the terms and conditions of the agreement, the facility will amortize for a twelve month period ending August 23, 2011. During this time, the outstanding debt will be paid down through the collections on the contributed assets. At the end of the twelve month period, the balance of the facility will be due and payable. Additionally, the interest rate on borrowings under the facility was increased from the commercial paper rate plus 100 basis points to the commercial paper rate plus 500 basis points.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2009, the amount of the $50.0 million revolving secured warehouse facility was increased to $75.0 million. In addition, the expiration of the revolving period on the facility was extended from May 23, 2010 to August 31, 2011 and the maturity of the facility was extended from May 23, 2011 to August 31, 2012. Finally, the interest rate on the facility was increased from a floating rate equal to LIBOR plus 177.5 basis points to LIBOR plus 375.0 basis points. There were no other material changes to the terms of the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12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ability to maintain and grow consumer loan volume is impacted by our pricing strategy, the number of dealer-partners actively participating in our programs, and the competitive environment. The following table summarizes changes in consumer loan dollar and unit volume in each of the last seven quarters as compared to the same period in the previous year: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2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Consumer Loans</w:t>
            </w:r>
          </w:p>
        </w:tc>
        <w:tc>
          <w:tcPr>
            <w:tcW w:w="0" w:type="dxa"/>
            <w:vAlign w:val="bottom"/>
          </w:tcPr>
          <w:p>
            <w:pPr>
              <w:spacing w:after="0"/>
              <w:rPr>
                <w:sz w:val="1"/>
                <w:szCs w:val="1"/>
                <w:color w:val="auto"/>
              </w:rPr>
            </w:pPr>
          </w:p>
        </w:tc>
      </w:tr>
      <w:tr>
        <w:trPr>
          <w:trHeight w:val="171"/>
        </w:trPr>
        <w:tc>
          <w:tcPr>
            <w:tcW w:w="8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27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Year over Year Percent Change</w:t>
            </w:r>
          </w:p>
        </w:tc>
        <w:tc>
          <w:tcPr>
            <w:tcW w:w="0" w:type="dxa"/>
            <w:vAlign w:val="bottom"/>
          </w:tcPr>
          <w:p>
            <w:pPr>
              <w:spacing w:after="0"/>
              <w:rPr>
                <w:sz w:val="1"/>
                <w:szCs w:val="1"/>
                <w:color w:val="auto"/>
              </w:rPr>
            </w:pPr>
          </w:p>
        </w:tc>
      </w:tr>
      <w:tr>
        <w:trPr>
          <w:trHeight w:val="142"/>
        </w:trPr>
        <w:tc>
          <w:tcPr>
            <w:tcW w:w="8700" w:type="dxa"/>
            <w:vAlign w:val="bottom"/>
            <w:gridSpan w:val="3"/>
            <w:vMerge w:val="continue"/>
          </w:tcPr>
          <w:p>
            <w:pPr>
              <w:spacing w:after="0"/>
              <w:rPr>
                <w:sz w:val="12"/>
                <w:szCs w:val="12"/>
                <w:color w:val="auto"/>
              </w:rPr>
            </w:pPr>
          </w:p>
        </w:tc>
        <w:tc>
          <w:tcPr>
            <w:tcW w:w="11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Dollar Volume</w:t>
            </w:r>
          </w:p>
        </w:tc>
        <w:tc>
          <w:tcPr>
            <w:tcW w:w="540" w:type="dxa"/>
            <w:vAlign w:val="bottom"/>
          </w:tcPr>
          <w:p>
            <w:pPr>
              <w:spacing w:after="0"/>
              <w:rPr>
                <w:sz w:val="12"/>
                <w:szCs w:val="12"/>
                <w:color w:val="auto"/>
              </w:rPr>
            </w:pPr>
          </w:p>
        </w:tc>
        <w:tc>
          <w:tcPr>
            <w:tcW w:w="10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Unit 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2008</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28.5%</w:t>
            </w:r>
          </w:p>
        </w:tc>
        <w:tc>
          <w:tcPr>
            <w:tcW w:w="5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June 30, 2008</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40.6%</w:t>
            </w:r>
          </w:p>
        </w:tc>
        <w:tc>
          <w:tcPr>
            <w:tcW w:w="1600" w:type="dxa"/>
            <w:vAlign w:val="bottom"/>
            <w:gridSpan w:val="2"/>
          </w:tcPr>
          <w:p>
            <w:pPr>
              <w:jc w:val="right"/>
              <w:ind w:right="99"/>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27.5%</w:t>
            </w:r>
          </w:p>
        </w:tc>
        <w:tc>
          <w:tcPr>
            <w:tcW w:w="16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-21.0%</w:t>
            </w:r>
          </w:p>
        </w:tc>
        <w:tc>
          <w:tcPr>
            <w:tcW w:w="1600" w:type="dxa"/>
            <w:vAlign w:val="bottom"/>
            <w:gridSpan w:val="2"/>
          </w:tcPr>
          <w:p>
            <w:pPr>
              <w:jc w:val="right"/>
              <w:ind w:right="99"/>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-26.3%</w:t>
            </w:r>
          </w:p>
        </w:tc>
        <w:tc>
          <w:tcPr>
            <w:tcW w:w="16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-30.2%</w:t>
            </w:r>
          </w:p>
        </w:tc>
        <w:tc>
          <w:tcPr>
            <w:tcW w:w="1600" w:type="dxa"/>
            <w:vAlign w:val="bottom"/>
            <w:gridSpan w:val="2"/>
          </w:tcPr>
          <w:p>
            <w:pPr>
              <w:jc w:val="right"/>
              <w:ind w:right="99"/>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-13.6%</w:t>
            </w:r>
          </w:p>
        </w:tc>
        <w:tc>
          <w:tcPr>
            <w:tcW w:w="16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Dollar and unit volume declined during the first three quarters of 2009 as compared to the same periods in 2008 due to pricing changes implemented during the first nine months of 2008.</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a result of our success in renewing our debt facilities, we are now in position to begin growing year over year unit volumes. In September 2009, we implemented a pricing change that was intended to have a positive impact on unit volume, in exchange for modestly lower returns on capital. As a result of this change, unit volume increased by 9.0% in September 2009 as compared to September of 2008 with dollar volume increasing by 3.0%. We will continue to monitor unit volumes and will make additional pricing changes with an objective to maximize economic profit given the capital we have available. Future growth rates will depend on how unit volumes respond to pricing changes, which will be influenced to a large degree by how quickly competition returns to our market.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changes in consumer loan unit volume and active dealer-partners: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2"/>
              </w:rPr>
              <w:t>Three Months Ended September 30,</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8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4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26,069</w:t>
            </w:r>
          </w:p>
        </w:tc>
        <w:tc>
          <w:tcPr>
            <w:tcW w:w="17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27,636</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Active dealer-partners (1)</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2,240</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2,270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dealer-partner</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17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Consumer loan unit volume from dealer-partners active both periods</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17,818</w:t>
            </w:r>
          </w:p>
        </w:tc>
        <w:tc>
          <w:tcPr>
            <w:tcW w:w="1780" w:type="dxa"/>
            <w:vAlign w:val="bottom"/>
            <w:gridSpan w:val="5"/>
          </w:tcPr>
          <w:p>
            <w:pPr>
              <w:jc w:val="right"/>
              <w:ind w:right="340"/>
              <w:spacing w:after="0"/>
              <w:rPr>
                <w:sz w:val="20"/>
                <w:szCs w:val="20"/>
                <w:color w:val="auto"/>
              </w:rPr>
            </w:pPr>
            <w:r>
              <w:rPr>
                <w:rFonts w:ascii="Arial" w:cs="Arial" w:eastAsia="Arial" w:hAnsi="Arial"/>
                <w:sz w:val="18"/>
                <w:szCs w:val="18"/>
                <w:color w:val="auto"/>
              </w:rPr>
              <w:t>19,529</w:t>
            </w:r>
          </w:p>
        </w:tc>
        <w:tc>
          <w:tcPr>
            <w:tcW w:w="50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Dealer-partners active both periods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1,293</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4"/>
        </w:trPr>
        <w:tc>
          <w:tcPr>
            <w:tcW w:w="7080" w:type="dxa"/>
            <w:vAlign w:val="bottom"/>
            <w:gridSpan w:val="2"/>
          </w:tcPr>
          <w:p>
            <w:pPr>
              <w:spacing w:after="0"/>
              <w:rPr>
                <w:sz w:val="20"/>
                <w:szCs w:val="20"/>
                <w:color w:val="auto"/>
              </w:rPr>
            </w:pPr>
            <w:r>
              <w:rPr>
                <w:rFonts w:ascii="Arial" w:cs="Arial" w:eastAsia="Arial" w:hAnsi="Arial"/>
                <w:sz w:val="18"/>
                <w:szCs w:val="18"/>
                <w:color w:val="auto"/>
              </w:rPr>
              <w:t>Average volume per dealer-partners active both periods</w:t>
            </w: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940" w:type="dxa"/>
            <w:vAlign w:val="bottom"/>
            <w:gridSpan w:val="3"/>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new dealer-partners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1,301</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New active dealer-partners (2)</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1780" w:type="dxa"/>
            <w:vAlign w:val="bottom"/>
            <w:gridSpan w:val="5"/>
          </w:tcPr>
          <w:p>
            <w:pPr>
              <w:jc w:val="right"/>
              <w:ind w:right="340"/>
              <w:spacing w:after="0"/>
              <w:rPr>
                <w:sz w:val="20"/>
                <w:szCs w:val="20"/>
                <w:color w:val="auto"/>
              </w:rPr>
            </w:pPr>
            <w:r>
              <w:rPr>
                <w:rFonts w:ascii="Arial" w:cs="Arial" w:eastAsia="Arial" w:hAnsi="Arial"/>
                <w:sz w:val="18"/>
                <w:szCs w:val="18"/>
                <w:color w:val="auto"/>
              </w:rPr>
              <w:t>300</w:t>
            </w:r>
          </w:p>
        </w:tc>
        <w:tc>
          <w:tcPr>
            <w:tcW w:w="50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dealer-partners</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Attrition (3)</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-29.3%</w:t>
            </w:r>
          </w:p>
        </w:tc>
        <w:tc>
          <w:tcPr>
            <w:tcW w:w="1780" w:type="dxa"/>
            <w:vAlign w:val="bottom"/>
            <w:gridSpan w:val="5"/>
          </w:tcPr>
          <w:p>
            <w:pPr>
              <w:jc w:val="right"/>
              <w:ind w:right="180"/>
              <w:spacing w:after="0"/>
              <w:rPr>
                <w:sz w:val="20"/>
                <w:szCs w:val="20"/>
                <w:color w:val="auto"/>
              </w:rPr>
            </w:pPr>
            <w:r>
              <w:rPr>
                <w:rFonts w:ascii="Arial" w:cs="Arial" w:eastAsia="Arial" w:hAnsi="Arial"/>
                <w:sz w:val="18"/>
                <w:szCs w:val="18"/>
                <w:color w:val="auto"/>
              </w:rPr>
              <w:t>-20.6%</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Active dealer-partners are dealer-partners who have received funding for at least one dealer loan or purchased loan during the period.</w:t>
      </w:r>
    </w:p>
    <w:p>
      <w:pPr>
        <w:spacing w:after="0" w:line="7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active dealer-partners are dealer-partners who enrolled in our program and have received funding for their first dealer loan or purchased loan from us during the periods presented.</w:t>
      </w:r>
    </w:p>
    <w:p>
      <w:pPr>
        <w:spacing w:after="0" w:line="21"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Attrition is measured according to the following formula: decrease in consumer loan unit volume from dealer-partners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Consumer loans are assigned to us through either our portfolio program or our purchase program. The following table summarizes the portion of our consumer loan volume that was assigned to us through our purchase program: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728"/>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708"/>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900" w:type="dxa"/>
            <w:vAlign w:val="bottom"/>
          </w:tcPr>
          <w:p>
            <w:pPr>
              <w:spacing w:after="0"/>
              <w:rPr>
                <w:sz w:val="12"/>
                <w:szCs w:val="12"/>
                <w:color w:val="auto"/>
              </w:rPr>
            </w:pPr>
          </w:p>
        </w:tc>
        <w:tc>
          <w:tcPr>
            <w:tcW w:w="8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80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New purchased loan unit volume as a percentage of total unit volume</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11.0%</w:t>
            </w:r>
          </w:p>
        </w:tc>
        <w:tc>
          <w:tcPr>
            <w:tcW w:w="168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30.8%</w:t>
            </w: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86"/>
              </w:rPr>
              <w:t>14.6%</w:t>
            </w:r>
          </w:p>
        </w:tc>
        <w:tc>
          <w:tcPr>
            <w:tcW w:w="17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31.6%</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New purchased loan dollar volume as a percentage of total dollar volume</w:t>
            </w:r>
          </w:p>
        </w:tc>
        <w:tc>
          <w:tcPr>
            <w:tcW w:w="820" w:type="dxa"/>
            <w:vAlign w:val="bottom"/>
          </w:tcPr>
          <w:p>
            <w:pPr>
              <w:ind w:left="340"/>
              <w:spacing w:after="0"/>
              <w:rPr>
                <w:sz w:val="20"/>
                <w:szCs w:val="20"/>
                <w:color w:val="auto"/>
              </w:rPr>
            </w:pPr>
            <w:r>
              <w:rPr>
                <w:rFonts w:ascii="Arial" w:cs="Arial" w:eastAsia="Arial" w:hAnsi="Arial"/>
                <w:sz w:val="18"/>
                <w:szCs w:val="18"/>
                <w:color w:val="auto"/>
                <w:w w:val="90"/>
              </w:rPr>
              <w:t>13.3%</w:t>
            </w:r>
          </w:p>
        </w:tc>
        <w:tc>
          <w:tcPr>
            <w:tcW w:w="1680" w:type="dxa"/>
            <w:vAlign w:val="bottom"/>
            <w:gridSpan w:val="3"/>
          </w:tcPr>
          <w:p>
            <w:pPr>
              <w:ind w:left="1040"/>
              <w:spacing w:after="0"/>
              <w:rPr>
                <w:sz w:val="20"/>
                <w:szCs w:val="20"/>
                <w:color w:val="auto"/>
              </w:rPr>
            </w:pPr>
            <w:r>
              <w:rPr>
                <w:rFonts w:ascii="Arial" w:cs="Arial" w:eastAsia="Arial" w:hAnsi="Arial"/>
                <w:sz w:val="18"/>
                <w:szCs w:val="18"/>
                <w:color w:val="auto"/>
              </w:rPr>
              <w:t>36.1%</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w w:val="86"/>
              </w:rPr>
              <w:t>17.6%</w:t>
            </w:r>
          </w:p>
        </w:tc>
        <w:tc>
          <w:tcPr>
            <w:tcW w:w="1700" w:type="dxa"/>
            <w:vAlign w:val="bottom"/>
            <w:gridSpan w:val="3"/>
          </w:tcPr>
          <w:p>
            <w:pPr>
              <w:ind w:left="1060"/>
              <w:spacing w:after="0"/>
              <w:rPr>
                <w:sz w:val="20"/>
                <w:szCs w:val="20"/>
                <w:color w:val="auto"/>
              </w:rPr>
            </w:pPr>
            <w:r>
              <w:rPr>
                <w:rFonts w:ascii="Arial" w:cs="Arial" w:eastAsia="Arial" w:hAnsi="Arial"/>
                <w:sz w:val="18"/>
                <w:szCs w:val="18"/>
                <w:color w:val="auto"/>
              </w:rPr>
              <w:t>36.5%</w:t>
            </w:r>
          </w:p>
        </w:tc>
      </w:tr>
    </w:tbl>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three and nine months ended September 30, 2009, new purchased loan unit and dollar volume as a percentage of total unit and dollar volume, respectively, decreased as compared to 2008 due to pricing changes implemented during 2008.</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2009 and December 31, 2008, the net purchased loan receivable balance was 28.3% and 30.3%, respectively, of the total net receivable balance.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Adjusted Financial Results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incentive compensation. The table below shows our results following adjustments to reflect non-GAAP accounting methods. These adjustments are explained in the table footnotes and the subsequent “Floating Yield Adjustment” and “Program Fee Yield Adjustment” sections. Measures such as adjusted average capital, adjusted net income, adjusted net income per diluted share, adjusted net income plus interest expense after-tax, adjusted return on capital, adjusted revenue, operating expenses, and economic profit are all non-GAAP financial measures. These non-GAAP financial measures should be viewed in addition to, and not as an alternative for, our reported results prepared in accordance with GAAP.</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Adjusted financial results for the three and nine months ended September 30, 2009, compared to the same period in 2008, include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99"/>
              </w:rPr>
              <w:t>Three Months Ended</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2008</w:t>
            </w:r>
          </w:p>
        </w:tc>
        <w:tc>
          <w:tcPr>
            <w:tcW w:w="10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2008</w:t>
            </w:r>
          </w:p>
        </w:tc>
        <w:tc>
          <w:tcPr>
            <w:tcW w:w="11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Adjusted average capital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1,000,340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1,031,581</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7"/>
              </w:rPr>
              <w:t>1,001,690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961,944</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Adjusted 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34,691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22,260</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55.8%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89,536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59,220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Adjusted interest expense (after-tax)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7,081</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15,166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19,996</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Adjusted net income plus interest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expense (after-tax)</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39,916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29,341</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36.0%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104,702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79,216</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11.4%</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Cost of capital</w:t>
            </w:r>
          </w:p>
        </w:tc>
        <w:tc>
          <w:tcPr>
            <w:tcW w:w="2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6.5%</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Economic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22,515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12,628</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55,894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32,466</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GAAP diluted weighted average</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shares outstanding</w:t>
            </w:r>
          </w:p>
        </w:tc>
        <w:tc>
          <w:tcPr>
            <w:tcW w:w="200" w:type="dxa"/>
            <w:vAlign w:val="bottom"/>
          </w:tcPr>
          <w:p>
            <w:pPr>
              <w:spacing w:after="0"/>
              <w:rPr>
                <w:sz w:val="20"/>
                <w:szCs w:val="20"/>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31,539,119</w:t>
            </w:r>
          </w:p>
        </w:tc>
        <w:tc>
          <w:tcPr>
            <w:tcW w:w="440" w:type="dxa"/>
            <w:vAlign w:val="bottom"/>
          </w:tcPr>
          <w:p>
            <w:pPr>
              <w:spacing w:after="0"/>
              <w:rPr>
                <w:sz w:val="20"/>
                <w:szCs w:val="20"/>
                <w:color w:val="auto"/>
              </w:rPr>
            </w:pPr>
          </w:p>
        </w:tc>
        <w:tc>
          <w:tcPr>
            <w:tcW w:w="1240" w:type="dxa"/>
            <w:vAlign w:val="bottom"/>
          </w:tcPr>
          <w:p>
            <w:pPr>
              <w:jc w:val="right"/>
              <w:ind w:right="332"/>
              <w:spacing w:after="0"/>
              <w:rPr>
                <w:sz w:val="20"/>
                <w:szCs w:val="20"/>
                <w:color w:val="auto"/>
              </w:rPr>
            </w:pPr>
            <w:r>
              <w:rPr>
                <w:rFonts w:ascii="Arial" w:cs="Arial" w:eastAsia="Arial" w:hAnsi="Arial"/>
                <w:sz w:val="18"/>
                <w:szCs w:val="18"/>
                <w:color w:val="auto"/>
                <w:w w:val="88"/>
              </w:rPr>
              <w:t>31,024,455</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w w:val="86"/>
              </w:rPr>
              <w:t>31,370,580</w:t>
            </w:r>
          </w:p>
        </w:tc>
        <w:tc>
          <w:tcPr>
            <w:tcW w:w="440" w:type="dxa"/>
            <w:vAlign w:val="bottom"/>
          </w:tcPr>
          <w:p>
            <w:pPr>
              <w:spacing w:after="0"/>
              <w:rPr>
                <w:sz w:val="20"/>
                <w:szCs w:val="20"/>
                <w:color w:val="auto"/>
              </w:rPr>
            </w:pPr>
          </w:p>
        </w:tc>
        <w:tc>
          <w:tcPr>
            <w:tcW w:w="1240" w:type="dxa"/>
            <w:vAlign w:val="bottom"/>
          </w:tcPr>
          <w:p>
            <w:pPr>
              <w:jc w:val="right"/>
              <w:ind w:right="332"/>
              <w:spacing w:after="0"/>
              <w:rPr>
                <w:sz w:val="20"/>
                <w:szCs w:val="20"/>
                <w:color w:val="auto"/>
              </w:rPr>
            </w:pPr>
            <w:r>
              <w:rPr>
                <w:rFonts w:ascii="Arial" w:cs="Arial" w:eastAsia="Arial" w:hAnsi="Arial"/>
                <w:sz w:val="18"/>
                <w:szCs w:val="18"/>
                <w:color w:val="auto"/>
                <w:w w:val="88"/>
              </w:rPr>
              <w:t>30,994,466</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diluted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0.72</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2.85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1.91</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Economic profit increased 78.3% for the three months ended September 30, 2009, and increased 72.2% for the nine months ended September 30, 2009, as compared to the same periods in 2008. Economic profit is a function of the return on capital in excess of the cost of capital and the amount of capital invested in the business.</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three months ended September 30, 2009, adjusted average capital decreased by 3.0% and the adjusted return on capital increased from 11.4% to 16.0%, as compared to the same period in 2008. For the nine months ended September 30, 2009, adjusted average capital grew by 4.1% and the adjusted return on capital increased from 11.0% to 13.9%, as compared to the same period in 2008. The increase in the return on capital for the three and nine month periods was primarily due to the following:</w:t>
      </w:r>
    </w:p>
    <w:p>
      <w:pPr>
        <w:spacing w:after="0" w:line="79" w:lineRule="exact"/>
        <w:rPr>
          <w:sz w:val="20"/>
          <w:szCs w:val="20"/>
          <w:color w:val="auto"/>
        </w:rPr>
      </w:pPr>
    </w:p>
    <w:p>
      <w:pPr>
        <w:ind w:left="660" w:right="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Finance charges, as a percentage of adjusted average capital, increased due to pricing changes implemented during the first nine months of 2008 and an increase in forecasted collection rates during the first nine months of 2009.</w:t>
      </w:r>
    </w:p>
    <w:p>
      <w:pPr>
        <w:spacing w:after="0" w:line="75" w:lineRule="exact"/>
        <w:rPr>
          <w:rFonts w:ascii="Arial" w:cs="Arial" w:eastAsia="Arial" w:hAnsi="Arial"/>
          <w:sz w:val="18"/>
          <w:szCs w:val="18"/>
          <w:b w:val="1"/>
          <w:bCs w:val="1"/>
          <w:color w:val="auto"/>
        </w:rPr>
      </w:pPr>
    </w:p>
    <w:p>
      <w:pPr>
        <w:ind w:left="660" w:right="100" w:hanging="436"/>
        <w:spacing w:after="0" w:line="25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formation of VSC Re during the fourth quarter of 2008. The VSC Re earnings are recognized on an accrual basis and recorded as premiums earned less premium tax and provision for claims. Previously, earnings on vehicle service contracts, excluding our commissions, were recorded as other income and realized when profit sharing payments were received from third party administrators. The following table shows the after-tax earnings from VSC Re and profit sharing payments received and recorded as other income for the three and nine months ended September 30, 2009 and 2008: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3460" w:type="dxa"/>
            <w:vAlign w:val="bottom"/>
            <w:gridSpan w:val="8"/>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 less premium tax and provision for claims (after-tax)</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Earnings from profit sharing payments (after-tax)</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financial results from VSC Re for the three and nine months ended September 30, 2009 include $2.1 million of after-tax earnings related to a revision in our timing used to recognize premiums earned. We revised our timing in order to better match the timing of our revenue recognition with our expected costs of servicing our vehicle service contracts, which is based on our historical claims experience.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t>The increase in the return on capital for the nine months ended September 30, 2009 was also impacted by decreased operating expenses, as a percentage of adjusted average capital, due to:</w:t>
      </w:r>
    </w:p>
    <w:p>
      <w:pPr>
        <w:spacing w:after="0" w:line="62" w:lineRule="exact"/>
        <w:rPr>
          <w:sz w:val="20"/>
          <w:szCs w:val="20"/>
          <w:color w:val="auto"/>
        </w:rPr>
      </w:pPr>
    </w:p>
    <w:p>
      <w:pPr>
        <w:ind w:left="660" w:right="54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 increased percentage of loan origination costs being deferred due to an increase in the dealer loan unit volume as a percentage of total unit volume.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Lower sales commissions due to a reduction in unit volume.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Reduced expenses related to information technology.</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adjusted revenue and operating expenses as a percentage of adjusted average capital and the percentage change in adjusted average capital for each of the last eight quarters, compared to the same periods in the prior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Sept. 30,</w:t>
            </w:r>
          </w:p>
        </w:tc>
        <w:tc>
          <w:tcPr>
            <w:tcW w:w="280" w:type="dxa"/>
            <w:vAlign w:val="bottom"/>
          </w:tcPr>
          <w:p>
            <w:pPr>
              <w:spacing w:after="0"/>
              <w:rPr>
                <w:sz w:val="10"/>
                <w:szCs w:val="10"/>
                <w:color w:val="auto"/>
              </w:rPr>
            </w:pPr>
          </w:p>
        </w:tc>
        <w:tc>
          <w:tcPr>
            <w:tcW w:w="88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Jun. 30,</w:t>
            </w:r>
          </w:p>
        </w:tc>
        <w:tc>
          <w:tcPr>
            <w:tcW w:w="280" w:type="dxa"/>
            <w:vAlign w:val="bottom"/>
          </w:tcPr>
          <w:p>
            <w:pPr>
              <w:spacing w:after="0"/>
              <w:rPr>
                <w:sz w:val="10"/>
                <w:szCs w:val="10"/>
                <w:color w:val="auto"/>
              </w:rPr>
            </w:pPr>
          </w:p>
        </w:tc>
        <w:tc>
          <w:tcPr>
            <w:tcW w:w="88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auto"/>
              </w:rPr>
              <w:t>Mar. 31,</w:t>
            </w:r>
          </w:p>
        </w:tc>
        <w:tc>
          <w:tcPr>
            <w:tcW w:w="280" w:type="dxa"/>
            <w:vAlign w:val="bottom"/>
          </w:tcPr>
          <w:p>
            <w:pPr>
              <w:spacing w:after="0"/>
              <w:rPr>
                <w:sz w:val="10"/>
                <w:szCs w:val="10"/>
                <w:color w:val="auto"/>
              </w:rPr>
            </w:pPr>
          </w:p>
        </w:tc>
        <w:tc>
          <w:tcPr>
            <w:tcW w:w="880" w:type="dxa"/>
            <w:vAlign w:val="bottom"/>
            <w:gridSpan w:val="3"/>
          </w:tcPr>
          <w:p>
            <w:pPr>
              <w:ind w:left="200"/>
              <w:spacing w:after="0" w:line="119" w:lineRule="exact"/>
              <w:rPr>
                <w:sz w:val="20"/>
                <w:szCs w:val="20"/>
                <w:color w:val="auto"/>
              </w:rPr>
            </w:pPr>
            <w:r>
              <w:rPr>
                <w:rFonts w:ascii="Arial" w:cs="Arial" w:eastAsia="Arial" w:hAnsi="Arial"/>
                <w:sz w:val="13"/>
                <w:szCs w:val="13"/>
                <w:b w:val="1"/>
                <w:bCs w:val="1"/>
                <w:color w:val="auto"/>
              </w:rPr>
              <w:t>Dec. 31,</w:t>
            </w:r>
          </w:p>
        </w:tc>
        <w:tc>
          <w:tcPr>
            <w:tcW w:w="280" w:type="dxa"/>
            <w:vAlign w:val="bottom"/>
          </w:tcPr>
          <w:p>
            <w:pPr>
              <w:spacing w:after="0"/>
              <w:rPr>
                <w:sz w:val="10"/>
                <w:szCs w:val="10"/>
                <w:color w:val="auto"/>
              </w:rPr>
            </w:pPr>
          </w:p>
        </w:tc>
        <w:tc>
          <w:tcPr>
            <w:tcW w:w="920" w:type="dxa"/>
            <w:vAlign w:val="bottom"/>
            <w:gridSpan w:val="3"/>
          </w:tcPr>
          <w:p>
            <w:pPr>
              <w:ind w:left="200"/>
              <w:spacing w:after="0" w:line="119" w:lineRule="exact"/>
              <w:rPr>
                <w:sz w:val="20"/>
                <w:szCs w:val="20"/>
                <w:color w:val="auto"/>
              </w:rPr>
            </w:pPr>
            <w:r>
              <w:rPr>
                <w:rFonts w:ascii="Arial" w:cs="Arial" w:eastAsia="Arial" w:hAnsi="Arial"/>
                <w:sz w:val="13"/>
                <w:szCs w:val="13"/>
                <w:b w:val="1"/>
                <w:bCs w:val="1"/>
                <w:color w:val="auto"/>
              </w:rPr>
              <w:t>Sept. 30,</w:t>
            </w:r>
          </w:p>
        </w:tc>
        <w:tc>
          <w:tcPr>
            <w:tcW w:w="280" w:type="dxa"/>
            <w:vAlign w:val="bottom"/>
          </w:tcPr>
          <w:p>
            <w:pPr>
              <w:spacing w:after="0"/>
              <w:rPr>
                <w:sz w:val="10"/>
                <w:szCs w:val="10"/>
                <w:color w:val="auto"/>
              </w:rPr>
            </w:pPr>
          </w:p>
        </w:tc>
        <w:tc>
          <w:tcPr>
            <w:tcW w:w="92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Jun. 30,</w:t>
            </w:r>
          </w:p>
        </w:tc>
        <w:tc>
          <w:tcPr>
            <w:tcW w:w="280" w:type="dxa"/>
            <w:vAlign w:val="bottom"/>
          </w:tcPr>
          <w:p>
            <w:pPr>
              <w:spacing w:after="0"/>
              <w:rPr>
                <w:sz w:val="10"/>
                <w:szCs w:val="10"/>
                <w:color w:val="auto"/>
              </w:rPr>
            </w:pPr>
          </w:p>
        </w:tc>
        <w:tc>
          <w:tcPr>
            <w:tcW w:w="920" w:type="dxa"/>
            <w:vAlign w:val="bottom"/>
            <w:gridSpan w:val="3"/>
          </w:tcPr>
          <w:p>
            <w:pPr>
              <w:ind w:left="200"/>
              <w:spacing w:after="0" w:line="119" w:lineRule="exact"/>
              <w:rPr>
                <w:sz w:val="20"/>
                <w:szCs w:val="20"/>
                <w:color w:val="auto"/>
              </w:rPr>
            </w:pPr>
            <w:r>
              <w:rPr>
                <w:rFonts w:ascii="Arial" w:cs="Arial" w:eastAsia="Arial" w:hAnsi="Arial"/>
                <w:sz w:val="13"/>
                <w:szCs w:val="13"/>
                <w:b w:val="1"/>
                <w:bCs w:val="1"/>
                <w:color w:val="auto"/>
              </w:rPr>
              <w:t>Mar. 31,</w:t>
            </w:r>
          </w:p>
        </w:tc>
        <w:tc>
          <w:tcPr>
            <w:tcW w:w="280" w:type="dxa"/>
            <w:vAlign w:val="bottom"/>
          </w:tcPr>
          <w:p>
            <w:pPr>
              <w:spacing w:after="0"/>
              <w:rPr>
                <w:sz w:val="10"/>
                <w:szCs w:val="10"/>
                <w:color w:val="auto"/>
              </w:rPr>
            </w:pPr>
          </w:p>
        </w:tc>
        <w:tc>
          <w:tcPr>
            <w:tcW w:w="92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860" w:type="dxa"/>
            <w:vAlign w:val="bottom"/>
            <w:gridSpan w:val="3"/>
          </w:tcPr>
          <w:p>
            <w:pPr>
              <w:ind w:left="580"/>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860" w:type="dxa"/>
            <w:vAlign w:val="bottom"/>
            <w:gridSpan w:val="3"/>
          </w:tcPr>
          <w:p>
            <w:pPr>
              <w:ind w:left="580"/>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900" w:type="dxa"/>
            <w:vAlign w:val="bottom"/>
            <w:gridSpan w:val="3"/>
          </w:tcPr>
          <w:p>
            <w:pPr>
              <w:ind w:left="600"/>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880" w:type="dxa"/>
            <w:vAlign w:val="bottom"/>
            <w:gridSpan w:val="3"/>
          </w:tcPr>
          <w:p>
            <w:pPr>
              <w:ind w:left="600"/>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880" w:type="dxa"/>
            <w:vAlign w:val="bottom"/>
            <w:gridSpan w:val="3"/>
          </w:tcPr>
          <w:p>
            <w:pPr>
              <w:ind w:left="600"/>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revenue as a</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 adjusted</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capital</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116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30.7%</w:t>
            </w:r>
          </w:p>
        </w:tc>
        <w:tc>
          <w:tcPr>
            <w:tcW w:w="116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30.2%</w:t>
            </w:r>
          </w:p>
        </w:tc>
        <w:tc>
          <w:tcPr>
            <w:tcW w:w="1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28.9%</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1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30.7%</w:t>
            </w:r>
          </w:p>
        </w:tc>
        <w:tc>
          <w:tcPr>
            <w:tcW w:w="1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 as a</w:t>
            </w: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percentage of adjusted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average capital</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11.3%</w:t>
            </w: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10.7%</w:t>
            </w:r>
          </w:p>
        </w:tc>
        <w:tc>
          <w:tcPr>
            <w:tcW w:w="1160" w:type="dxa"/>
            <w:vAlign w:val="bottom"/>
            <w:gridSpan w:val="4"/>
          </w:tcPr>
          <w:p>
            <w:pPr>
              <w:ind w:left="560"/>
              <w:spacing w:after="0"/>
              <w:rPr>
                <w:sz w:val="20"/>
                <w:szCs w:val="20"/>
                <w:color w:val="auto"/>
              </w:rPr>
            </w:pPr>
            <w:r>
              <w:rPr>
                <w:rFonts w:ascii="Arial" w:cs="Arial" w:eastAsia="Arial" w:hAnsi="Arial"/>
                <w:sz w:val="18"/>
                <w:szCs w:val="18"/>
                <w:color w:val="auto"/>
              </w:rPr>
              <w:t>11.6%</w:t>
            </w:r>
          </w:p>
        </w:tc>
        <w:tc>
          <w:tcPr>
            <w:tcW w:w="1160" w:type="dxa"/>
            <w:vAlign w:val="bottom"/>
            <w:gridSpan w:val="4"/>
          </w:tcPr>
          <w:p>
            <w:pPr>
              <w:ind w:left="560"/>
              <w:spacing w:after="0"/>
              <w:rPr>
                <w:sz w:val="20"/>
                <w:szCs w:val="20"/>
                <w:color w:val="auto"/>
              </w:rPr>
            </w:pPr>
            <w:r>
              <w:rPr>
                <w:rFonts w:ascii="Arial" w:cs="Arial" w:eastAsia="Arial" w:hAnsi="Arial"/>
                <w:sz w:val="18"/>
                <w:szCs w:val="18"/>
                <w:color w:val="auto"/>
              </w:rPr>
              <w:t>11.1%</w:t>
            </w:r>
          </w:p>
        </w:tc>
        <w:tc>
          <w:tcPr>
            <w:tcW w:w="1200" w:type="dxa"/>
            <w:vAlign w:val="bottom"/>
            <w:gridSpan w:val="4"/>
          </w:tcPr>
          <w:p>
            <w:pPr>
              <w:ind w:left="580"/>
              <w:spacing w:after="0"/>
              <w:rPr>
                <w:sz w:val="20"/>
                <w:szCs w:val="20"/>
                <w:color w:val="auto"/>
              </w:rPr>
            </w:pPr>
            <w:r>
              <w:rPr>
                <w:rFonts w:ascii="Arial" w:cs="Arial" w:eastAsia="Arial" w:hAnsi="Arial"/>
                <w:sz w:val="18"/>
                <w:szCs w:val="18"/>
                <w:color w:val="auto"/>
              </w:rPr>
              <w:t>10.8%</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11.3%</w:t>
            </w:r>
          </w:p>
        </w:tc>
        <w:tc>
          <w:tcPr>
            <w:tcW w:w="1200" w:type="dxa"/>
            <w:vAlign w:val="bottom"/>
            <w:gridSpan w:val="4"/>
          </w:tcPr>
          <w:p>
            <w:pPr>
              <w:ind w:left="580"/>
              <w:spacing w:after="0"/>
              <w:rPr>
                <w:sz w:val="20"/>
                <w:szCs w:val="20"/>
                <w:color w:val="auto"/>
              </w:rPr>
            </w:pPr>
            <w:r>
              <w:rPr>
                <w:rFonts w:ascii="Arial" w:cs="Arial" w:eastAsia="Arial" w:hAnsi="Arial"/>
                <w:sz w:val="18"/>
                <w:szCs w:val="18"/>
                <w:color w:val="auto"/>
              </w:rPr>
              <w:t>13.6%</w:t>
            </w:r>
          </w:p>
        </w:tc>
        <w:tc>
          <w:tcPr>
            <w:tcW w:w="1200" w:type="dxa"/>
            <w:vAlign w:val="bottom"/>
            <w:gridSpan w:val="4"/>
          </w:tcPr>
          <w:p>
            <w:pPr>
              <w:ind w:left="5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116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12.0%</w:t>
            </w:r>
          </w:p>
        </w:tc>
        <w:tc>
          <w:tcPr>
            <w:tcW w:w="116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12.1%</w:t>
            </w:r>
          </w:p>
        </w:tc>
        <w:tc>
          <w:tcPr>
            <w:tcW w:w="1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11.4%</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10.7%</w:t>
            </w:r>
          </w:p>
        </w:tc>
        <w:tc>
          <w:tcPr>
            <w:tcW w:w="1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Percentage change in</w:t>
            </w: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adjusted average capital</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compared to the same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period in the prior year</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-3.0%</w:t>
            </w: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1.9%</w:t>
            </w:r>
          </w:p>
        </w:tc>
        <w:tc>
          <w:tcPr>
            <w:tcW w:w="1160" w:type="dxa"/>
            <w:vAlign w:val="bottom"/>
            <w:gridSpan w:val="4"/>
          </w:tcPr>
          <w:p>
            <w:pPr>
              <w:ind w:left="560"/>
              <w:spacing w:after="0"/>
              <w:rPr>
                <w:sz w:val="20"/>
                <w:szCs w:val="20"/>
                <w:color w:val="auto"/>
              </w:rPr>
            </w:pPr>
            <w:r>
              <w:rPr>
                <w:rFonts w:ascii="Arial" w:cs="Arial" w:eastAsia="Arial" w:hAnsi="Arial"/>
                <w:sz w:val="18"/>
                <w:szCs w:val="18"/>
                <w:color w:val="auto"/>
              </w:rPr>
              <w:t>15.2%</w:t>
            </w:r>
          </w:p>
        </w:tc>
        <w:tc>
          <w:tcPr>
            <w:tcW w:w="1160" w:type="dxa"/>
            <w:vAlign w:val="bottom"/>
            <w:gridSpan w:val="4"/>
          </w:tcPr>
          <w:p>
            <w:pPr>
              <w:ind w:left="560"/>
              <w:spacing w:after="0"/>
              <w:rPr>
                <w:sz w:val="20"/>
                <w:szCs w:val="20"/>
                <w:color w:val="auto"/>
              </w:rPr>
            </w:pPr>
            <w:r>
              <w:rPr>
                <w:rFonts w:ascii="Arial" w:cs="Arial" w:eastAsia="Arial" w:hAnsi="Arial"/>
                <w:sz w:val="18"/>
                <w:szCs w:val="18"/>
                <w:color w:val="auto"/>
              </w:rPr>
              <w:t>30.4%</w:t>
            </w:r>
          </w:p>
        </w:tc>
        <w:tc>
          <w:tcPr>
            <w:tcW w:w="1200" w:type="dxa"/>
            <w:vAlign w:val="bottom"/>
            <w:gridSpan w:val="4"/>
          </w:tcPr>
          <w:p>
            <w:pPr>
              <w:ind w:left="580"/>
              <w:spacing w:after="0"/>
              <w:rPr>
                <w:sz w:val="20"/>
                <w:szCs w:val="20"/>
                <w:color w:val="auto"/>
              </w:rPr>
            </w:pPr>
            <w:r>
              <w:rPr>
                <w:rFonts w:ascii="Arial" w:cs="Arial" w:eastAsia="Arial" w:hAnsi="Arial"/>
                <w:sz w:val="18"/>
                <w:szCs w:val="18"/>
                <w:color w:val="auto"/>
              </w:rPr>
              <w:t>42.3%</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39.6%</w:t>
            </w:r>
          </w:p>
        </w:tc>
        <w:tc>
          <w:tcPr>
            <w:tcW w:w="1200" w:type="dxa"/>
            <w:vAlign w:val="bottom"/>
            <w:gridSpan w:val="4"/>
          </w:tcPr>
          <w:p>
            <w:pPr>
              <w:ind w:left="580"/>
              <w:spacing w:after="0"/>
              <w:rPr>
                <w:sz w:val="20"/>
                <w:szCs w:val="20"/>
                <w:color w:val="auto"/>
              </w:rPr>
            </w:pPr>
            <w:r>
              <w:rPr>
                <w:rFonts w:ascii="Arial" w:cs="Arial" w:eastAsia="Arial" w:hAnsi="Arial"/>
                <w:sz w:val="18"/>
                <w:szCs w:val="18"/>
                <w:color w:val="auto"/>
              </w:rPr>
              <w:t>37.5%</w:t>
            </w:r>
          </w:p>
        </w:tc>
        <w:tc>
          <w:tcPr>
            <w:tcW w:w="1200" w:type="dxa"/>
            <w:vAlign w:val="bottom"/>
            <w:gridSpan w:val="4"/>
          </w:tcPr>
          <w:p>
            <w:pPr>
              <w:ind w:left="58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vMerge w:val="restart"/>
          </w:tcPr>
          <w:p>
            <w:pPr>
              <w:jc w:val="right"/>
              <w:ind w:right="173"/>
              <w:spacing w:after="0"/>
              <w:rPr>
                <w:sz w:val="20"/>
                <w:szCs w:val="20"/>
                <w:color w:val="auto"/>
              </w:rPr>
            </w:pPr>
            <w:r>
              <w:rPr>
                <w:rFonts w:ascii="Arial" w:cs="Arial" w:eastAsia="Arial" w:hAnsi="Arial"/>
                <w:sz w:val="18"/>
                <w:szCs w:val="18"/>
                <w:color w:val="auto"/>
              </w:rPr>
              <w:t>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540"/>
        <w:spacing w:after="0" w:line="277" w:lineRule="auto"/>
        <w:rPr>
          <w:sz w:val="20"/>
          <w:szCs w:val="20"/>
          <w:color w:val="auto"/>
        </w:rPr>
      </w:pPr>
      <w:r>
        <w:rPr>
          <w:rFonts w:ascii="Arial" w:cs="Arial" w:eastAsia="Arial" w:hAnsi="Arial"/>
          <w:sz w:val="18"/>
          <w:szCs w:val="18"/>
          <w:color w:val="auto"/>
        </w:rPr>
        <w:t>The following tables show how non-GAAP measures reconcile to GAAP measures. All after-tax adjustments are calculated using a 37% tax rate as we estimate that to be our long term average effective tax rate. Amounts do not recalculate due to rounding.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7"/>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6"/>
              </w:rPr>
              <w:t>Three Months Ended September 30,</w:t>
            </w: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w w:val="91"/>
              </w:rPr>
              <w:t>% Change</w:t>
            </w:r>
          </w:p>
        </w:tc>
        <w:tc>
          <w:tcPr>
            <w:tcW w:w="100" w:type="dxa"/>
            <w:vAlign w:val="bottom"/>
          </w:tcPr>
          <w:p>
            <w:pPr>
              <w:spacing w:after="0"/>
              <w:rPr>
                <w:sz w:val="14"/>
                <w:szCs w:val="14"/>
                <w:color w:val="auto"/>
              </w:rPr>
            </w:pPr>
          </w:p>
        </w:tc>
        <w:tc>
          <w:tcPr>
            <w:tcW w:w="29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7"/>
              </w:rPr>
              <w:t>Nine Months Ended September 30,</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312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2009</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2008</w:t>
            </w:r>
          </w:p>
        </w:tc>
        <w:tc>
          <w:tcPr>
            <w:tcW w:w="4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2009</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2008</w:t>
            </w:r>
          </w:p>
        </w:tc>
        <w:tc>
          <w:tcPr>
            <w:tcW w:w="4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Adjusted net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GAAP net income</w:t>
            </w:r>
          </w:p>
        </w:tc>
        <w:tc>
          <w:tcPr>
            <w:tcW w:w="1540" w:type="dxa"/>
            <w:vAlign w:val="bottom"/>
            <w:tcBorders>
              <w:top w:val="single" w:sz="8" w:color="CCEEFF"/>
            </w:tcBorders>
            <w:gridSpan w:val="4"/>
          </w:tcPr>
          <w:p>
            <w:pPr>
              <w:spacing w:after="0"/>
              <w:rPr>
                <w:sz w:val="18"/>
                <w:szCs w:val="18"/>
                <w:color w:val="auto"/>
              </w:rPr>
            </w:pP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40,734</w:t>
            </w:r>
          </w:p>
        </w:tc>
        <w:tc>
          <w:tcPr>
            <w:tcW w:w="4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20,657</w:t>
            </w:r>
          </w:p>
        </w:tc>
        <w:tc>
          <w:tcPr>
            <w:tcW w:w="118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97.2%</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105,920</w:t>
            </w:r>
          </w:p>
        </w:tc>
        <w:tc>
          <w:tcPr>
            <w:tcW w:w="4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48,621</w:t>
            </w:r>
          </w:p>
        </w:tc>
        <w:tc>
          <w:tcPr>
            <w:tcW w:w="8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Floating yield adjustment (after-tax)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1,183</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8,954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tcPr>
          <w:p>
            <w:pPr>
              <w:spacing w:after="0"/>
              <w:rPr>
                <w:sz w:val="20"/>
                <w:szCs w:val="20"/>
                <w:color w:val="auto"/>
              </w:rPr>
            </w:pPr>
            <w:r>
              <w:rPr>
                <w:rFonts w:ascii="Arial" w:cs="Arial" w:eastAsia="Arial" w:hAnsi="Arial"/>
                <w:sz w:val="18"/>
                <w:szCs w:val="18"/>
                <w:color w:val="auto"/>
                <w:w w:val="97"/>
              </w:rPr>
              <w:t>Program fee yield adjustment (after-tax)</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506</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1,703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Loss (gain) from discontinued United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Kingdom segment (after-tax)</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w:t>
            </w:r>
          </w:p>
        </w:tc>
        <w:tc>
          <w:tcPr>
            <w:tcW w:w="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6"/>
          </w:tcPr>
          <w:p>
            <w:pPr>
              <w:spacing w:after="0" w:line="201" w:lineRule="exact"/>
              <w:rPr>
                <w:sz w:val="20"/>
                <w:szCs w:val="20"/>
                <w:color w:val="auto"/>
              </w:rPr>
            </w:pPr>
            <w:r>
              <w:rPr>
                <w:rFonts w:ascii="Arial" w:cs="Arial" w:eastAsia="Arial" w:hAnsi="Arial"/>
                <w:sz w:val="18"/>
                <w:szCs w:val="18"/>
                <w:color w:val="auto"/>
                <w:w w:val="98"/>
              </w:rPr>
              <w:t>Interest expense related to interest rate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6"/>
          </w:tcPr>
          <w:p>
            <w:pPr>
              <w:ind w:left="200"/>
              <w:spacing w:after="0"/>
              <w:rPr>
                <w:sz w:val="20"/>
                <w:szCs w:val="20"/>
                <w:color w:val="auto"/>
              </w:rPr>
            </w:pPr>
            <w:r>
              <w:rPr>
                <w:rFonts w:ascii="Arial" w:cs="Arial" w:eastAsia="Arial" w:hAnsi="Arial"/>
                <w:sz w:val="18"/>
                <w:szCs w:val="18"/>
                <w:color w:val="auto"/>
              </w:rPr>
              <w:t>swap agreement (after-tax)</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(179)</w:t>
            </w: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(454)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 to record taxes at 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6"/>
          </w:tcPr>
          <w:p>
            <w:pPr>
              <w:ind w:left="200"/>
              <w:spacing w:after="0"/>
              <w:rPr>
                <w:sz w:val="20"/>
                <w:szCs w:val="20"/>
                <w:color w:val="auto"/>
              </w:rPr>
            </w:pPr>
            <w:r>
              <w:rPr>
                <w:rFonts w:ascii="Arial" w:cs="Arial" w:eastAsia="Arial" w:hAnsi="Arial"/>
                <w:sz w:val="18"/>
                <w:szCs w:val="18"/>
                <w:color w:val="auto"/>
              </w:rPr>
              <w:t>Adjusted net income</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34,691</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22,260</w:t>
            </w:r>
          </w:p>
        </w:tc>
        <w:tc>
          <w:tcPr>
            <w:tcW w:w="4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89,536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59,220</w:t>
            </w:r>
          </w:p>
        </w:tc>
        <w:tc>
          <w:tcPr>
            <w:tcW w:w="4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Adjusted net income per diluted share</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460"/>
              <w:spacing w:after="0" w:line="176" w:lineRule="exact"/>
              <w:rPr>
                <w:sz w:val="20"/>
                <w:szCs w:val="20"/>
                <w:color w:val="auto"/>
              </w:rPr>
            </w:pPr>
            <w:r>
              <w:rPr>
                <w:rFonts w:ascii="Arial" w:cs="Arial" w:eastAsia="Arial" w:hAnsi="Arial"/>
                <w:sz w:val="18"/>
                <w:szCs w:val="18"/>
                <w:color w:val="auto"/>
              </w:rPr>
              <w:t>1.10</w:t>
            </w:r>
          </w:p>
        </w:tc>
        <w:tc>
          <w:tcPr>
            <w:tcW w:w="4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440"/>
              <w:spacing w:after="0" w:line="176" w:lineRule="exact"/>
              <w:rPr>
                <w:sz w:val="20"/>
                <w:szCs w:val="20"/>
                <w:color w:val="auto"/>
              </w:rPr>
            </w:pPr>
            <w:r>
              <w:rPr>
                <w:rFonts w:ascii="Arial" w:cs="Arial" w:eastAsia="Arial" w:hAnsi="Arial"/>
                <w:sz w:val="18"/>
                <w:szCs w:val="18"/>
                <w:color w:val="auto"/>
              </w:rPr>
              <w:t>0.72</w:t>
            </w:r>
          </w:p>
        </w:tc>
        <w:tc>
          <w:tcPr>
            <w:tcW w:w="1180" w:type="dxa"/>
            <w:vAlign w:val="bottom"/>
            <w:tcBorders>
              <w:bottom w:val="single" w:sz="8" w:color="CCEEFF"/>
            </w:tcBorders>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jc w:val="right"/>
              <w:ind w:right="460"/>
              <w:spacing w:after="0" w:line="176" w:lineRule="exact"/>
              <w:rPr>
                <w:sz w:val="20"/>
                <w:szCs w:val="20"/>
                <w:color w:val="auto"/>
              </w:rPr>
            </w:pPr>
            <w:r>
              <w:rPr>
                <w:rFonts w:ascii="Arial" w:cs="Arial" w:eastAsia="Arial" w:hAnsi="Arial"/>
                <w:sz w:val="18"/>
                <w:szCs w:val="18"/>
                <w:color w:val="auto"/>
              </w:rPr>
              <w:t>2.85</w:t>
            </w:r>
          </w:p>
        </w:tc>
        <w:tc>
          <w:tcPr>
            <w:tcW w:w="4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440"/>
              <w:spacing w:after="0" w:line="176" w:lineRule="exact"/>
              <w:rPr>
                <w:sz w:val="20"/>
                <w:szCs w:val="20"/>
                <w:color w:val="auto"/>
              </w:rPr>
            </w:pPr>
            <w:r>
              <w:rPr>
                <w:rFonts w:ascii="Arial" w:cs="Arial" w:eastAsia="Arial" w:hAnsi="Arial"/>
                <w:sz w:val="18"/>
                <w:szCs w:val="18"/>
                <w:color w:val="auto"/>
              </w:rPr>
              <w:t>1.91</w:t>
            </w:r>
          </w:p>
        </w:tc>
        <w:tc>
          <w:tcPr>
            <w:tcW w:w="820" w:type="dxa"/>
            <w:vAlign w:val="bottom"/>
            <w:tcBorders>
              <w:bottom w:val="single" w:sz="8" w:color="CCEEFF"/>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6"/>
          </w:tcPr>
          <w:p>
            <w:pPr>
              <w:spacing w:after="0" w:line="201" w:lineRule="exact"/>
              <w:rPr>
                <w:sz w:val="20"/>
                <w:szCs w:val="20"/>
                <w:color w:val="auto"/>
              </w:rPr>
            </w:pPr>
            <w:r>
              <w:rPr>
                <w:rFonts w:ascii="Arial" w:cs="Arial" w:eastAsia="Arial" w:hAnsi="Arial"/>
                <w:sz w:val="18"/>
                <w:szCs w:val="18"/>
                <w:color w:val="auto"/>
              </w:rPr>
              <w:t>Diluted weighted average 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6"/>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31,539,119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31,024,455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31,370,580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30,994,466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Adjusted average capital</w:t>
            </w:r>
          </w:p>
        </w:tc>
        <w:tc>
          <w:tcPr>
            <w:tcW w:w="1200" w:type="dxa"/>
            <w:vAlign w:val="bottom"/>
            <w:tcBorders>
              <w:bottom w:val="single" w:sz="8" w:color="CCEEFF"/>
            </w:tcBorders>
            <w:gridSpan w:val="3"/>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tcPr>
          <w:p>
            <w:pPr>
              <w:spacing w:after="0"/>
              <w:rPr>
                <w:sz w:val="20"/>
                <w:szCs w:val="20"/>
                <w:color w:val="auto"/>
              </w:rPr>
            </w:pPr>
            <w:r>
              <w:rPr>
                <w:rFonts w:ascii="Arial" w:cs="Arial" w:eastAsia="Arial" w:hAnsi="Arial"/>
                <w:sz w:val="18"/>
                <w:szCs w:val="18"/>
                <w:color w:val="auto"/>
              </w:rPr>
              <w:t>GAAP average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562,663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706,637</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597,268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659,193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GAAP average 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428,377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308,990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389,727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293,219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tcPr>
          <w:p>
            <w:pPr>
              <w:spacing w:after="0"/>
              <w:rPr>
                <w:sz w:val="20"/>
                <w:szCs w:val="20"/>
                <w:color w:val="auto"/>
              </w:rPr>
            </w:pPr>
            <w:r>
              <w:rPr>
                <w:rFonts w:ascii="Arial" w:cs="Arial" w:eastAsia="Arial" w:hAnsi="Arial"/>
                <w:sz w:val="18"/>
                <w:szCs w:val="18"/>
                <w:color w:val="auto"/>
              </w:rPr>
              <w:t>Floating yield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10,134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18,002</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15,735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12,135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Program fee yield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(2,048)</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6"/>
          </w:tcPr>
          <w:p>
            <w:pPr>
              <w:ind w:left="200"/>
              <w:spacing w:after="0"/>
              <w:rPr>
                <w:sz w:val="20"/>
                <w:szCs w:val="20"/>
                <w:color w:val="auto"/>
              </w:rPr>
            </w:pPr>
            <w:r>
              <w:rPr>
                <w:rFonts w:ascii="Arial" w:cs="Arial" w:eastAsia="Arial" w:hAnsi="Arial"/>
                <w:sz w:val="18"/>
                <w:szCs w:val="18"/>
                <w:color w:val="auto"/>
              </w:rPr>
              <w:t>Adjusted average capital</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1,000,340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1,031,581</w:t>
            </w:r>
          </w:p>
        </w:tc>
        <w:tc>
          <w:tcPr>
            <w:tcW w:w="4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1,001,690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961,944</w:t>
            </w:r>
          </w:p>
        </w:tc>
        <w:tc>
          <w:tcPr>
            <w:tcW w:w="4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Adjusted return on capital</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Adjusted net income</w:t>
            </w:r>
          </w:p>
        </w:tc>
        <w:tc>
          <w:tcPr>
            <w:tcW w:w="108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34,691</w:t>
            </w:r>
          </w:p>
        </w:tc>
        <w:tc>
          <w:tcPr>
            <w:tcW w:w="4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22,260</w:t>
            </w:r>
          </w:p>
        </w:tc>
        <w:tc>
          <w:tcPr>
            <w:tcW w:w="6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89,536</w:t>
            </w:r>
          </w:p>
        </w:tc>
        <w:tc>
          <w:tcPr>
            <w:tcW w:w="4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59,220</w:t>
            </w: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Adjusted interest expense (after-tax)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7,081</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19,996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gridSpan w:val="6"/>
          </w:tcPr>
          <w:p>
            <w:pPr>
              <w:ind w:left="200"/>
              <w:spacing w:after="0"/>
              <w:rPr>
                <w:sz w:val="20"/>
                <w:szCs w:val="20"/>
                <w:color w:val="auto"/>
              </w:rPr>
            </w:pPr>
            <w:r>
              <w:rPr>
                <w:rFonts w:ascii="Arial" w:cs="Arial" w:eastAsia="Arial" w:hAnsi="Arial"/>
                <w:sz w:val="18"/>
                <w:szCs w:val="18"/>
                <w:color w:val="auto"/>
              </w:rPr>
              <w:t>Adjusted net income plus interest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6"/>
          </w:tcPr>
          <w:p>
            <w:pPr>
              <w:ind w:left="400"/>
              <w:spacing w:after="0"/>
              <w:rPr>
                <w:sz w:val="20"/>
                <w:szCs w:val="20"/>
                <w:color w:val="auto"/>
              </w:rPr>
            </w:pPr>
            <w:r>
              <w:rPr>
                <w:rFonts w:ascii="Arial" w:cs="Arial" w:eastAsia="Arial" w:hAnsi="Arial"/>
                <w:sz w:val="18"/>
                <w:szCs w:val="18"/>
                <w:color w:val="auto"/>
              </w:rPr>
              <w:t>expense (after-tax)</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39,916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29,341</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104,702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79,216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Adjusted return on capital (1)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31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Economic profit</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20" w:type="dxa"/>
            <w:vAlign w:val="bottom"/>
            <w:gridSpan w:val="7"/>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6"/>
          </w:tcPr>
          <w:p>
            <w:pPr>
              <w:spacing w:after="0"/>
              <w:rPr>
                <w:sz w:val="20"/>
                <w:szCs w:val="20"/>
                <w:color w:val="auto"/>
              </w:rPr>
            </w:pPr>
            <w:r>
              <w:rPr>
                <w:rFonts w:ascii="Arial" w:cs="Arial" w:eastAsia="Arial" w:hAnsi="Arial"/>
                <w:sz w:val="18"/>
                <w:szCs w:val="18"/>
                <w:color w:val="auto"/>
              </w:rPr>
              <w:t>Cost of capital (2)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Adjusted return on capital in excess of</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cost of capital</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tcPr>
          <w:p>
            <w:pPr>
              <w:spacing w:after="0"/>
              <w:rPr>
                <w:sz w:val="20"/>
                <w:szCs w:val="20"/>
                <w:color w:val="auto"/>
              </w:rPr>
            </w:pPr>
            <w:r>
              <w:rPr>
                <w:rFonts w:ascii="Arial" w:cs="Arial" w:eastAsia="Arial" w:hAnsi="Arial"/>
                <w:sz w:val="18"/>
                <w:szCs w:val="18"/>
                <w:color w:val="auto"/>
              </w:rPr>
              <w:t>Adjusted average capital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1,000,340</w:t>
            </w: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1,031,581</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1,001,690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961,944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Economic profit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12,628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55,894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32,466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return on capital is defined as annualized adjusted net income plus adjusted interest expense after-tax divided by adjusted average capital.</w:t>
      </w:r>
    </w:p>
    <w:p>
      <w:pPr>
        <w:spacing w:after="0" w:line="99" w:lineRule="exact"/>
        <w:rPr>
          <w:rFonts w:ascii="Arial" w:cs="Arial" w:eastAsia="Arial" w:hAnsi="Arial"/>
          <w:sz w:val="16"/>
          <w:szCs w:val="16"/>
          <w:color w:val="auto"/>
        </w:rPr>
      </w:pPr>
    </w:p>
    <w:p>
      <w:pPr>
        <w:ind w:left="460" w:right="180" w:hanging="452"/>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w:t>
      </w:r>
    </w:p>
    <w:p>
      <w:pPr>
        <w:ind w:left="460" w:right="60"/>
        <w:spacing w:after="0" w:line="295" w:lineRule="auto"/>
        <w:rPr>
          <w:rFonts w:ascii="Arial" w:cs="Arial" w:eastAsia="Arial" w:hAnsi="Arial"/>
          <w:sz w:val="16"/>
          <w:szCs w:val="16"/>
          <w:color w:val="auto"/>
        </w:rPr>
      </w:pPr>
      <w:r>
        <w:rPr>
          <w:rFonts w:ascii="Arial" w:cs="Arial" w:eastAsia="Arial" w:hAnsi="Arial"/>
          <w:sz w:val="16"/>
          <w:szCs w:val="16"/>
          <w:color w:val="auto"/>
        </w:rPr>
        <w:t>30 year treasury rate + 5%) + [(1 - tax rate) x (the average 30 year treasury rate + 5% - pre-tax average cost of debt rate) x average debt/(average equity + average debt x tax rate)]. For the three months ended September 30, 2009 and 2008, the average 30 year treasury rate was 4.2% and 4.5%, respectively. The adjusted pre-tax average cost of debt was 5.9% and 6.4%, respectively. For the nine months ended September 30, 2009 and 2008, the average 30 year treasury rate was 3.9% and 4.5%, respectively. The adjusted pre-tax average cost of debt was 5.4% and 6.4%, respectively.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Sept.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Mar. 31,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 30,</w:t>
            </w:r>
          </w:p>
        </w:tc>
        <w:tc>
          <w:tcPr>
            <w:tcW w:w="10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Jun.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Mar.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31"/>
              <w:spacing w:after="0" w:line="119" w:lineRule="exact"/>
              <w:rPr>
                <w:sz w:val="20"/>
                <w:szCs w:val="20"/>
                <w:color w:val="auto"/>
              </w:rPr>
            </w:pPr>
            <w:r>
              <w:rPr>
                <w:rFonts w:ascii="Arial" w:cs="Arial" w:eastAsia="Arial" w:hAnsi="Arial"/>
                <w:sz w:val="13"/>
                <w:szCs w:val="13"/>
                <w:b w:val="1"/>
                <w:bCs w:val="1"/>
                <w:color w:val="auto"/>
                <w:w w:val="93"/>
              </w:rPr>
              <w:t>Dec.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7"/>
          </w:tcPr>
          <w:p>
            <w:pPr>
              <w:spacing w:after="0"/>
              <w:rPr>
                <w:sz w:val="20"/>
                <w:szCs w:val="20"/>
                <w:color w:val="auto"/>
              </w:rPr>
            </w:pPr>
            <w:r>
              <w:rPr>
                <w:rFonts w:ascii="Arial" w:cs="Arial" w:eastAsia="Arial" w:hAnsi="Arial"/>
                <w:sz w:val="14"/>
                <w:szCs w:val="14"/>
                <w:color w:val="auto"/>
              </w:rPr>
              <w:t>(Dollars in thousands)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Adjusted net income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GAAP net income</w:t>
            </w:r>
          </w:p>
        </w:tc>
        <w:tc>
          <w:tcPr>
            <w:tcW w:w="800" w:type="dxa"/>
            <w:vAlign w:val="bottom"/>
            <w:tcBorders>
              <w:top w:val="single" w:sz="8" w:color="CCEEFF"/>
            </w:tcBorders>
            <w:gridSpan w:val="3"/>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40,734</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36,185</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29,001</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18,556</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20,657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10,344</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17,620</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12,484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Floating yield adjustment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(after-tax)</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(5,882)</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6"/>
          </w:tcPr>
          <w:p>
            <w:pPr>
              <w:spacing w:after="0" w:line="201" w:lineRule="exact"/>
              <w:rPr>
                <w:sz w:val="20"/>
                <w:szCs w:val="20"/>
                <w:color w:val="auto"/>
              </w:rPr>
            </w:pPr>
            <w:r>
              <w:rPr>
                <w:rFonts w:ascii="Arial" w:cs="Arial" w:eastAsia="Arial" w:hAnsi="Arial"/>
                <w:sz w:val="18"/>
                <w:szCs w:val="18"/>
                <w:color w:val="auto"/>
                <w:w w:val="99"/>
              </w:rPr>
              <w:t>Program fee yield adjustment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(after-tax)</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Loss (gain) from</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discontinued United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Kingdom segment (after-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6"/>
          </w:tcPr>
          <w:p>
            <w:pPr>
              <w:spacing w:after="0" w:line="201" w:lineRule="exact"/>
              <w:rPr>
                <w:sz w:val="20"/>
                <w:szCs w:val="20"/>
                <w:color w:val="auto"/>
              </w:rPr>
            </w:pPr>
            <w:r>
              <w:rPr>
                <w:rFonts w:ascii="Arial" w:cs="Arial" w:eastAsia="Arial" w:hAnsi="Arial"/>
                <w:sz w:val="18"/>
                <w:szCs w:val="18"/>
                <w:color w:val="auto"/>
              </w:rPr>
              <w:t>Interest expense related to</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agreement (after-tax)</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 to record taxes at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Adjusted revenue</w:t>
            </w:r>
          </w:p>
        </w:tc>
        <w:tc>
          <w:tcPr>
            <w:tcW w:w="1020" w:type="dxa"/>
            <w:vAlign w:val="bottom"/>
            <w:tcBorders>
              <w:bottom w:val="single" w:sz="8" w:color="CCEEFF"/>
            </w:tcBorders>
            <w:gridSpan w:val="5"/>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tcPr>
          <w:p>
            <w:pPr>
              <w:spacing w:after="0"/>
              <w:rPr>
                <w:sz w:val="20"/>
                <w:szCs w:val="20"/>
                <w:color w:val="auto"/>
              </w:rPr>
            </w:pPr>
            <w:r>
              <w:rPr>
                <w:rFonts w:ascii="Arial" w:cs="Arial" w:eastAsia="Arial" w:hAnsi="Arial"/>
                <w:sz w:val="18"/>
                <w:szCs w:val="18"/>
                <w:color w:val="auto"/>
              </w:rPr>
              <w:t>GAAP 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100,268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92,373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87,888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86,296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80,107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75,005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70,778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Floating yield adjustment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(9,336)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tcPr>
          <w:p>
            <w:pPr>
              <w:spacing w:after="0"/>
              <w:rPr>
                <w:sz w:val="20"/>
                <w:szCs w:val="20"/>
                <w:color w:val="auto"/>
              </w:rPr>
            </w:pPr>
            <w:r>
              <w:rPr>
                <w:rFonts w:ascii="Arial" w:cs="Arial" w:eastAsia="Arial" w:hAnsi="Arial"/>
                <w:sz w:val="18"/>
                <w:szCs w:val="18"/>
                <w:color w:val="auto"/>
                <w:w w:val="99"/>
              </w:rPr>
              <w:t>Program fee yield adjustment</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(20,782)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tcPr>
          <w:p>
            <w:pPr>
              <w:spacing w:after="0"/>
              <w:rPr>
                <w:sz w:val="20"/>
                <w:szCs w:val="20"/>
                <w:color w:val="auto"/>
              </w:rPr>
            </w:pPr>
            <w:r>
              <w:rPr>
                <w:rFonts w:ascii="Arial" w:cs="Arial" w:eastAsia="Arial" w:hAnsi="Arial"/>
                <w:sz w:val="18"/>
                <w:szCs w:val="18"/>
                <w:color w:val="auto"/>
              </w:rPr>
              <w:t>Provision for claims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(4,829)</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(4,809)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91,466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70,387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61,558</w:t>
            </w:r>
          </w:p>
        </w:tc>
        <w:tc>
          <w:tcPr>
            <w:tcW w:w="0" w:type="dxa"/>
            <w:vAlign w:val="bottom"/>
          </w:tcPr>
          <w:p>
            <w:pPr>
              <w:spacing w:after="0"/>
              <w:rPr>
                <w:sz w:val="1"/>
                <w:szCs w:val="1"/>
                <w:color w:val="auto"/>
              </w:rPr>
            </w:pPr>
          </w:p>
        </w:tc>
      </w:tr>
      <w:tr>
        <w:trPr>
          <w:trHeight w:val="20"/>
        </w:trPr>
        <w:tc>
          <w:tcPr>
            <w:tcW w:w="23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Adjusted average capital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8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GAAP average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562,663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604,863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624,279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665,635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706,637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686,148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584,794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515,031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6"/>
          </w:tcPr>
          <w:p>
            <w:pPr>
              <w:spacing w:after="0" w:line="201" w:lineRule="exact"/>
              <w:rPr>
                <w:sz w:val="20"/>
                <w:szCs w:val="20"/>
                <w:color w:val="auto"/>
              </w:rPr>
            </w:pPr>
            <w:r>
              <w:rPr>
                <w:rFonts w:ascii="Arial" w:cs="Arial" w:eastAsia="Arial" w:hAnsi="Arial"/>
                <w:sz w:val="18"/>
                <w:szCs w:val="18"/>
                <w:color w:val="auto"/>
              </w:rPr>
              <w:t>GAAP average shareholders’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428,377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388,242</w:t>
            </w: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352,562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331,402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308,990</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295,771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274,897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256,838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Floating yield adjustment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15,243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tcPr>
          <w:p>
            <w:pPr>
              <w:spacing w:after="0"/>
              <w:rPr>
                <w:sz w:val="20"/>
                <w:szCs w:val="20"/>
                <w:color w:val="auto"/>
              </w:rPr>
            </w:pPr>
            <w:r>
              <w:rPr>
                <w:rFonts w:ascii="Arial" w:cs="Arial" w:eastAsia="Arial" w:hAnsi="Arial"/>
                <w:sz w:val="18"/>
                <w:szCs w:val="18"/>
                <w:color w:val="auto"/>
                <w:w w:val="99"/>
              </w:rPr>
              <w:t>Program fee yield adjustment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Adjusted average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1,000,340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1,007,336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997,396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1,014,071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1,031,581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988,619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865,631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777,642</w:t>
            </w:r>
          </w:p>
        </w:tc>
        <w:tc>
          <w:tcPr>
            <w:tcW w:w="0" w:type="dxa"/>
            <w:vAlign w:val="bottom"/>
          </w:tcPr>
          <w:p>
            <w:pPr>
              <w:spacing w:after="0"/>
              <w:rPr>
                <w:sz w:val="1"/>
                <w:szCs w:val="1"/>
                <w:color w:val="auto"/>
              </w:rPr>
            </w:pPr>
          </w:p>
        </w:tc>
      </w:tr>
      <w:tr>
        <w:trPr>
          <w:trHeight w:val="20"/>
        </w:trPr>
        <w:tc>
          <w:tcPr>
            <w:tcW w:w="2380" w:type="dxa"/>
            <w:vAlign w:val="bottom"/>
            <w:gridSpan w:val="7"/>
            <w:vMerge w:val="restart"/>
          </w:tcPr>
          <w:p>
            <w:pPr>
              <w:spacing w:after="0"/>
              <w:rPr>
                <w:sz w:val="20"/>
                <w:szCs w:val="20"/>
                <w:color w:val="auto"/>
              </w:rPr>
            </w:pPr>
            <w:r>
              <w:rPr>
                <w:rFonts w:ascii="Arial" w:cs="Arial" w:eastAsia="Arial" w:hAnsi="Arial"/>
                <w:sz w:val="18"/>
                <w:szCs w:val="18"/>
                <w:color w:val="auto"/>
              </w:rPr>
              <w:t>Adjusted revenue as 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8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percentage of adjusted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average capital</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Adjusted return on capital</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Adjusted net income</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34,691</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30,131</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24,714</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23,572</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22,260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20,191</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16,769</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14,872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Adjusted interest expense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(after-tax)</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4,736</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7,081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Adjusted net income plus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tcPr>
          <w:p>
            <w:pPr>
              <w:ind w:left="400"/>
              <w:spacing w:after="0"/>
              <w:rPr>
                <w:sz w:val="20"/>
                <w:szCs w:val="20"/>
                <w:color w:val="auto"/>
              </w:rPr>
            </w:pPr>
            <w:r>
              <w:rPr>
                <w:rFonts w:ascii="Arial" w:cs="Arial" w:eastAsia="Arial" w:hAnsi="Arial"/>
                <w:sz w:val="18"/>
                <w:szCs w:val="18"/>
                <w:color w:val="auto"/>
              </w:rPr>
              <w:t>interest expense (after-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tcPr>
          <w:p>
            <w:pPr>
              <w:ind w:left="400"/>
              <w:spacing w:after="0"/>
              <w:rPr>
                <w:sz w:val="20"/>
                <w:szCs w:val="20"/>
                <w:color w:val="auto"/>
              </w:rPr>
            </w:pPr>
            <w:r>
              <w:rPr>
                <w:rFonts w:ascii="Arial" w:cs="Arial" w:eastAsia="Arial" w:hAnsi="Arial"/>
                <w:sz w:val="18"/>
                <w:szCs w:val="18"/>
                <w:color w:val="auto"/>
              </w:rPr>
              <w:t>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39,916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34,867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29,919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30,566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29,341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26,793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23,082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3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8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GAAP salaries and wages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6"/>
          </w:tcPr>
          <w:p>
            <w:pPr>
              <w:spacing w:after="0" w:line="201" w:lineRule="exact"/>
              <w:rPr>
                <w:sz w:val="20"/>
                <w:szCs w:val="20"/>
                <w:color w:val="auto"/>
              </w:rPr>
            </w:pPr>
            <w:r>
              <w:rPr>
                <w:rFonts w:ascii="Arial" w:cs="Arial" w:eastAsia="Arial" w:hAnsi="Arial"/>
                <w:sz w:val="18"/>
                <w:szCs w:val="18"/>
                <w:color w:val="auto"/>
              </w:rPr>
              <w:t>GAAP general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7,872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6,897</w:t>
            </w: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7,998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6,785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6,627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GAAP sales and marketing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26,978</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Operating expenses as a</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percentage of adjusted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average capital</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380" w:type="dxa"/>
            <w:vAlign w:val="bottom"/>
            <w:gridSpan w:val="7"/>
            <w:vMerge w:val="restart"/>
          </w:tcPr>
          <w:p>
            <w:pPr>
              <w:spacing w:after="0"/>
              <w:rPr>
                <w:sz w:val="20"/>
                <w:szCs w:val="20"/>
                <w:color w:val="auto"/>
              </w:rPr>
            </w:pPr>
            <w:r>
              <w:rPr>
                <w:rFonts w:ascii="Arial" w:cs="Arial" w:eastAsia="Arial" w:hAnsi="Arial"/>
                <w:sz w:val="18"/>
                <w:szCs w:val="18"/>
                <w:color w:val="auto"/>
              </w:rPr>
              <w:t>Percentage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8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adjusted average capital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compared to the same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color w:val="auto"/>
              </w:rPr>
              <w:t>period in the prior year</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Floating Yield Adjustment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adjustment is to modify the calculation of our GAAP-based finance charge revenue so that favorable and unfavorable changes in expected cash flows from loans receivable are treated consistently. To make the adjustment understandable, we must first explain how GAAP requires us to account for finance charge revenue, our primary revenue source.</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Finance charge revenue equals the cash inflows from our loan portfolio less cash outflows to acquire the loans. Our GAAP finance charge revenue is based on estimates of future cash flows and is recognized on a level-yield basis over the estimated life of the loan. With the level-yield approach, the amount of finance charge revenue recognized from a loan in a given period, divided by the loan asset, is a constant percentage. Under GAAP, favorable changes in expected cash flows are treated as increases to the yield and are recognized over time, while unfavorable changes are recorded as a current period expense. The non-GAAP methodology that we use (the “floating yield” method) is identical to the GAAP approach except that, under the “floating yield” method, all changes in expected cash flows (both positive and negative) are treated as yield adjustments and therefore impact earnings over time. The GAAP treatment always results in a lower carrying value of the loan receivable asset, but may result in either higher or lower earnings for any given period depending on the timing and amount of expected cash flow changes.</w:t>
      </w:r>
    </w:p>
    <w:p>
      <w:pPr>
        <w:spacing w:after="0" w:line="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believe floating yield earnings are a more accurate reflection of the performance of our business, since both favorable and unfavorable changes in estimated cash flows are treated consistently.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 Fee Yield Adjustment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purpose of this adjustment is to make revenue from program fees comparable across time periods. In 2001, we began charging dealer-partners a monthly program fee of $599. Effective January 1, 2007, we implemented a change in the way these fees are charged designed to positively impact dealer-partner attrition. We continue to charge a monthly program fee of $599, but instead of collecting the fee in the current period, we collect it from future dealer holdback payments.</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a result of this change, (as of January 1, 2007) we record program fees on a GAAP basis as a yield adjustment, recognizing these fees as finance charge revenue over the term of the dealer loan because collection is dependent on the future cash flows of the loan. Previously, we had recorded the fee as program fee revenue in the month the fee was charged. The current GAAP treatment is more consistent with the cash economics of the business.</w:t>
      </w:r>
    </w:p>
    <w:p>
      <w:pPr>
        <w:spacing w:after="0" w:line="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To allow for proper comparisons between periods, we make an adjustment to our financial results as though program fees had always been recorded as a yield adjustment. The program fee adjustment will become less significant in future periods. The program fee adjustment, after tax, is projected to be $0.8 million and $0.3 million in 2009 and 2010, respectively. We believe the adjustment will be immaterial starting in 2011.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Form 10-K for the year ended December 31, 2008, other risk factors discussed herein or listed from time to time in our reports filed with the Securities and Exchange Commission and the following:</w:t>
      </w:r>
    </w:p>
    <w:p>
      <w:pPr>
        <w:spacing w:after="0" w:line="84" w:lineRule="exact"/>
        <w:rPr>
          <w:sz w:val="20"/>
          <w:szCs w:val="20"/>
          <w:color w:val="auto"/>
        </w:rPr>
      </w:pPr>
    </w:p>
    <w:p>
      <w:pPr>
        <w:ind w:left="660" w:right="5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We may be unable to continue to access or renew funding sources and obtain capital on acceptable terms needed to maintain and grow the business.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Requirements under credit facilities to meet financial and portfolio performance covenants.</w:t>
      </w:r>
    </w:p>
    <w:p>
      <w:pPr>
        <w:spacing w:after="0" w:line="130" w:lineRule="exact"/>
        <w:rPr>
          <w:rFonts w:ascii="Arial" w:cs="Arial" w:eastAsia="Arial" w:hAnsi="Arial"/>
          <w:sz w:val="18"/>
          <w:szCs w:val="18"/>
          <w:b w:val="1"/>
          <w:bCs w:val="1"/>
          <w:color w:val="auto"/>
        </w:rPr>
      </w:pPr>
    </w:p>
    <w:p>
      <w:pPr>
        <w:ind w:left="660" w:right="260" w:hanging="436"/>
        <w:spacing w:after="0" w:line="34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conditions of the U.S. and international capital markets may adversely affect lenders the Company has relationships with, causing us to incur additional cost and reducing our sources of liquidity, which may adversely affect our financial position, liquidity and results of operations.</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may not be able to generate sufficient cash flow to service our outstanding debt and fund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Interest rate fluctuations may adversely affect our borrowing costs, profitability and liquidity.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regulation to which we are or may become subject could result in a material adverse affect on our business.</w:t>
      </w:r>
    </w:p>
    <w:p>
      <w:pPr>
        <w:spacing w:after="0" w:line="130" w:lineRule="exact"/>
        <w:rPr>
          <w:rFonts w:ascii="Arial" w:cs="Arial" w:eastAsia="Arial" w:hAnsi="Arial"/>
          <w:sz w:val="18"/>
          <w:szCs w:val="18"/>
          <w:b w:val="1"/>
          <w:bCs w:val="1"/>
          <w:color w:val="auto"/>
        </w:rPr>
      </w:pPr>
    </w:p>
    <w:p>
      <w:pPr>
        <w:ind w:left="660" w:right="10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certain services, and our ability to enter into future financing transactions.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inability to properly safeguard confidential consumer information.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operations could suffer from telecommunications or technology downtime or increased costs.</w:t>
      </w:r>
    </w:p>
    <w:p>
      <w:pPr>
        <w:spacing w:after="0" w:line="130" w:lineRule="exact"/>
        <w:rPr>
          <w:rFonts w:ascii="Arial" w:cs="Arial" w:eastAsia="Arial" w:hAnsi="Arial"/>
          <w:sz w:val="18"/>
          <w:szCs w:val="18"/>
          <w:b w:val="1"/>
          <w:bCs w:val="1"/>
          <w:color w:val="auto"/>
        </w:rPr>
      </w:pPr>
    </w:p>
    <w:p>
      <w:pPr>
        <w:ind w:left="660" w:right="7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Natural disasters, acts of war, terrorist attacks and threats or the escalation of military activity in response to such attacks or otherwise may negatively affect our business, financial condition and results of operations.</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Since 1972, Credit Acceptance has provided auto loans to consumers, regardless of their credit history. Our product is offered through a nationwide network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automobile dealers who benefit from sales of vehicles to consumers who otherwise could not obtain financing; from repeat and referral sales generated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same customers; and from sales to customers responding to advertisements for our product, but who actually end up qualifying for traditional financing.</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Without our product, consumers are often unable to purchase a vehicle or they purchase an unreliable one. Further, as we report to the three national credit reporting agencies, an important ancillary benefit of our program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84,489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75,617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242,339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11,596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25,257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12,933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80,107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280,529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225,890</w:t>
            </w:r>
          </w:p>
        </w:tc>
        <w:tc>
          <w:tcPr>
            <w:tcW w:w="0" w:type="dxa"/>
            <w:vAlign w:val="bottom"/>
          </w:tcPr>
          <w:p>
            <w:pPr>
              <w:spacing w:after="0"/>
              <w:rPr>
                <w:sz w:val="1"/>
                <w:szCs w:val="1"/>
                <w:color w:val="auto"/>
              </w:rPr>
            </w:pPr>
          </w:p>
        </w:tc>
      </w:tr>
      <w:tr>
        <w:trPr>
          <w:trHeight w:val="439"/>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16,862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16,766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50,498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22,767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3,533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4,103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10,954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23,352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47,168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115,206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148,756</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62,300</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165,323</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gain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w w:val="97"/>
              </w:rPr>
              <w:t>Income from continuing operations before provision for income taxes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62,303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32,937</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165,332</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21,491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12,606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59,358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28,828</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20,331</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105,974</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(Loss) gain from discontinued United Kingdom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(Loss) gain from discontinued operations</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20,657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105,920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48,621</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gain from discontinued operations per common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30,658,969</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30,310,053</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30,540,274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30,223,586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31,539,119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31,024,455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31,370,580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30,994,466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76,019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Restricted securities available for sale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Loans receivable (including $13,351 and $15,383 from affiliates as of September 30, 2009 and December 31,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2008, respectively)</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1,180,340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1,148,752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(123,240)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Loans receivable, net</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1,057,100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1,017,917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18,801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17,132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1,177,901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1,139,354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81,106</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Secured financing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436,491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note and capital lease obligations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100,911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726,293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$.01 par value, 80,000,000 shares authorized, 30,985,892 and 30,666,691 shares issued and</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as of September 30, 2009 and December 31, 2008, respectively</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18,491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434,098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ind w:left="200"/>
              <w:spacing w:after="0" w:line="201" w:lineRule="exact"/>
              <w:rPr>
                <w:sz w:val="20"/>
                <w:szCs w:val="20"/>
                <w:color w:val="auto"/>
              </w:rPr>
            </w:pPr>
            <w:r>
              <w:rPr>
                <w:rFonts w:ascii="Arial" w:cs="Arial" w:eastAsia="Arial" w:hAnsi="Arial"/>
                <w:sz w:val="18"/>
                <w:szCs w:val="18"/>
                <w:color w:val="auto"/>
                <w:w w:val="92"/>
              </w:rPr>
              <w:t>Accumulated other comprehensive loss, net of tax of $736 and $1,478 at September 30, 2009 and December 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2008, respectively</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(1,290)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451,608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1,177,901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1,139,354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jc w:val="right"/>
              <w:ind w:right="269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2019-12-10T09:29:32Z</dcterms:created>
  <dcterms:modified xsi:type="dcterms:W3CDTF">2019-12-10T09:29:32Z</dcterms:modified>
</cp:coreProperties>
</file>