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18, 2013</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740" w:type="dxa"/>
            <w:vAlign w:val="bottom"/>
            <w:gridSpan w:val="5"/>
          </w:tcPr>
          <w:p>
            <w:pPr>
              <w:jc w:val="right"/>
              <w:ind w:right="3768"/>
              <w:spacing w:after="0"/>
              <w:rPr>
                <w:sz w:val="20"/>
                <w:szCs w:val="20"/>
                <w:color w:val="auto"/>
              </w:rPr>
            </w:pPr>
            <w:r>
              <w:rPr>
                <w:rFonts w:ascii="Arial" w:cs="Arial" w:eastAsia="Arial" w:hAnsi="Arial"/>
                <w:sz w:val="18"/>
                <w:szCs w:val="18"/>
                <w:color w:val="auto"/>
                <w:w w:val="94"/>
              </w:rPr>
              <w:t>(Exact name of registrant as specified in its charter)</w:t>
            </w:r>
          </w:p>
        </w:tc>
      </w:tr>
      <w:tr>
        <w:trPr>
          <w:trHeight w:val="936"/>
        </w:trPr>
        <w:tc>
          <w:tcPr>
            <w:tcW w:w="3180" w:type="dxa"/>
            <w:vAlign w:val="bottom"/>
          </w:tcPr>
          <w:p>
            <w:pPr>
              <w:jc w:val="center"/>
              <w:ind w:left="417"/>
              <w:spacing w:after="0"/>
              <w:rPr>
                <w:sz w:val="20"/>
                <w:szCs w:val="20"/>
                <w:color w:val="auto"/>
              </w:rPr>
            </w:pPr>
            <w:r>
              <w:rPr>
                <w:rFonts w:ascii="Arial" w:cs="Arial" w:eastAsia="Arial" w:hAnsi="Arial"/>
                <w:sz w:val="18"/>
                <w:szCs w:val="18"/>
                <w:color w:val="auto"/>
                <w:w w:val="94"/>
              </w:rPr>
              <w:t>Michigan</w:t>
            </w:r>
          </w:p>
        </w:tc>
        <w:tc>
          <w:tcPr>
            <w:tcW w:w="3380" w:type="dxa"/>
            <w:vAlign w:val="bottom"/>
            <w:gridSpan w:val="3"/>
          </w:tcPr>
          <w:p>
            <w:pPr>
              <w:jc w:val="right"/>
              <w:ind w:right="648"/>
              <w:spacing w:after="0"/>
              <w:rPr>
                <w:sz w:val="20"/>
                <w:szCs w:val="20"/>
                <w:color w:val="auto"/>
              </w:rPr>
            </w:pPr>
            <w:r>
              <w:rPr>
                <w:rFonts w:ascii="Arial" w:cs="Arial" w:eastAsia="Arial" w:hAnsi="Arial"/>
                <w:sz w:val="18"/>
                <w:szCs w:val="18"/>
                <w:color w:val="auto"/>
              </w:rPr>
              <w:t>000-20202</w:t>
            </w:r>
          </w:p>
        </w:tc>
        <w:tc>
          <w:tcPr>
            <w:tcW w:w="520" w:type="dxa"/>
            <w:vAlign w:val="bottom"/>
          </w:tcPr>
          <w:p>
            <w:pPr>
              <w:spacing w:after="0"/>
              <w:rPr>
                <w:sz w:val="24"/>
                <w:szCs w:val="24"/>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38-1999511</w:t>
            </w:r>
          </w:p>
        </w:tc>
      </w:tr>
      <w:tr>
        <w:trPr>
          <w:trHeight w:val="182"/>
        </w:trPr>
        <w:tc>
          <w:tcPr>
            <w:tcW w:w="3180" w:type="dxa"/>
            <w:vAlign w:val="bottom"/>
            <w:tcBorders>
              <w:top w:val="single" w:sz="8" w:color="auto"/>
            </w:tcBorders>
          </w:tcPr>
          <w:p>
            <w:pPr>
              <w:jc w:val="center"/>
              <w:ind w:left="417"/>
              <w:spacing w:after="0"/>
              <w:rPr>
                <w:sz w:val="20"/>
                <w:szCs w:val="20"/>
                <w:color w:val="auto"/>
              </w:rPr>
            </w:pPr>
            <w:r>
              <w:rPr>
                <w:rFonts w:ascii="Arial" w:cs="Arial" w:eastAsia="Arial" w:hAnsi="Arial"/>
                <w:sz w:val="14"/>
                <w:szCs w:val="14"/>
                <w:color w:val="auto"/>
                <w:w w:val="95"/>
              </w:rPr>
              <w:t>(State or other jurisdiction of incorporation)</w:t>
            </w:r>
          </w:p>
        </w:tc>
        <w:tc>
          <w:tcPr>
            <w:tcW w:w="500" w:type="dxa"/>
            <w:vAlign w:val="bottom"/>
            <w:tcBorders>
              <w:top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(Commission File Number)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317"/>
        </w:trPr>
        <w:tc>
          <w:tcPr>
            <w:tcW w:w="3180" w:type="dxa"/>
            <w:vAlign w:val="bottom"/>
          </w:tcPr>
          <w:p>
            <w:pPr>
              <w:jc w:val="center"/>
              <w:ind w:left="517"/>
              <w:spacing w:after="0"/>
              <w:rPr>
                <w:sz w:val="20"/>
                <w:szCs w:val="20"/>
                <w:color w:val="auto"/>
              </w:rPr>
            </w:pPr>
            <w:r>
              <w:rPr>
                <w:rFonts w:ascii="Arial" w:cs="Arial" w:eastAsia="Arial" w:hAnsi="Arial"/>
                <w:sz w:val="18"/>
                <w:szCs w:val="18"/>
                <w:color w:val="auto"/>
                <w:w w:val="90"/>
              </w:rPr>
              <w:t>25505 West Twelve Mile Road</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34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48034-8339</w:t>
            </w:r>
          </w:p>
        </w:tc>
      </w:tr>
      <w:tr>
        <w:trPr>
          <w:trHeight w:val="237"/>
        </w:trPr>
        <w:tc>
          <w:tcPr>
            <w:tcW w:w="3180" w:type="dxa"/>
            <w:vAlign w:val="bottom"/>
            <w:tcBorders>
              <w:bottom w:val="single" w:sz="8" w:color="auto"/>
            </w:tcBorders>
          </w:tcPr>
          <w:p>
            <w:pPr>
              <w:jc w:val="center"/>
              <w:ind w:left="417"/>
              <w:spacing w:after="0"/>
              <w:rPr>
                <w:sz w:val="20"/>
                <w:szCs w:val="20"/>
                <w:color w:val="auto"/>
              </w:rPr>
            </w:pPr>
            <w:r>
              <w:rPr>
                <w:rFonts w:ascii="Arial" w:cs="Arial" w:eastAsia="Arial" w:hAnsi="Arial"/>
                <w:sz w:val="18"/>
                <w:szCs w:val="18"/>
                <w:color w:val="auto"/>
                <w:w w:val="93"/>
              </w:rPr>
              <w:t>Southfield, Michigan</w:t>
            </w:r>
          </w:p>
        </w:tc>
        <w:tc>
          <w:tcPr>
            <w:tcW w:w="50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p>
        </w:tc>
      </w:tr>
      <w:tr>
        <w:trPr>
          <w:trHeight w:val="182"/>
        </w:trPr>
        <w:tc>
          <w:tcPr>
            <w:tcW w:w="3180" w:type="dxa"/>
            <w:vAlign w:val="bottom"/>
          </w:tcPr>
          <w:p>
            <w:pPr>
              <w:jc w:val="center"/>
              <w:ind w:left="497"/>
              <w:spacing w:after="0"/>
              <w:rPr>
                <w:sz w:val="20"/>
                <w:szCs w:val="20"/>
                <w:color w:val="auto"/>
              </w:rPr>
            </w:pPr>
            <w:r>
              <w:rPr>
                <w:rFonts w:ascii="Arial" w:cs="Arial" w:eastAsia="Arial" w:hAnsi="Arial"/>
                <w:sz w:val="14"/>
                <w:szCs w:val="14"/>
                <w:color w:val="auto"/>
                <w:w w:val="95"/>
              </w:rPr>
              <w:t>(Address of principal executive offices)</w:t>
            </w: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4"/>
                <w:szCs w:val="14"/>
                <w:color w:val="auto"/>
                <w:w w:val="96"/>
              </w:rPr>
              <w:t>(Zip Code)</w:t>
            </w:r>
          </w:p>
        </w:tc>
      </w:tr>
      <w:tr>
        <w:trPr>
          <w:trHeight w:val="669"/>
        </w:trPr>
        <w:tc>
          <w:tcPr>
            <w:tcW w:w="3180" w:type="dxa"/>
            <w:vAlign w:val="bottom"/>
          </w:tcPr>
          <w:p>
            <w:pPr>
              <w:spacing w:after="0"/>
              <w:rPr>
                <w:sz w:val="24"/>
                <w:szCs w:val="24"/>
                <w:color w:val="auto"/>
              </w:rPr>
            </w:pPr>
          </w:p>
        </w:tc>
        <w:tc>
          <w:tcPr>
            <w:tcW w:w="3900" w:type="dxa"/>
            <w:vAlign w:val="bottom"/>
            <w:gridSpan w:val="4"/>
          </w:tcPr>
          <w:p>
            <w:pPr>
              <w:ind w:left="80"/>
              <w:spacing w:after="0"/>
              <w:rPr>
                <w:sz w:val="20"/>
                <w:szCs w:val="20"/>
                <w:color w:val="auto"/>
              </w:rPr>
            </w:pPr>
            <w:r>
              <w:rPr>
                <w:rFonts w:ascii="Arial" w:cs="Arial" w:eastAsia="Arial" w:hAnsi="Arial"/>
                <w:sz w:val="18"/>
                <w:szCs w:val="18"/>
                <w:color w:val="auto"/>
                <w:w w:val="91"/>
              </w:rPr>
              <w:t>Registrant’s telephone number, including area code:</w:t>
            </w:r>
          </w:p>
        </w:tc>
        <w:tc>
          <w:tcPr>
            <w:tcW w:w="4340" w:type="dxa"/>
            <w:vAlign w:val="bottom"/>
            <w:gridSpan w:val="2"/>
          </w:tcPr>
          <w:p>
            <w:pPr>
              <w:jc w:val="right"/>
              <w:ind w:right="3188"/>
              <w:spacing w:after="0"/>
              <w:rPr>
                <w:sz w:val="20"/>
                <w:szCs w:val="20"/>
                <w:color w:val="auto"/>
              </w:rPr>
            </w:pPr>
            <w:r>
              <w:rPr>
                <w:rFonts w:ascii="Arial" w:cs="Arial" w:eastAsia="Arial" w:hAnsi="Arial"/>
                <w:sz w:val="18"/>
                <w:szCs w:val="18"/>
                <w:color w:val="auto"/>
                <w:w w:val="94"/>
              </w:rPr>
              <w:t>248-353-2700</w:t>
            </w:r>
          </w:p>
        </w:tc>
      </w:tr>
    </w:tbl>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1685925</wp:posOffset>
            </wp:positionH>
            <wp:positionV relativeFrom="paragraph">
              <wp:posOffset>14605</wp:posOffset>
            </wp:positionV>
            <wp:extent cx="3876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7604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818515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Credit Acceptance Corporation is furnishing materials, included as Exhibit 99.1 to this report and incorporated herein by reference, which were prepared for inclusion on its investor relations website. Credit Acceptance Corporation is not undertaking to update these materials. This report should not be deemed an admission as to the materiality of any information contained in these materials.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furnished in this report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Shareholder Letter added to website on or about March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1136015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CREDIT ACCEPTANCE CORPORATION</w:t>
      </w:r>
    </w:p>
    <w:p>
      <w:pPr>
        <w:spacing w:after="0" w:line="15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March 18, 2013</w:t>
      </w:r>
      <w:r>
        <w:rPr>
          <w:sz w:val="20"/>
          <w:szCs w:val="20"/>
          <w:color w:val="auto"/>
        </w:rPr>
        <w:tab/>
      </w:r>
      <w:r>
        <w:rPr>
          <w:rFonts w:ascii="Arial" w:cs="Arial" w:eastAsia="Arial" w:hAnsi="Arial"/>
          <w:sz w:val="16"/>
          <w:szCs w:val="16"/>
          <w:color w:val="auto"/>
        </w:rPr>
        <w:t>By:  /s/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2529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Kenneth S. Booth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1109980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40" w:type="dxa"/>
            <w:vAlign w:val="bottom"/>
          </w:tcPr>
          <w:p>
            <w:pPr>
              <w:ind w:left="3240"/>
              <w:spacing w:after="0"/>
              <w:rPr>
                <w:sz w:val="20"/>
                <w:szCs w:val="20"/>
                <w:color w:val="auto"/>
              </w:rPr>
            </w:pPr>
            <w:r>
              <w:rPr>
                <w:rFonts w:ascii="Arial" w:cs="Arial" w:eastAsia="Arial" w:hAnsi="Arial"/>
                <w:sz w:val="18"/>
                <w:szCs w:val="18"/>
                <w:b w:val="1"/>
                <w:bCs w:val="1"/>
                <w:color w:val="auto"/>
              </w:rPr>
              <w:t>EXHIBIT INDEX</w:t>
            </w:r>
          </w:p>
        </w:tc>
      </w:tr>
      <w:tr>
        <w:trPr>
          <w:trHeight w:val="304"/>
        </w:trPr>
        <w:tc>
          <w:tcPr>
            <w:tcW w:w="128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10140" w:type="dxa"/>
            <w:vAlign w:val="bottom"/>
            <w:gridSpan w:val="2"/>
          </w:tcPr>
          <w:p>
            <w:pPr>
              <w:ind w:left="500"/>
              <w:spacing w:after="0"/>
              <w:rPr>
                <w:sz w:val="20"/>
                <w:szCs w:val="20"/>
                <w:color w:val="auto"/>
              </w:rPr>
            </w:pPr>
            <w:r>
              <w:rPr>
                <w:rFonts w:ascii="Arial" w:cs="Arial" w:eastAsia="Arial" w:hAnsi="Arial"/>
                <w:sz w:val="14"/>
                <w:szCs w:val="14"/>
                <w:b w:val="1"/>
                <w:bCs w:val="1"/>
                <w:color w:val="auto"/>
              </w:rPr>
              <w:t>Description</w:t>
            </w:r>
          </w:p>
        </w:tc>
      </w:tr>
      <w:tr>
        <w:trPr>
          <w:trHeight w:val="230"/>
        </w:trPr>
        <w:tc>
          <w:tcPr>
            <w:tcW w:w="1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0"/>
                <w:szCs w:val="20"/>
                <w:color w:val="auto"/>
              </w:rPr>
            </w:pPr>
          </w:p>
        </w:tc>
        <w:tc>
          <w:tcPr>
            <w:tcW w:w="9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Shareholder Letter added to website on or about March 18, 2013.</w:t>
            </w:r>
          </w:p>
        </w:tc>
      </w:tr>
    </w:tbl>
    <w:p>
      <w:pPr>
        <w:sectPr>
          <w:pgSz w:w="11900" w:h="16838" w:orient="portrait"/>
          <w:cols w:equalWidth="0" w:num="1">
            <w:col w:w="11420"/>
          </w:cols>
          <w:pgMar w:left="240" w:top="75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LETTER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message from our Chief Executive Officer</w:t>
      </w:r>
    </w:p>
    <w:p>
      <w:pPr>
        <w:spacing w:after="0" w:line="25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During 2012, we completed our 20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full year as a public company. Over those 20 years, GAAP net income per share (diluted) has grown at a compounded annual rate of 20.7%, with an average annual return on equity of 19.9%. In 1992, the year of our initial public offering, GAAP net income was $0.20 per share (diluted). In 2012, we earned $8.58 per share (diluted).</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 the last 12 years, we have done even better. GAAP net income per share (diluted) has grown at a compounded annual rate of 28.0% with an average annual return on equity of 23.4%.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Last year, GAAP net income per share (diluted) grew 21.4% and our return on equity was 37.8%.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Credit Acceptance was founded in 1972 by our current Chairman and significant shareholder, Don Foss. Don learned early in his career that many people who needed a vehicle were unable to acquire one because of their credit standing. Even more importantly, he realized that most people in this situation were misjudged by traditional lending sources, who assumed that the applicants’ less-than-perfect credit histories made them undeserving of a second chance. Don started Credit Acceptance to enable these individuals to purchase a vehicle and establish or reestablish a positive credit history, thereby moving their financial lives in a positive direction.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BUSINESS CYCLES ON OUR PERFORMANCE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for shareholders to understand the impact of the external environment on our performance. Both competitive cycles and economic cycles have affected our results historically and are likely to do so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cycles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gone through several cycles of competition. From 1972 through the early 1990s, there were very few companies attempting to serve the market segment that Don had identified. As a result, during this period we had an almost unlimited opportunity to write new business at very high levels of profitability. Following our initial public stock offering in 1992, we began to see more companies entering our market, and by 1995 we faced an unprecedented level of competition. Because we had not experienced high levels of competition previously, we were not prepared to operate successfully in this new environment. As a result, the loans we originated during this period produced a return less than our cost of capital. Our competitors fared much worse, however, and by 1997 most had exited our market. Although the results we produced during this period were unsatisfactory, we learned many valuable lessons that allowed us to navigate the next competitive cycle with much greater success.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next cycle began in 2003. The environment became increasingly difficult as it became easier for competitors to obtain capital. The cycle came to a halt toward the end of 2007, when capital markets tightened.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134620</wp:posOffset>
            </wp:positionV>
            <wp:extent cx="1483360"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In contrast to the unsatisfactory results we delivered during the first cycle, we produced very good ones during the 2003–2007 cycle. We had improved many important aspects of our business between the first and second cycles, including our ability to predict loan performance, deploy risk-adjusted pricing, monitor loan performance and execute key functions consistently. In addition, we gave a high priority to ensuring that we originated new loans with a large margin of safety, so that even if the loans did not perform as expected, they would still very likely produce acceptable financial results. We grew our loan volumes throughout the 2003–2007 period, but always balanced our desire to grow with an insistence on acceptable per loan profitability. This combination of growth and meaningful improvements in per loan profitability allowed us to grow our GAAP net income per share (diluted) to $1.76 in 2007 from $0.69 in 2002 in spite of the increasingly competitive environment.</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the cycle ended in late 2007, we were able to modify our pricing and write a significant volume of new loans at very high levels of per unit profitability. Although capital constraints did not allow us to write as much business in 2008–2009 as we would have liked, the improvements in per unit profitability allowed us to significantly improve our financial results in both of those years.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Starting in late 2009, we were able to complete a number of financing transactions that put us in position to increase unit volumes by 23.2% in 2010 and 30.2% in 2011, with per unit profitability near the high end of the historical range. This period of limited competition allowed us to produce very strong financial results—GAAP net income per share (diluted) grew to $7.07 in 2011 from $1.76 in 2007.</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interest rates low and capital widely available, we began to see competition return to the market throughout 2011 and 2012. While loan growth remained strong in 2011, we were required to make several pricing changes which reduced per unit profitability during the year. We continued to make pricing changes in 2012, but the period of strong growth ended with unit volumes growing only 6.7%. Given the history of our market, we did not expect favorable conditions to continue forever. While we can’t predict the duration of this next cycle, we believe our experience in prior cycles will help us to navigate it successfully.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Economic cycles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Economic cycles affect our business as well. Increases in the unemployment rate put downward pressure on loan performance, and conditions in the capital markets make it more difficult to access the capital we need to fund our business.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1972 through 1991, the Company experienced two significant increases in the unemployment rate. The first occurred in 1974–1975 and the second in 1980–1982. However, the information we accumulated during these periods was largely anecdotal, as we did not capture loan performance data during this early stage of the Company’s development.</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began to capture loan performance data in 1991 (although we did not have the tools to adequately assess this data until 1997). The period from 1991 through April of 2008 was a time of relatively stable unemployment levels. The only significant increase in unemployment rates occurred in 2001. But that was a year in which we made major changes to our origination systems and loan programs that made it harder for us to draw clear conclusions from what we observed. As a result, prior to the most recent economic downturn, we had only a limited ability to predict the impact of sharply rising unemployment rates on our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146050</wp:posOffset>
            </wp:positionV>
            <wp:extent cx="1483360"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One conclusion we did draw (from the limited information we had accumulated for the period 1972 through April 2008) was that our loans would likely perform better than many outside observers would expect. However, that conclusion was far from certain. The uncertainty about our loan performance during a period of rapidly rising unemployment was a primary reason that we had decided to price new loans with a large margin of safety and to maintain conservative levels of debt.</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most recent financial crisis began to unfold in late 2007. Adding to the challenge was the fact that 2007 was also a period of intense competition within our industry. During 2007, we had to compete for new loan originations with an increasing number of companies that were willing to accept low returns and operate with lenient underwriting standards. Then the economic downturn worsened. From April 2008 through October 2009, the national unemployment rate increased from 4.9% to 10.1%. This combination of events—intense competition, followed by severe economic deterioration—provided a perfect test of our business model, one that would confirm either our views or the views of skeptics. We believe that our financial results for the last five years demonstrate that we passed the test with flying colors. Our loan performance surpassed even our most optimistic expectations, and we reported record levels of profitability in 2008, 2009, 2010, 2011 and 2012.</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did experience deterioration in our loan performance, but it was modest. In contrast, many of our competitors experienced a much greater fall-off in their loan performance and reported poor financial results. While we do not have as much insight into their experience as we do into our own, we believe that a significant share of the deterioration they recorded was due to poor underwriting rather than the impact of the economic downturn. Because our competitors generally target low levels of per loan profitability and use debt extensively, any adverse change in loan performance should have a much more damaging impact on their results than on ours.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Access to capital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Besides impacting loan performance, the financial crisis made it more difficult to access capital. The tightening of the capital markets began in mid-2007 and continued throughout 2008 and much of 2009. During 2008, we had enough success obtaining capital to be able to originate $786.4 million in new loans, an increase of 14.1% from 2007.</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capital markets became less accessible as 2008 progressed, however. As a result, we began to slow originations growth through pricing changes which began in March and continued throughout the remainder of 2008. During 2009, we continued to slow originations based on the capital we had available. We originated $619.4 million of new loans, 21.2% less than in 2008. While we would have preferred a higher level of originations, we did not have access to the new capital we would have required on terms that we found acceptable.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access to capital improved at the end of 2009, and since that time capital has been readily available at increasingly favorable rates. While easy access to capital will not last forever, we are hopeful that our strong results during the financial crisis along with the favorable reputation we have built with capital providers will prove to be important assets when difficult capital markets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141605</wp:posOffset>
            </wp:positionV>
            <wp:extent cx="1483360"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GAAP RESULTS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GAAP results for 1992–2012: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GAAP net income per</w:t>
            </w:r>
          </w:p>
        </w:tc>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Year-to-year change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share (diluted)</w:t>
            </w:r>
          </w:p>
        </w:tc>
        <w:tc>
          <w:tcPr>
            <w:tcW w:w="26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1992</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0.20</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1993</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0.29</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1994</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0.49</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1995</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0.68</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1996</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0.89</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1997</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0.03</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1998</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0.53</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1999</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(0.27)</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2000</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0.51</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2001</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0.57</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2002</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0.69</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2003</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0.57</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2004</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1.40</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2005</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1.85</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2006</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1.66</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2007</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1.76</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2008</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2.16</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2009</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4.62</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2010</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5.67</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i w:val="1"/>
                <w:iCs w:val="1"/>
                <w:color w:val="auto"/>
              </w:rPr>
              <w:t>2011</w:t>
            </w:r>
          </w:p>
        </w:tc>
        <w:tc>
          <w:tcPr>
            <w:tcW w:w="264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7.07</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2012</w:t>
            </w:r>
          </w:p>
        </w:tc>
        <w:tc>
          <w:tcPr>
            <w:tcW w:w="26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8.58</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 xml:space="preserve">Compound annual growth rate 1992 </w:t>
            </w:r>
            <w:r>
              <w:rPr>
                <w:rFonts w:ascii="Arial" w:cs="Arial" w:eastAsia="Arial" w:hAnsi="Arial"/>
                <w:sz w:val="18"/>
                <w:szCs w:val="18"/>
                <w:color w:val="auto"/>
              </w:rPr>
              <w:t>–</w:t>
            </w:r>
            <w:r>
              <w:rPr>
                <w:rFonts w:ascii="Arial" w:cs="Arial" w:eastAsia="Arial" w:hAnsi="Arial"/>
                <w:sz w:val="18"/>
                <w:szCs w:val="18"/>
                <w:i w:val="1"/>
                <w:iCs w:val="1"/>
                <w:color w:val="auto"/>
              </w:rPr>
              <w:t xml:space="preserve"> 2012</w:t>
            </w:r>
          </w:p>
        </w:tc>
        <w:tc>
          <w:tcPr>
            <w:tcW w:w="2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GAAP net income per share (diluted) increased 21.4% in 2012. Since 1992, GAAP net income per share (diluted) has grown at an annual compounded rate of 20.7%.</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Moreover, the rate of growth has accelerated over time. GAAP net income per share (diluted) has grown at a compounded rate of 28.0% over the last 12 years, and a rate of 41.2% over the last five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RESULTS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reported financial results include both GAAP and adjusted numbers. Historically, to arrive at the latter, we have adjusted the GAAP results to normalize tax rates, eliminate non-recurring expenses and eliminate discontinued operations. (For simplicity, I have excluded these adjustments from prior-year letters.) In addition, we have made two other adjustments, and these I have explained in prior-year letters: (1) a floating yield adjustment, and (2) a program fee yield adjustment. Neither of these two adjustments had a material effect in 2012, but because they were significant in certain prior periods, I will briefly explain each one.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Floating yield adjustment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this adjustment is to modify the calculation of our GAAP-based finance charge revenue so that both favorable and unfavorable changes in expected cash flows from loans receivable are treated consistently. To make the adjustment understandable, we must first explain how GAAP requires us to account for finance charge revenue, which is our primary revenue source.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141605</wp:posOffset>
            </wp:positionV>
            <wp:extent cx="1483360"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18"/>
          <w:szCs w:val="18"/>
          <w:color w:val="auto"/>
        </w:rPr>
        <w:t>Credit Acceptance is an indirect lender, which means that the loans are originated by an automobile dealer and immediately assigned to us. We compensate the automobile dealer for the loan through two types of payments. The first payment is made at the time of origination. The remaining compensation is paid over time based on the performance of the loan. The amount we pay at the time of origination is called an advance; the portion paid over time is called dealer holdback.</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finance charge revenue we will recognize over the life of the loan equals the cash we collect from the loan (i.e., repayments by the consumer), less the amounts we pay to the dealer (advance + dealer holdback). In other words, the finance charge revenue we will recognize over the life of the loan equals the cash inflows from the loan less the cash outflows to acquire the loan. This amount, plus a modest amount of revenue from other sources, less our operating expenses, interest and taxes, is the sum that will ultimately be paid to shareholders or reinvested in new assets.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our current GAAP accounting methodology, finance charge revenue is recognized on a level-yield basis. That is, the amount of loan revenue recognized in a given period, divided by the loan asset, is a constant percentage. Recognizing loan revenue on a level-yield basis is reasonable, conforms to industry practice, and matches the economics of the business.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Where GAAP diverges from economic reality is in the way it deals with changes in expected cash flows. The expected cash flows from a loan portfolio are not known with certainty. Instead, they are estimated. From an economic standpoint, if forecasted cash flows from one loan pool increase by $1,000 and forecasted cash flows from another loan pool decrease by $1,000, no change in our shareholders’ economic position has occurred. GAAP, however, requires the Company to record the $1,000 decrease as an expense in the current period, and to record the $1,000 favorable change as income over the remaining life of the loan pool.</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Shareholders relying on our GAAP financial statements would therefore see net income which understates our economic performance in the current period, and net income which overstate our economic performance in future periods.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floating yield adjustment reverses the GAAP-caused distortion by treating both favorable and unfavorable changes in expected cash flows consistently. That is, both types of changes are treated as adjustments to our loan yield over time. In addition, the floating yield adjustment has the benefit of simplifying our financial statements by eliminating the provision for credit losses, which is both volatile and not well understood.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Program fee yield adjustment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purpose of this adjustment is to make the results for program fee revenue comparable across time periods. In 2001, the Company had begun charging dealers a monthly program fee. In accordance with GAAP, this fee was being recorded as revenue in the month the fee was charged. However, based on feedback from field sales personnel and dealers, the Company concluded that structuring the fee in this way was contributing to increased dealer attrition. To address the problem, the Company changed its method for collecting these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144780</wp:posOffset>
            </wp:positionV>
            <wp:extent cx="148336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9" w:name="page10"/>
    <w:bookmarkEnd w:id="9"/>
    <w:p>
      <w:pPr>
        <w:jc w:val="both"/>
        <w:spacing w:after="0" w:line="273" w:lineRule="auto"/>
        <w:rPr>
          <w:sz w:val="20"/>
          <w:szCs w:val="20"/>
          <w:color w:val="auto"/>
        </w:rPr>
      </w:pPr>
      <w:r>
        <w:rPr>
          <w:rFonts w:ascii="Arial" w:cs="Arial" w:eastAsia="Arial" w:hAnsi="Arial"/>
          <w:sz w:val="17"/>
          <w:szCs w:val="17"/>
          <w:color w:val="auto"/>
        </w:rPr>
        <w:t>As of January 1, 2007, the Company began to take the program fee out of future dealer holdback payments instead of collecting it in the current period. The change reduced per unit profitability, since cash that previously was collected immediately is now collected over time. In addition, the change required us to modify our GAAP accounting method for program fees. Starting January 1, 2007, the Company began to record program fees for GAAP purposes as an adjustment to the loan yield, effectively recognizing the fees over the term of the dealer loan. This revised GAAP treatment is more consistent with the cash economics. To allow for proper comparisons, the program fee adjustment applies the revised GAAP treatment to all pre-2007 periods. (Starting in 2012, this adjustment is no longer required since all pre-2007 program fees have now been fully recognized.)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net income and net income per share (diluted) for 2001–2012 after the two adjustments: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Floating yield</w:t>
            </w:r>
          </w:p>
        </w:tc>
        <w:tc>
          <w:tcPr>
            <w:tcW w:w="140" w:type="dxa"/>
            <w:vAlign w:val="bottom"/>
          </w:tcPr>
          <w:p>
            <w:pPr>
              <w:spacing w:after="0"/>
              <w:rPr>
                <w:sz w:val="16"/>
                <w:szCs w:val="16"/>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Program fee</w:t>
            </w:r>
          </w:p>
        </w:tc>
        <w:tc>
          <w:tcPr>
            <w:tcW w:w="140" w:type="dxa"/>
            <w:vAlign w:val="bottom"/>
          </w:tcPr>
          <w:p>
            <w:pPr>
              <w:spacing w:after="0"/>
              <w:rPr>
                <w:sz w:val="16"/>
                <w:szCs w:val="16"/>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Adjusted</w:t>
            </w: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Year-to-year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net income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 xml:space="preserve">adjustment </w:t>
            </w:r>
            <w:r>
              <w:rPr>
                <w:rFonts w:ascii="Arial" w:cs="Arial" w:eastAsia="Arial" w:hAnsi="Arial"/>
                <w:sz w:val="10"/>
                <w:szCs w:val="10"/>
                <w:b w:val="1"/>
                <w:bCs w:val="1"/>
                <w:color w:val="auto"/>
                <w:w w:val="92"/>
              </w:rPr>
              <w:t>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1"/>
              </w:rPr>
              <w:t xml:space="preserve">net income </w:t>
            </w:r>
            <w:r>
              <w:rPr>
                <w:rFonts w:ascii="Arial" w:cs="Arial" w:eastAsia="Arial" w:hAnsi="Arial"/>
                <w:sz w:val="10"/>
                <w:szCs w:val="10"/>
                <w:b w:val="1"/>
                <w:bCs w:val="1"/>
                <w:color w:val="auto"/>
                <w:w w:val="91"/>
              </w:rPr>
              <w:t>2</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2001</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24.7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1.2</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(1.1)</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24.8</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29.8</w:t>
            </w: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2.8</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(2.2)</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30.4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2003</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24.7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1.4</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(2.1)</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24.0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57.3</w:t>
            </w: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(0.1)</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(1.0)</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56.2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72.6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(2.2)</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(2.1)</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68.3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58.6</w:t>
            </w: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0.4</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(2.8)</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56.2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54.9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3.6</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5.0</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63.5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67.2</w:t>
            </w: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13.1</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2.0</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82.3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146.3</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(19.6)</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0.8</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127.5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170.1</w:t>
            </w:r>
          </w:p>
        </w:tc>
        <w:tc>
          <w:tcPr>
            <w:tcW w:w="1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0.5</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0.3</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170.9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2011</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188.0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7.1</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0.3</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195.4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219.7</w:t>
            </w:r>
          </w:p>
        </w:tc>
        <w:tc>
          <w:tcPr>
            <w:tcW w:w="1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219.7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12.4%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 xml:space="preserve">Compound annual growth rate 2001 </w:t>
            </w:r>
            <w:r>
              <w:rPr>
                <w:rFonts w:ascii="Arial" w:cs="Arial" w:eastAsia="Arial" w:hAnsi="Arial"/>
                <w:sz w:val="18"/>
                <w:szCs w:val="18"/>
                <w:color w:val="auto"/>
              </w:rPr>
              <w:t>–</w:t>
            </w:r>
            <w:r>
              <w:rPr>
                <w:rFonts w:ascii="Arial" w:cs="Arial" w:eastAsia="Arial" w:hAnsi="Arial"/>
                <w:sz w:val="18"/>
                <w:szCs w:val="18"/>
                <w:i w:val="1"/>
                <w:iCs w:val="1"/>
                <w:color w:val="auto"/>
              </w:rPr>
              <w:t xml:space="preserve"> 2012</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21.9%</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GAAP net income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Floating yield</w:t>
            </w:r>
          </w:p>
        </w:tc>
        <w:tc>
          <w:tcPr>
            <w:tcW w:w="14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Program fee</w:t>
            </w:r>
          </w:p>
        </w:tc>
        <w:tc>
          <w:tcPr>
            <w:tcW w:w="14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Adjusted net</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89"/>
              </w:rPr>
              <w:t>income</w:t>
            </w: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Year-to-year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adjustment</w:t>
            </w: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share (diluted)</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 share (diluted)</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97"/>
              </w:rPr>
              <w:t>(diluted)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share (diluted)</w:t>
            </w:r>
          </w:p>
        </w:tc>
        <w:tc>
          <w:tcPr>
            <w:tcW w:w="140" w:type="dxa"/>
            <w:vAlign w:val="bottom"/>
          </w:tcPr>
          <w:p>
            <w:pPr>
              <w:spacing w:after="0"/>
              <w:rPr>
                <w:sz w:val="12"/>
                <w:szCs w:val="12"/>
                <w:color w:val="auto"/>
              </w:rPr>
            </w:pPr>
          </w:p>
        </w:tc>
        <w:tc>
          <w:tcPr>
            <w:tcW w:w="1020" w:type="dxa"/>
            <w:vAlign w:val="bottom"/>
          </w:tcPr>
          <w:p>
            <w:pPr>
              <w:jc w:val="center"/>
              <w:ind w:right="54"/>
              <w:spacing w:after="0"/>
              <w:rPr>
                <w:sz w:val="20"/>
                <w:szCs w:val="20"/>
                <w:color w:val="auto"/>
              </w:rPr>
            </w:pPr>
            <w:r>
              <w:rPr>
                <w:rFonts w:ascii="Arial" w:cs="Arial" w:eastAsia="Arial" w:hAnsi="Arial"/>
                <w:sz w:val="10"/>
                <w:szCs w:val="10"/>
                <w:b w:val="1"/>
                <w:bCs w:val="1"/>
                <w:color w:val="auto"/>
                <w:w w:val="71"/>
              </w:rPr>
              <w:t>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4"/>
              <w:spacing w:after="0"/>
              <w:rPr>
                <w:sz w:val="20"/>
                <w:szCs w:val="20"/>
                <w:color w:val="auto"/>
              </w:rPr>
            </w:pPr>
            <w:r>
              <w:rPr>
                <w:rFonts w:ascii="Arial" w:cs="Arial" w:eastAsia="Arial" w:hAnsi="Arial"/>
                <w:sz w:val="10"/>
                <w:szCs w:val="10"/>
                <w:b w:val="1"/>
                <w:bCs w:val="1"/>
                <w:color w:val="auto"/>
                <w:w w:val="71"/>
              </w:rPr>
              <w:t>2</w:t>
            </w:r>
          </w:p>
        </w:tc>
        <w:tc>
          <w:tcPr>
            <w:tcW w:w="22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2001</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0.57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0.03</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(0.03)</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0.57</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0.69</w:t>
            </w: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0.06</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(0.05)</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0.70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2003</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0.57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0.03</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(0.05)</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0.55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1.40</w:t>
            </w: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(0.03)</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1.37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1.85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(0.06)</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(0.05)</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1.74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1.66</w:t>
            </w: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0.01</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(0.08)</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1.59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1.76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0.11</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0.16</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2.03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2.16</w:t>
            </w: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0.42</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0.07</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2.65</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4.62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(0.62)</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0.03</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4.03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5.67</w:t>
            </w: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0.02</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0.01</w:t>
            </w: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5.70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2011</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7.07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i w:val="1"/>
                <w:iCs w:val="1"/>
                <w:color w:val="auto"/>
                <w:w w:val="9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0.26</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0.01</w:t>
            </w:r>
          </w:p>
        </w:tc>
        <w:tc>
          <w:tcPr>
            <w:tcW w:w="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7.34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940" w:type="dxa"/>
            <w:vAlign w:val="bottom"/>
            <w:gridSpan w:val="2"/>
          </w:tcPr>
          <w:p>
            <w:pPr>
              <w:ind w:left="78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8.58</w:t>
            </w:r>
          </w:p>
        </w:tc>
        <w:tc>
          <w:tcPr>
            <w:tcW w:w="220" w:type="dxa"/>
            <w:vAlign w:val="bottom"/>
            <w:gridSpan w:val="2"/>
          </w:tcPr>
          <w:p>
            <w:pPr>
              <w:ind w:left="100"/>
              <w:spacing w:after="0"/>
              <w:rPr>
                <w:sz w:val="20"/>
                <w:szCs w:val="20"/>
                <w:color w:val="auto"/>
              </w:rPr>
            </w:pPr>
            <w:r>
              <w:rPr>
                <w:rFonts w:ascii="Arial" w:cs="Arial" w:eastAsia="Arial" w:hAnsi="Arial"/>
                <w:sz w:val="18"/>
                <w:szCs w:val="18"/>
                <w:i w:val="1"/>
                <w:i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i w:val="1"/>
                <w:i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8.58</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 xml:space="preserve">Compound annual growth rate 2001 </w:t>
            </w:r>
            <w:r>
              <w:rPr>
                <w:rFonts w:ascii="Arial" w:cs="Arial" w:eastAsia="Arial" w:hAnsi="Arial"/>
                <w:sz w:val="18"/>
                <w:szCs w:val="18"/>
                <w:color w:val="auto"/>
              </w:rPr>
              <w:t>–</w:t>
            </w:r>
            <w:r>
              <w:rPr>
                <w:rFonts w:ascii="Arial" w:cs="Arial" w:eastAsia="Arial" w:hAnsi="Arial"/>
                <w:sz w:val="18"/>
                <w:szCs w:val="18"/>
                <w:i w:val="1"/>
                <w:iCs w:val="1"/>
                <w:color w:val="auto"/>
              </w:rPr>
              <w:t xml:space="preserve"> 2012</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28.0%</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0"/>
          <w:szCs w:val="10"/>
          <w:color w:val="auto"/>
        </w:rPr>
        <w:t>1</w:t>
      </w:r>
      <w:r>
        <w:rPr>
          <w:rFonts w:ascii="Arial" w:cs="Arial" w:eastAsia="Arial" w:hAnsi="Arial"/>
          <w:sz w:val="14"/>
          <w:szCs w:val="14"/>
          <w:color w:val="auto"/>
        </w:rPr>
        <w:t>The program fee adjustment was concluded in 2011.</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0"/>
          <w:szCs w:val="10"/>
          <w:color w:val="auto"/>
        </w:rPr>
        <w:t>2</w:t>
      </w:r>
      <w:r>
        <w:rPr>
          <w:rFonts w:ascii="Arial" w:cs="Arial" w:eastAsia="Arial" w:hAnsi="Arial"/>
          <w:sz w:val="14"/>
          <w:szCs w:val="14"/>
          <w:color w:val="auto"/>
        </w:rPr>
        <w:t>The adjusted net income and adjusted net income per share (diluted) results and year-to-year changes shown in the tables differ slightly from those published in the Company’s year-end earnings</w:t>
      </w:r>
      <w:r>
        <w:rPr>
          <w:rFonts w:ascii="Arial" w:cs="Arial" w:eastAsia="Arial" w:hAnsi="Arial"/>
          <w:sz w:val="10"/>
          <w:szCs w:val="10"/>
          <w:color w:val="auto"/>
        </w:rPr>
        <w:t xml:space="preserve"> </w:t>
      </w:r>
      <w:r>
        <w:rPr>
          <w:rFonts w:ascii="Arial" w:cs="Arial" w:eastAsia="Arial" w:hAnsi="Arial"/>
          <w:sz w:val="14"/>
          <w:szCs w:val="14"/>
          <w:color w:val="auto"/>
        </w:rPr>
        <w:t>releases. That is because the earnings release figures include additional adjustments related to taxes, non-recurring expenses and discontinued operations. Those additional adjustments have been excluded from the tables for simplicity.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299720</wp:posOffset>
            </wp:positionV>
            <wp:extent cx="1483360"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7"/>
          <w:szCs w:val="17"/>
          <w:color w:val="auto"/>
        </w:rPr>
        <w:t>As the second table shows, adjusted net income per share (diluted) increased 16.9% in 2012. Over the full 12-year period, adjusted net income per share (diluted) increased at an annual compounded rate of 28.0%. In most years, the two adjustments had a relatively insignificant impact on our results. However, the program fee adjustment had a significant impact in 2007, while the floating yield adjustment had a significant impact in 2008, 2009 and 2011. During 2008, we reduced our expectations for loan performance, causing GAAP net income to be less than adjusted net income (since GAAP requires decreases in expected cash flows to be recorded as an expense in the current period). Then, as 2009 progressed, it became clear that we had reduced our expectations by too much in 2008, so in 2009 a portion of the expense was reversed. In addition, the new loans we wrote in 2009 performed better than we expected. The effect of better-than-expected results was to make GAAP net income in 2009 considerably higher than adjusted net income—the opposite of the relationship seen in 2008. When the two years are combined, the GAAP result is very similar to the adjusted result; however, when 2008 and 2009 are viewed separately, we believe that the adjusted results more accurately reflect our performance in each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PROFIT</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 financial metric called Economic Profit to evaluate our financial results and determine incentive compensation. Besides including the two adjustments discussed above, Economic Profit differs from GAAP net income in one other important respect: Economic Profit includes a cost for equity capital.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Economic Profit for 2001–2012: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6"/>
                <w:szCs w:val="16"/>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Adjusted</w:t>
            </w:r>
          </w:p>
        </w:tc>
        <w:tc>
          <w:tcPr>
            <w:tcW w:w="140" w:type="dxa"/>
            <w:vAlign w:val="bottom"/>
          </w:tcPr>
          <w:p>
            <w:pPr>
              <w:spacing w:after="0"/>
              <w:rPr>
                <w:sz w:val="16"/>
                <w:szCs w:val="16"/>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Imputed cost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Economic</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net income</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of equity</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Profit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(29.6)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30.4</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(35.5)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(34.7)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56.2</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(34.4)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(34.5)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56.2</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(29.6)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(27.3)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82.3</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(35.7)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127.5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(46.0)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170.9</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(47.8)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195.4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(51.1)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219.7</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(56.7)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163.0</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Economic Profit (including the floating yield and program fee adjustments) improved 13.0%</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in 2012, to $163.0 million from $144.3 million in 2011. In 2001, Economic Profit had been a negative $4.8 million.</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_______________________________________________________________________________________________________________________</w:t>
      </w:r>
    </w:p>
    <w:p>
      <w:pPr>
        <w:ind w:right="320"/>
        <w:spacing w:after="0" w:line="237" w:lineRule="auto"/>
        <w:rPr>
          <w:sz w:val="20"/>
          <w:szCs w:val="20"/>
          <w:color w:val="auto"/>
        </w:rPr>
      </w:pPr>
      <w:r>
        <w:rPr>
          <w:rFonts w:ascii="Arial" w:cs="Arial" w:eastAsia="Arial" w:hAnsi="Arial"/>
          <w:sz w:val="10"/>
          <w:szCs w:val="10"/>
          <w:i w:val="1"/>
          <w:iCs w:val="1"/>
          <w:color w:val="auto"/>
        </w:rPr>
        <w:t>1</w:t>
      </w:r>
      <w:r>
        <w:rPr>
          <w:rFonts w:ascii="Arial" w:cs="Arial" w:eastAsia="Arial" w:hAnsi="Arial"/>
          <w:sz w:val="14"/>
          <w:szCs w:val="14"/>
          <w:i w:val="1"/>
          <w:iCs w:val="1"/>
          <w:color w:val="auto"/>
        </w:rPr>
        <w:t>The improvement in Economic Profit reported in the Company’s 2012 year-end earnings release is 11.5%, as the earnings release reflects a normalized tax rate for each period, an adjustment</w:t>
      </w:r>
      <w:r>
        <w:rPr>
          <w:rFonts w:ascii="Arial" w:cs="Arial" w:eastAsia="Arial" w:hAnsi="Arial"/>
          <w:sz w:val="10"/>
          <w:szCs w:val="10"/>
          <w:i w:val="1"/>
          <w:iCs w:val="1"/>
          <w:color w:val="auto"/>
        </w:rPr>
        <w:t xml:space="preserve"> </w:t>
      </w:r>
      <w:r>
        <w:rPr>
          <w:rFonts w:ascii="Arial" w:cs="Arial" w:eastAsia="Arial" w:hAnsi="Arial"/>
          <w:sz w:val="14"/>
          <w:szCs w:val="14"/>
          <w:i w:val="1"/>
          <w:iCs w:val="1"/>
          <w:color w:val="auto"/>
        </w:rPr>
        <w:t>that is omitted from this letter for simplicity.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394335</wp:posOffset>
            </wp:positionV>
            <wp:extent cx="1483360"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spacing w:after="0" w:line="282" w:lineRule="auto"/>
        <w:rPr>
          <w:sz w:val="20"/>
          <w:szCs w:val="20"/>
          <w:color w:val="auto"/>
        </w:rPr>
      </w:pPr>
      <w:r>
        <w:rPr>
          <w:rFonts w:ascii="Arial" w:cs="Arial" w:eastAsia="Arial" w:hAnsi="Arial"/>
          <w:sz w:val="18"/>
          <w:szCs w:val="18"/>
          <w:color w:val="auto"/>
        </w:rPr>
        <w:t>Economic Profit is a function of three variables: the adjusted average amount of capital invested, the adjusted return on capital, and the adjusted weighted average cost of capital. The following table summarizes our financial performance in these areas for the last 12 years</w:t>
      </w:r>
      <w:r>
        <w:rPr>
          <w:rFonts w:ascii="Arial" w:cs="Arial" w:eastAsia="Arial" w:hAnsi="Arial"/>
          <w:sz w:val="25"/>
          <w:szCs w:val="25"/>
          <w:color w:val="auto"/>
          <w:vertAlign w:val="superscript"/>
        </w:rPr>
        <w:t>2</w:t>
      </w:r>
      <w:r>
        <w:rPr>
          <w:rFonts w:ascii="Arial" w:cs="Arial" w:eastAsia="Arial" w:hAnsi="Arial"/>
          <w:sz w:val="18"/>
          <w:szCs w:val="18"/>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Adjusted</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2"/>
              </w:rPr>
              <w:t>Adjusted average</w:t>
            </w:r>
          </w:p>
        </w:tc>
        <w:tc>
          <w:tcPr>
            <w:tcW w:w="240" w:type="dxa"/>
            <w:vAlign w:val="bottom"/>
          </w:tcPr>
          <w:p>
            <w:pPr>
              <w:spacing w:after="0"/>
              <w:rPr>
                <w:sz w:val="9"/>
                <w:szCs w:val="9"/>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Adjusted return</w:t>
            </w:r>
          </w:p>
        </w:tc>
        <w:tc>
          <w:tcPr>
            <w:tcW w:w="1520" w:type="dxa"/>
            <w:vAlign w:val="bottom"/>
            <w:gridSpan w:val="2"/>
            <w:vMerge w:val="continue"/>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weighted average</w:t>
            </w:r>
          </w:p>
        </w:tc>
        <w:tc>
          <w:tcPr>
            <w:tcW w:w="126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Spread</w:t>
            </w:r>
          </w:p>
        </w:tc>
        <w:tc>
          <w:tcPr>
            <w:tcW w:w="1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7"/>
              </w:rPr>
              <w:t>capital invested</w:t>
            </w:r>
          </w:p>
        </w:tc>
        <w:tc>
          <w:tcPr>
            <w:tcW w:w="24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on capital</w:t>
            </w:r>
          </w:p>
        </w:tc>
        <w:tc>
          <w:tcPr>
            <w:tcW w:w="3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 of capital</w:t>
            </w:r>
          </w:p>
        </w:tc>
        <w:tc>
          <w:tcPr>
            <w:tcW w:w="28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469.9</w:t>
            </w: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7.4%</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8.4%</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462.0</w:t>
            </w:r>
          </w:p>
        </w:tc>
        <w:tc>
          <w:tcPr>
            <w:tcW w:w="176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7.7%</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437.5</w:t>
            </w: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6.6%</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9.0%</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483.7</w:t>
            </w:r>
          </w:p>
        </w:tc>
        <w:tc>
          <w:tcPr>
            <w:tcW w:w="176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13.1%</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8.6%</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523.4</w:t>
            </w: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14.7%</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8.3%</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548.5</w:t>
            </w:r>
          </w:p>
        </w:tc>
        <w:tc>
          <w:tcPr>
            <w:tcW w:w="176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12.9%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8.1%</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710.1</w:t>
            </w: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12.1%</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7.0%</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975.0</w:t>
            </w:r>
          </w:p>
        </w:tc>
        <w:tc>
          <w:tcPr>
            <w:tcW w:w="176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11.2%</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6.4%</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998.7</w:t>
            </w: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14.9%</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6.7%</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1,074.2</w:t>
            </w:r>
          </w:p>
        </w:tc>
        <w:tc>
          <w:tcPr>
            <w:tcW w:w="176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18.7%</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7.2%</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1,371.1</w:t>
            </w:r>
          </w:p>
        </w:tc>
        <w:tc>
          <w:tcPr>
            <w:tcW w:w="1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16.9%</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6.4%</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1,742.8</w:t>
            </w:r>
          </w:p>
        </w:tc>
        <w:tc>
          <w:tcPr>
            <w:tcW w:w="1760" w:type="dxa"/>
            <w:vAlign w:val="bottom"/>
            <w:gridSpan w:val="3"/>
          </w:tcPr>
          <w:p>
            <w:pPr>
              <w:jc w:val="right"/>
              <w:ind w:right="140"/>
              <w:spacing w:after="0"/>
              <w:rPr>
                <w:sz w:val="20"/>
                <w:szCs w:val="20"/>
                <w:color w:val="auto"/>
              </w:rPr>
            </w:pPr>
            <w:r>
              <w:rPr>
                <w:rFonts w:ascii="Arial" w:cs="Arial" w:eastAsia="Arial" w:hAnsi="Arial"/>
                <w:sz w:val="18"/>
                <w:szCs w:val="18"/>
                <w:i w:val="1"/>
                <w:iCs w:val="1"/>
                <w:color w:val="auto"/>
              </w:rPr>
              <w:t>14.9%</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5.5%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i w:val="1"/>
                <w:iCs w:val="1"/>
                <w:color w:val="auto"/>
              </w:rPr>
              <w:t xml:space="preserve">Compound annual growth rate 2001 </w:t>
            </w:r>
            <w:r>
              <w:rPr>
                <w:rFonts w:ascii="Arial" w:cs="Arial" w:eastAsia="Arial" w:hAnsi="Arial"/>
                <w:sz w:val="18"/>
                <w:szCs w:val="18"/>
                <w:color w:val="auto"/>
              </w:rPr>
              <w:t>–</w:t>
            </w:r>
            <w:r>
              <w:rPr>
                <w:rFonts w:ascii="Arial" w:cs="Arial" w:eastAsia="Arial" w:hAnsi="Arial"/>
                <w:sz w:val="18"/>
                <w:szCs w:val="18"/>
                <w:i w:val="1"/>
                <w:iCs w:val="1"/>
                <w:color w:val="auto"/>
              </w:rPr>
              <w:t xml:space="preserve"> 2012</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12.7%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the table shows, the improvement in Economic Profit in 2004–2005 resulted primarily from increases in the adjusted return on capital. In 2006—a year in which Economic Profit declined—the adjusted return on capital was again the main driver, but in the opposite direction. The adjusted return on capital declined as a result of a $7.0 million after-tax charge related to an agreement to settle litigation (growing out of an activity that had occurred 10 years prior) and a $4.4 million after-tax gain from discontinued operations recorded in 2005. In 2007–2008, the improvements in Economic Profit resulted from increases in adjusted average capital invested and decreases in the adjusted weighted average cost of capital. The decreases were due to lower borrowing costs and greater use of debt, which carries a lower average cost than equity capital. These favorable trends during 2007–2008 were partially offset by lower adjusted returns on capital as a result of pricing reductions (i.e., increases in advances) we made in 2006 and 2007 to respond to a more competitive market environment.</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contributor to higher Economic Profit in 2009 and 2010 was the adjusted return on capital. The competitive environment had improved considerably in 2008, and as a result, we were able to raise our pricing. The competitive environment remained favorable in 2009 and 2010. Better pricing, along with strong loan performance, was the main factor fueling the higher adjusted return on capital in 2009 and 2010. Also contributing in 2010 were lower expense levels (which increased the adjusted return on capital by 77 basis points) and a lower tax rate (a one-time event that was due to a non-recurring adjustment to our tax reserves).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_______________________________________________________________________________________________________________________</w:t>
      </w:r>
    </w:p>
    <w:p>
      <w:pPr>
        <w:spacing w:after="0"/>
        <w:rPr>
          <w:sz w:val="20"/>
          <w:szCs w:val="20"/>
          <w:color w:val="auto"/>
        </w:rPr>
      </w:pPr>
      <w:r>
        <w:rPr>
          <w:rFonts w:ascii="Arial" w:cs="Arial" w:eastAsia="Arial" w:hAnsi="Arial"/>
          <w:sz w:val="10"/>
          <w:szCs w:val="10"/>
          <w:i w:val="1"/>
          <w:iCs w:val="1"/>
          <w:color w:val="auto"/>
        </w:rPr>
        <w:t>2</w:t>
      </w:r>
      <w:r>
        <w:rPr>
          <w:rFonts w:ascii="Arial" w:cs="Arial" w:eastAsia="Arial" w:hAnsi="Arial"/>
          <w:sz w:val="14"/>
          <w:szCs w:val="14"/>
          <w:i w:val="1"/>
          <w:iCs w:val="1"/>
          <w:color w:val="auto"/>
        </w:rPr>
        <w:t>See Exhibit A for a reconciliation of the above adjusted financial measures to the most relevant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399415</wp:posOffset>
            </wp:positionV>
            <wp:extent cx="1483360" cy="5657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In both 2011 and 2012, the improvement in Economic Profit was driven by an increase in adjusted average capital invested and a lower adjusted weighted average cost of capital, partially offset by a lower adjusted return on capital. The lower return reflected a competitive environment that had become more difficult in 2011, causing us to increase advance rates. Lower operating expense levels mitigated this negative impact in 2011, but in 2012 expenses had a slightly unfavorable impact on the return, since expenses grew 28.3% while adjusted average capital invested grew 27.1%. Ordinarily, we would expect expenses to grow more slowly than capital (since a substantial portion of our expenses are fixed or semi-fixed), but higher levels of stock-based compensation and sales expenses prevented this from occurring in 2012.</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increase in stock-based compensation primarily resulted from restricted stock and restricted stock units that were awarded to me in March of 2012. The potential expense of the award is significant—500,000 shares at a market price of $106.50, or $53.3 million. The award will be earned in proportion to improvements in Economic Profit over the 15 years following the grant. Although a portion can be earned each year, most of the stock will remain restricted until a five-year period starting in 2022. GAAP accounting records the expense over 15 years as would be expected, but assumes the entire award will be earned and significantly front-end loads the expense. In this case, GAAP recorded approximately 20% of the total potential expense in 2012. As a result, the stock grant had a disproportionate impact on 2012 expense levels. If performance targets are met in the periods currently estimated, the expense will be flat in 2013 and will decline in future periods. If performance targets are not met, a portion of the recorded expense will be reversed.</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expenses increased by $10.0 million in 2012, or 35.7%, which was significantly higher than the 6.7% increase in unit volumes. While our strategy to rapidly increase our sales force undoubtedly hurt our 2012 profitability, we believe it will pay off longer term.</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Considering the impact of stock-based compensation and sales expenses on 2012 expense levels, we believe it is reasonable to expect that the longer term trend of lower expenses as a percentage of capital will continue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PERFORMANCE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One of the most important variables determining our financial success is loan performance. The most critical time to correctly assess future loan performance is at loan inception, since that is when we determine the advance we pay to the dealer.</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loan inception, we use a statistical model to estimate the expected collection rate for each loan. The statistical model is called a credit scorecard. Most consumer finance companies use such a tool to forecast the performance of the loans they originate. Our credit scorecard combines credit bureau data, customer data supplied in the credit application, vehicle data, and data captured from the loan transaction such as the amount of the down payment received from the customer or the initial loan term. We developed our first credit scorecard in 1998, and have revised it several times since then. An accurate credit scorecard allows us to properly price new loan originations, which improves the probability that we will actually realize our expected returns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281305</wp:posOffset>
            </wp:positionV>
            <wp:extent cx="1483360" cy="565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Subsequent to loan inception, we continue to evaluate the expected collection rate for each loan. Our evaluation becomes more accurate as the loans age, as we use actual loan performance data in our forecast. By comparing our current expected collection rate for each loan with the rate we projected at the time of origination, we are able to assess the accuracy of that initial forecast.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compares, for each of the last 12 years, our most current forecast of loan performance with our initial forecast: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Initial forecast</w:t>
            </w:r>
          </w:p>
        </w:tc>
        <w:tc>
          <w:tcPr>
            <w:tcW w:w="280" w:type="dxa"/>
            <w:vAlign w:val="bottom"/>
            <w:vMerge w:val="restart"/>
          </w:tcPr>
          <w:p>
            <w:pPr>
              <w:spacing w:after="0"/>
              <w:rPr>
                <w:sz w:val="14"/>
                <w:szCs w:val="14"/>
                <w:color w:val="auto"/>
              </w:rPr>
            </w:pPr>
          </w:p>
        </w:tc>
        <w:tc>
          <w:tcPr>
            <w:tcW w:w="10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Variance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10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2012 forecast</w:t>
            </w:r>
          </w:p>
        </w:tc>
        <w:tc>
          <w:tcPr>
            <w:tcW w:w="26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2001</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67.3%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70.4%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70.4%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67.9%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2003</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73.8%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72.0%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73.0%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73.0%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73.6%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74.0%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69.9%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71.4%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68.0%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70.7%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70.3%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69.7%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79.5%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71.9%</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77.3%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73.6%</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2011</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74.1%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72.5%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72.2%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71.4%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Average</w:t>
            </w:r>
            <w:r>
              <w:rPr>
                <w:rFonts w:ascii="Arial" w:cs="Arial" w:eastAsia="Arial" w:hAnsi="Arial"/>
                <w:sz w:val="25"/>
                <w:szCs w:val="25"/>
                <w:color w:val="auto"/>
                <w:vertAlign w:val="superscript"/>
              </w:rPr>
              <w:t>1</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72.9%</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71.7%</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1.2%</w:t>
            </w: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0"/>
          <w:szCs w:val="10"/>
          <w:color w:val="auto"/>
        </w:rPr>
        <w:t>1</w:t>
      </w:r>
      <w:r>
        <w:rPr>
          <w:rFonts w:ascii="Arial" w:cs="Arial" w:eastAsia="Arial" w:hAnsi="Arial"/>
          <w:sz w:val="14"/>
          <w:szCs w:val="14"/>
          <w:color w:val="auto"/>
        </w:rPr>
        <w:t>Calculated using a weighted average based on loan origination dollars.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originated in three of the 12 years (2001, 2006 and 2007) have yielded actual collection results materially worse than our initial estimates, while originations in five of the years (2002, 2003, 2009, 2010 and 2011) have yielded actual results materially better than our initial estimates. For the other four years (2004, 2005 2008 and 2012), actual results have been very close to our initial estimates. On average, over the 12-year period, loans have performed 120 basis points better than our initial forecasts.</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 performance can be explained by a combination of internal and external factors. Internal factors include the quality of our origination and collection processes, the quality of our credit scorecard, and changes in our policies governing new loan originations. External factors include the unemployment rate, the retail price of gasoline, vehicle wholesale values, and the cost of other required expenditures (such as for food and energy) that impact our customers. In addition, the level of competition is thought to impact loan performance through something called adverse selection.</w:t>
      </w:r>
    </w:p>
    <w:p>
      <w:pPr>
        <w:spacing w:after="0" w:line="19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Adverse selection as it relates to our market refers to an inverse correlation between the accuracy of an empirical scorecard and the number of lenders that are competing for the loan. Said another way, without any competition it is relatively easy to build a scorecard which accurately assesses the probability of payment based on attributes collected at the time of loan origination. As competition increases, creating an accurate scorecard becomes more challenging.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119380</wp:posOffset>
            </wp:positionV>
            <wp:extent cx="1483360" cy="565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To illustrate adverse selection, we will give a simple example. Assume that the scorecard we use to originate loans is based on a single variable, the amount of the customer’s down payment, and that the higher the down payment, the higher the expected collection rate. Assume that for many years, we have no competitors and we accumulate performance data indicating that loans with down payments above $1,000 consistently produce the same average collection rate. Then assume that we begin to compete with another lender whose scorecard ignores down payment and instead emphasizes the amount of the customer’s weekly income.</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the new lender begins to originate loans, our mix of loans will be impacted as follows: We will start to receive loans for borrowers with lower average weekly incomes as the new lender originates loans for borrowers with higher weekly incomes—i.e., borrowers whose loans we would have previously originated. Furthermore, since our scorecard only focuses on down payment, the shift in our borrower mix will not be detected by our scorecard, and our collection rate expectation will remain unchanged. It is easy to see that this shift in borrower characteristics will have a negative impact on loan performance, and that this impact will be missed by our scorecard. Although the real world is more complex than this simple example—with hundreds of lenders competing for loans and with each lender using many variables in its scorecard—adverse selection is something that probably does impact loan performance.</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Predicting loan performance accurately at loan inception is important, and we are satisfied with the results achieved over the last 12 years. We estimate that a 100-basis-point change in the collection rate impacts the return on capital by only 30–50 basis points. As a result, even the loans we originated in 2001—for which the latest collection forecast lagged our initial forecast by 310 basis points—still have been profitable. That we have been able to avoid originating unprofitable loans over the last 12 years, including the years impacted by the financial crisis, is a significant accomplishment.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VOLUME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unit volume growth for 2001–2012:</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Unit volume</w:t>
            </w:r>
          </w:p>
        </w:tc>
        <w:tc>
          <w:tcPr>
            <w:tcW w:w="220" w:type="dxa"/>
            <w:vAlign w:val="bottom"/>
            <w:vMerge w:val="restart"/>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Year-to-year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61,928</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49,801</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2003</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61,445</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74,154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81,184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91,344</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106,693</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121,282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111,029</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136,813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178,074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190,023</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9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920" w:type="dxa"/>
            <w:vAlign w:val="bottom"/>
          </w:tcPr>
          <w:p>
            <w:pPr>
              <w:spacing w:after="0"/>
              <w:rPr>
                <w:sz w:val="20"/>
                <w:szCs w:val="20"/>
                <w:color w:val="auto"/>
              </w:rPr>
            </w:pPr>
            <w:r>
              <w:rPr>
                <w:rFonts w:ascii="Arial" w:cs="Arial" w:eastAsia="Arial" w:hAnsi="Arial"/>
                <w:sz w:val="18"/>
                <w:szCs w:val="18"/>
                <w:i w:val="1"/>
                <w:iCs w:val="1"/>
                <w:color w:val="auto"/>
              </w:rPr>
              <w:t xml:space="preserve">Compound annual growth rate 2001 </w:t>
            </w:r>
            <w:r>
              <w:rPr>
                <w:rFonts w:ascii="Arial" w:cs="Arial" w:eastAsia="Arial" w:hAnsi="Arial"/>
                <w:sz w:val="18"/>
                <w:szCs w:val="18"/>
                <w:color w:val="auto"/>
              </w:rPr>
              <w:t>–</w:t>
            </w:r>
            <w:r>
              <w:rPr>
                <w:rFonts w:ascii="Arial" w:cs="Arial" w:eastAsia="Arial" w:hAnsi="Arial"/>
                <w:sz w:val="18"/>
                <w:szCs w:val="18"/>
                <w:i w:val="1"/>
                <w:iCs w:val="1"/>
                <w:color w:val="auto"/>
              </w:rPr>
              <w:t xml:space="preserve"> 2012</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10.7%</w:t>
            </w:r>
          </w:p>
        </w:tc>
        <w:tc>
          <w:tcPr>
            <w:tcW w:w="0" w:type="dxa"/>
            <w:vAlign w:val="bottom"/>
          </w:tcPr>
          <w:p>
            <w:pPr>
              <w:spacing w:after="0"/>
              <w:rPr>
                <w:sz w:val="1"/>
                <w:szCs w:val="1"/>
                <w:color w:val="auto"/>
              </w:rPr>
            </w:pPr>
          </w:p>
        </w:tc>
      </w:tr>
      <w:tr>
        <w:trPr>
          <w:trHeight w:val="445"/>
        </w:trPr>
        <w:tc>
          <w:tcPr>
            <w:tcW w:w="8940" w:type="dxa"/>
            <w:vAlign w:val="bottom"/>
            <w:gridSpan w:val="2"/>
          </w:tcPr>
          <w:p>
            <w:pPr>
              <w:spacing w:after="0"/>
              <w:rPr>
                <w:sz w:val="20"/>
                <w:szCs w:val="20"/>
                <w:color w:val="auto"/>
              </w:rPr>
            </w:pPr>
            <w:r>
              <w:rPr>
                <w:rFonts w:ascii="Arial" w:cs="Arial" w:eastAsia="Arial" w:hAnsi="Arial"/>
                <w:sz w:val="18"/>
                <w:szCs w:val="18"/>
                <w:color w:val="auto"/>
                <w:w w:val="99"/>
              </w:rPr>
              <w:t>In 2012, unit volumes grew 6.7%. Since 2001, unit volumes have grown at an annual compounded rate of 10.7%.</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154305</wp:posOffset>
            </wp:positionV>
            <wp:extent cx="1483360" cy="5657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Unit volume is a function of the number of active dealers and the average volume per dealer. The following table summarizes the trend in each of these variables from 2001 to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Active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Year-to-year</w:t>
            </w: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Volume</w:t>
            </w: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Year-to-year</w:t>
            </w:r>
          </w:p>
        </w:tc>
      </w:tr>
      <w:tr>
        <w:trPr>
          <w:trHeight w:val="178"/>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dealers</w:t>
            </w:r>
          </w:p>
        </w:tc>
        <w:tc>
          <w:tcPr>
            <w:tcW w:w="22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per dealer</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1,180</w:t>
            </w: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52.5</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843</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-28.6%</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59.1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12.6%</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950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12.7%</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64.7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9.5%</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1,212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27.6%</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61.2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-5.4%</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1,759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45.1%</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46.2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-24.5%</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2,214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25.9%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41.3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-10.6%</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2,827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27.7%</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37.7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-8.7%</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3,264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15.5%</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37.2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-1.3%</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3,168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-2.9%</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35.0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-5.9%</w:t>
            </w: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3,206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42.7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22.0%</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3,998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24.7%</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44.5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4.2%</w:t>
            </w: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5,319</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33.0%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35.7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-19.8%</w:t>
            </w:r>
          </w:p>
        </w:tc>
      </w:tr>
    </w:tbl>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the table shows, the gain in unit volumes over the 12-year period has resulted from an increase in the number of active dealers partially offset by a reduction in volume per dealer.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Active dealers grew from 1,180 in 2001 to 5,319 in 2012. The number decreased in just two of those years (2002 and 2009), in both cases because of capital constraints. In 2011 and 2012, the number of active dealers grew rapidly—by 24.7% and 33.0%, respectively.</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peaking in 2003 at 64.7 loans, volume per dealer declined by 41.7% over the next four years, to 37.7 loans in 2007. The declines that occurred during this period reflected our decision to maintain underwriting standards and a margin of safety in our pricing as the competitive environment became more difficult. Although we could have chosen to grow unit volume by pricing more aggressively to achieve higher average volume per dealer, we instead chose to focus on growing the number of active dealers. The results of this strategy were impressive. Although volume per dealer declined 41.7%, we increased unit volumes 73.6%. In addition, our return on capital actually improved during this period, in spite of the more challenging competitive environment—a result that would not have occurred if we had priced more aggressively</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Average volume per dealer declined modestly in 2008 and 2009 as capital constraints limited our ability to grow. In 2010, volume per dealer increased 22.0% as we experienced both a favorable competitive environment and a plentiful supply of capital. In 2011, volume per dealer again increased but much more slowly (4.2%) as competition began to return to our market. The competition intensified in 2012, and volume per dealer declined 19.8%. During the 2007– 2012 period, we again chose to maintain underwriting standards and a margin of safety in our pricing and focused on growing the number of active dealers. Average volume per dealer declined 5.3% over the period but unit volumes increased 78.1%. While our adjusted return on capital in 2012 (14.9%) is down from its peak in 2010 (18.7%), it is still higher in 2012 than it had been in 2007 (12.1%).</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competitive environment is likely to get more difficult until such time as interest rates increase and capital providers retreat from our market. As a result, growing volumes will be challenging. Shareholders can expect us to follow the same strategy we have used during prior cycles and can be confident we will continue to price new loans to achieve the optimal balance between volume and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141605</wp:posOffset>
            </wp:positionV>
            <wp:extent cx="1483360" cy="565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SHAREHOLDER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Like any profitable business, we generate cash. Historically, we have used this cash to fund originations growth, repay debt or fund share repurchases.</w:t>
      </w:r>
    </w:p>
    <w:p>
      <w:pPr>
        <w:spacing w:after="0" w:line="2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used excess capital to repurchase shares when prices are at or below our estimate of intrinsic value (which is the discounted value of future cash flows). As long as the share price is at or below intrinsic value, we prefer share repurchases to dividends for several reasons. First, repurchasing shares below intrinsic value increases the value of the remaining shares. Second, distributing capital to shareholders through a share repurchase gives shareholders the option to defer taxes by electing not to sell any of their holdings. A dividend does not allow shareholders to defer taxes in this manner. Finally, repurchasing shares enables shareholders to increase their ownership, receive cash or do both based on their individual circumstances and view of the value of a Credit Acceptance share. (They do both if the proportion of shares they sell is smaller than the ownership stake they gain through the repurchase.) A dividend does not provide similar flexibility.</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beginning our share repurchase program in mid-1999, we have repurchased approximately 28.1 million shares at a total cost of $879.4 million. In 2012, we repurchased approximately 1.7 million shares at a total cost of $151.0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our first priority is to ensure we have enough capital to fund new loan originations, to the extent we have excess capital we intend to continue to return capital to shareholders as we have in the past.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SUCCESS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success is a result of having a unique and valuable product and of putting in many years of hard work to develop the business.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core product has remained essentially unchanged for 41 years. We provide auto loans to consumers regardless of their credit history. Our customers consist of individuals who have typically been turned away by other lenders. Traditional lenders have many reasons for declining a loan. We have always believed that individuals, if given an opportunity to establish or reestablish a positive credit history, will take advantage of it. As a result of this belief, we have changed the lives of thousands of people.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as we have found, having a unique and valuable product is only one of the elements we need if we are to make our business successful. There are others, and many have taken years to develop. The following summarizes the key elements of our success today:</w:t>
      </w:r>
    </w:p>
    <w:p>
      <w:pPr>
        <w:spacing w:after="0" w:line="197" w:lineRule="exact"/>
        <w:rPr>
          <w:sz w:val="20"/>
          <w:szCs w:val="20"/>
          <w:color w:val="auto"/>
        </w:rPr>
      </w:pPr>
    </w:p>
    <w:p>
      <w:pPr>
        <w:ind w:left="660" w:right="20" w:hanging="139"/>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developed the ability to offer guaranteed credit approval while maintaining an appropriate return on capital. It took years to develop the processes and accumulate the customer and loan performance data that we use to make profitable loans in our segment of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119380</wp:posOffset>
            </wp:positionV>
            <wp:extent cx="1483360" cy="5657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7" w:name="page18"/>
    <w:bookmarkEnd w:id="17"/>
    <w:p>
      <w:pPr>
        <w:jc w:val="both"/>
        <w:ind w:left="140" w:hanging="139"/>
        <w:spacing w:after="0" w:line="312" w:lineRule="auto"/>
        <w:tabs>
          <w:tab w:leader="none" w:pos="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understand the daily execution required to successfully service a portfolio of automobile loans to customers in our target market. There are many examples of companies in our industry that underestimated the effort involved and produced poor financial results. Approximately 50% of our team members work directly on some aspect of servicing our loan portfolio, and we are fortunate to have such a capable and engaged group.</w:t>
      </w:r>
    </w:p>
    <w:p>
      <w:pPr>
        <w:spacing w:after="0" w:line="173" w:lineRule="exact"/>
        <w:rPr>
          <w:rFonts w:ascii="Arial" w:cs="Arial" w:eastAsia="Arial" w:hAnsi="Arial"/>
          <w:sz w:val="16"/>
          <w:szCs w:val="16"/>
          <w:color w:val="auto"/>
        </w:rPr>
      </w:pPr>
    </w:p>
    <w:p>
      <w:pPr>
        <w:jc w:val="both"/>
        <w:ind w:left="140" w:hanging="139"/>
        <w:spacing w:after="0" w:line="259" w:lineRule="auto"/>
        <w:tabs>
          <w:tab w:leader="none" w:pos="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learned how to develop relationships with dealers that are profitable. Forging a profitable relationship requires us to select the right dealer, align incentives, communicate constantly and create processes to enforce standards. In our segment of the market, the dealer has significant influence over loan performance. Learning how to create relationships with dealers who share our passion for changing lives has been one of our most important accomplishments.</w:t>
      </w:r>
    </w:p>
    <w:p>
      <w:pPr>
        <w:spacing w:after="0" w:line="213" w:lineRule="exact"/>
        <w:rPr>
          <w:rFonts w:ascii="Arial" w:cs="Arial" w:eastAsia="Arial" w:hAnsi="Arial"/>
          <w:sz w:val="18"/>
          <w:szCs w:val="18"/>
          <w:color w:val="auto"/>
        </w:rPr>
      </w:pPr>
    </w:p>
    <w:p>
      <w:pPr>
        <w:jc w:val="both"/>
        <w:ind w:left="140" w:hanging="139"/>
        <w:spacing w:after="0" w:line="255" w:lineRule="auto"/>
        <w:tabs>
          <w:tab w:leader="none" w:pos="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developed a much more complete program for helping dealers serve this segment of the market. Over the years, many dealers have been overwhelmed by the work required to be successful in our program. Many dealers have quit, telling us the additional profits generated from our program were not worth the effort. We have continually worked to provide solutions for the many obstacles that our dealers encounter. It is impossible to quantify the impact of these initiatives on our loan volume because of the changing external environment. However, anecdotal evidence suggests our efforts have been worthwhile. We believe that continuing to make our program easier for dealers will likely produce additional benefits in the future.</w:t>
      </w:r>
    </w:p>
    <w:p>
      <w:pPr>
        <w:spacing w:after="0" w:line="220" w:lineRule="exact"/>
        <w:rPr>
          <w:rFonts w:ascii="Arial" w:cs="Arial" w:eastAsia="Arial" w:hAnsi="Arial"/>
          <w:sz w:val="18"/>
          <w:szCs w:val="18"/>
          <w:color w:val="auto"/>
        </w:rPr>
      </w:pPr>
    </w:p>
    <w:p>
      <w:pPr>
        <w:jc w:val="both"/>
        <w:ind w:left="140" w:hanging="139"/>
        <w:spacing w:after="0" w:line="302" w:lineRule="auto"/>
        <w:tabs>
          <w:tab w:leader="none" w:pos="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developed a strong management team. Because we are successful at retaining our managers, they become stronger each year as they gain experience with our business. Our senior management team, consisting of 19 individuals, averages 12 years of experience with our company. While we have added talent selectively over the past few years, the experience of our team is a key advantage. Our success in growing the business while simultaneously improving our returns on capital could not have occurred without the dedication and energy of this talented group.</w:t>
      </w:r>
    </w:p>
    <w:p>
      <w:pPr>
        <w:spacing w:after="0" w:line="181" w:lineRule="exact"/>
        <w:rPr>
          <w:rFonts w:ascii="Arial" w:cs="Arial" w:eastAsia="Arial" w:hAnsi="Arial"/>
          <w:sz w:val="16"/>
          <w:szCs w:val="16"/>
          <w:color w:val="auto"/>
        </w:rPr>
      </w:pPr>
    </w:p>
    <w:p>
      <w:pPr>
        <w:ind w:left="140" w:hanging="139"/>
        <w:spacing w:after="0" w:line="308" w:lineRule="auto"/>
        <w:tabs>
          <w:tab w:leader="none" w:pos="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strengthened our focus on our core business. At times in our history, our focus had been diluted by the pursuit of other, non-core opportunities. Today, we offer one product and focus 100% of our energy and capital on perfecting this product and providing it profitably.</w:t>
      </w:r>
    </w:p>
    <w:p>
      <w:pPr>
        <w:spacing w:after="0" w:line="173" w:lineRule="exact"/>
        <w:rPr>
          <w:rFonts w:ascii="Arial" w:cs="Arial" w:eastAsia="Arial" w:hAnsi="Arial"/>
          <w:sz w:val="17"/>
          <w:szCs w:val="17"/>
          <w:color w:val="auto"/>
        </w:rPr>
      </w:pPr>
    </w:p>
    <w:p>
      <w:pPr>
        <w:jc w:val="both"/>
        <w:ind w:left="140" w:hanging="139"/>
        <w:spacing w:after="0" w:line="259" w:lineRule="auto"/>
        <w:tabs>
          <w:tab w:leader="none" w:pos="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developed a unique system, CAPS, for originating auto loans. Traditional indirect lending is inefficient. Many traditional lenders take one to four hours to process a loan application, and they decline most of the applications they process. We take 60 seconds, and we approve 100% of the applications submitted, 24 hours a day, seven days a week. In addition, our CAPS system makes our program easier for dealers to use, and allows us to deploy much more precise risk-adjusted pricing.</w:t>
      </w:r>
    </w:p>
    <w:p>
      <w:pPr>
        <w:spacing w:after="0" w:line="213" w:lineRule="exact"/>
        <w:rPr>
          <w:rFonts w:ascii="Arial" w:cs="Arial" w:eastAsia="Arial" w:hAnsi="Arial"/>
          <w:sz w:val="18"/>
          <w:szCs w:val="18"/>
          <w:color w:val="auto"/>
        </w:rPr>
      </w:pPr>
    </w:p>
    <w:p>
      <w:pPr>
        <w:ind w:left="140" w:hanging="139"/>
        <w:spacing w:after="0" w:line="277" w:lineRule="auto"/>
        <w:tabs>
          <w:tab w:leader="none" w:pos="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developed a high-quality field sales force. Our sales team provides real value to our dealers. Team members act as consultants as we teach dealers how to successfully serve our market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2581910</wp:posOffset>
            </wp:positionH>
            <wp:positionV relativeFrom="paragraph">
              <wp:posOffset>134620</wp:posOffset>
            </wp:positionV>
            <wp:extent cx="1483360" cy="565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760" w:top="760" w:right="239" w:bottom="1440" w:gutter="0" w:footer="0" w:header="0"/>
        </w:sectPr>
      </w:pPr>
    </w:p>
    <w:bookmarkStart w:id="18" w:name="page19"/>
    <w:bookmarkEnd w:id="18"/>
    <w:p>
      <w:pPr>
        <w:jc w:val="both"/>
        <w:ind w:left="660" w:hanging="139"/>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developed the ability to execute our loan origination process consistently over time. Consistent execution is difficult, as it requires us to maintain an appropriate balance between providing excellent service to our dealers, and ensuring the loans we originate meet our standards. We measure both loan compliance and dealer satisfaction on a monthly basis to assess our performance, and use these measures to make adjustments when necessary.</w:t>
      </w:r>
    </w:p>
    <w:p>
      <w:pPr>
        <w:spacing w:after="0" w:line="213" w:lineRule="exact"/>
        <w:rPr>
          <w:rFonts w:ascii="Arial" w:cs="Arial" w:eastAsia="Arial" w:hAnsi="Arial"/>
          <w:sz w:val="18"/>
          <w:szCs w:val="18"/>
          <w:color w:val="auto"/>
        </w:rPr>
      </w:pPr>
    </w:p>
    <w:p>
      <w:pPr>
        <w:jc w:val="both"/>
        <w:ind w:left="660" w:hanging="139"/>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believe that we are well positioned from a capital perspective. As of March 15, 2013, we have $467.3 million in unused and available credit lines. In addition, we have been successful at lengthening the term of our debt facilities, with no facilities expiring until February of 2014. Our capital structure remains conservative and our lending relationships, which we have developed over a long period of time, remain strong. We believe our lenders were impressed with our performance during the financial crisis, and their confidence in our company was enhanced as a result. Our goal is to maintain a consistent presence in the market in good times and bad, and we believe our access to capital will be a competitive advantage in that effort.</w:t>
      </w:r>
    </w:p>
    <w:p>
      <w:pPr>
        <w:spacing w:after="0" w:line="220" w:lineRule="exact"/>
        <w:rPr>
          <w:rFonts w:ascii="Arial" w:cs="Arial" w:eastAsia="Arial" w:hAnsi="Arial"/>
          <w:sz w:val="18"/>
          <w:szCs w:val="18"/>
          <w:color w:val="auto"/>
        </w:rPr>
      </w:pPr>
    </w:p>
    <w:p>
      <w:pPr>
        <w:jc w:val="both"/>
        <w:ind w:left="660" w:hanging="139"/>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devote a large portion of our time to something we call organizational health. Organizational health is about putting our team members in position to do their best work. For that, we focus consistently on 10 elements of operational effectiveness, including setting clear expectations, communicating fully, managing performance, providing training, maintaining effective incentive compensation plans, and providing the technology and processes required for operational excellence.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FINAL NOTE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start with a customer that other companies avoid, and give that customer the chance to obtain a vehicle, establish a positive credit history, and move his or her life in a positive direction. We operate in an industry that has produced very few successes, but have found a way to achieve outstanding results over a long period of time. I couldn’t be more proud of our team members, who deserve all the credit for our success. They are a remarkable group, and I am grateful for their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3293110" cy="540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9311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Brett A.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_______________________________________________________________________________________________________________________</w:t>
      </w:r>
    </w:p>
    <w:p>
      <w:pPr>
        <w:spacing w:after="0" w:line="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statements herein are forward-looking statements that are subject to certain risks. Please see “Forward-Looking Statements” beginning on page 41 of our Annual Report on Form 10-K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451485</wp:posOffset>
            </wp:positionV>
            <wp:extent cx="1483360" cy="565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GAAP FINANCIAL RESULTS TO NON-GAAP MEASURES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6"/>
                <w:szCs w:val="16"/>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5"/>
              </w:rPr>
              <w:t>Floating yield</w:t>
            </w:r>
          </w:p>
        </w:tc>
        <w:tc>
          <w:tcPr>
            <w:tcW w:w="140" w:type="dxa"/>
            <w:vAlign w:val="bottom"/>
          </w:tcPr>
          <w:p>
            <w:pPr>
              <w:spacing w:after="0"/>
              <w:rPr>
                <w:sz w:val="16"/>
                <w:szCs w:val="16"/>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Program fee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Adjusted</w:t>
            </w:r>
          </w:p>
        </w:tc>
        <w:tc>
          <w:tcPr>
            <w:tcW w:w="140" w:type="dxa"/>
            <w:vAlign w:val="bottom"/>
          </w:tcPr>
          <w:p>
            <w:pPr>
              <w:spacing w:after="0"/>
              <w:rPr>
                <w:sz w:val="16"/>
                <w:szCs w:val="16"/>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Imputed cost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Economic</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7"/>
              </w:rPr>
              <w:t>net income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adjustment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 xml:space="preserve">net income </w:t>
            </w:r>
            <w:r>
              <w:rPr>
                <w:rFonts w:ascii="Arial" w:cs="Arial" w:eastAsia="Arial" w:hAnsi="Arial"/>
                <w:sz w:val="10"/>
                <w:szCs w:val="10"/>
                <w:b w:val="1"/>
                <w:bCs w:val="1"/>
                <w:color w:val="auto"/>
                <w:w w:val="93"/>
              </w:rPr>
              <w:t>1</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of equity</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Profit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24.7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24.8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(29.6)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29.8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2.8</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30.4</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(35.5)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24.7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(2.1)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24.0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(34.7)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57.3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(0.1)</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(1.0)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56.2</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(34.4)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(2.1)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(34.5)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0.4</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56.2</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(29.6)</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54.9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3.6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5.0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63.5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(27.3)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67.2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13.1</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82.3</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(35.7)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146.3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(19.6)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127.5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(46.0)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170.1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0.5</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0.3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170.9</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(47.8)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188.0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0.3</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195.4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(51.1)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160" w:type="dxa"/>
            <w:vAlign w:val="bottom"/>
          </w:tcPr>
          <w:p>
            <w:pPr>
              <w:jc w:val="right"/>
              <w:ind w:right="5"/>
              <w:spacing w:after="0"/>
              <w:rPr>
                <w:sz w:val="20"/>
                <w:szCs w:val="20"/>
                <w:color w:val="auto"/>
              </w:rPr>
            </w:pPr>
            <w:r>
              <w:rPr>
                <w:rFonts w:ascii="Arial" w:cs="Arial" w:eastAsia="Arial" w:hAnsi="Arial"/>
                <w:sz w:val="15"/>
                <w:szCs w:val="15"/>
                <w:i w:val="1"/>
                <w:iCs w:val="1"/>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219.7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219.7</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(56.7)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163.0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40"/>
        <w:spacing w:after="0" w:line="19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The adjusted net income results differ slightly from those published in the Company’s year-end earnings releases. That is because the earnings release figures include additional adjustments related to taxes, non-recurring expenses and discontinued operations. Those additional adjustments have been excluded from this table for simplicity.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GAAP average</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Floating yield</w:t>
            </w:r>
          </w:p>
        </w:tc>
        <w:tc>
          <w:tcPr>
            <w:tcW w:w="100" w:type="dxa"/>
            <w:vAlign w:val="bottom"/>
          </w:tcPr>
          <w:p>
            <w:pPr>
              <w:spacing w:after="0"/>
              <w:rPr>
                <w:sz w:val="16"/>
                <w:szCs w:val="16"/>
                <w:color w:val="auto"/>
              </w:rPr>
            </w:pPr>
          </w:p>
        </w:tc>
        <w:tc>
          <w:tcPr>
            <w:tcW w:w="12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Program fee</w:t>
            </w:r>
          </w:p>
        </w:tc>
        <w:tc>
          <w:tcPr>
            <w:tcW w:w="60" w:type="dxa"/>
            <w:vAlign w:val="bottom"/>
          </w:tcPr>
          <w:p>
            <w:pPr>
              <w:spacing w:after="0"/>
              <w:rPr>
                <w:sz w:val="16"/>
                <w:szCs w:val="16"/>
                <w:color w:val="auto"/>
              </w:rPr>
            </w:pPr>
          </w:p>
        </w:tc>
        <w:tc>
          <w:tcPr>
            <w:tcW w:w="124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2"/>
              </w:rPr>
              <w:t>Adjusted average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 xml:space="preserve">capital invested </w:t>
            </w:r>
            <w:r>
              <w:rPr>
                <w:rFonts w:ascii="Arial" w:cs="Arial" w:eastAsia="Arial" w:hAnsi="Arial"/>
                <w:sz w:val="10"/>
                <w:szCs w:val="10"/>
                <w:b w:val="1"/>
                <w:bCs w:val="1"/>
                <w:color w:val="auto"/>
                <w:w w:val="90"/>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adjustment</w:t>
            </w:r>
          </w:p>
        </w:tc>
        <w:tc>
          <w:tcPr>
            <w:tcW w:w="20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9"/>
              </w:rPr>
              <w:t>capital invested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466.8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(0.3)</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1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457.6</w:t>
            </w:r>
          </w:p>
        </w:tc>
        <w:tc>
          <w:tcPr>
            <w:tcW w:w="280" w:type="dxa"/>
            <w:vAlign w:val="bottom"/>
            <w:gridSpan w:val="2"/>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(1.4)</w:t>
            </w:r>
          </w:p>
        </w:tc>
        <w:tc>
          <w:tcPr>
            <w:tcW w:w="140" w:type="dxa"/>
            <w:vAlign w:val="bottom"/>
            <w:gridSpan w:val="2"/>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432.0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(2.4)</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1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478.3</w:t>
            </w:r>
          </w:p>
        </w:tc>
        <w:tc>
          <w:tcPr>
            <w:tcW w:w="280" w:type="dxa"/>
            <w:vAlign w:val="bottom"/>
            <w:gridSpan w:val="2"/>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8.7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(3.3)</w:t>
            </w:r>
          </w:p>
        </w:tc>
        <w:tc>
          <w:tcPr>
            <w:tcW w:w="140" w:type="dxa"/>
            <w:vAlign w:val="bottom"/>
            <w:gridSpan w:val="2"/>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520.4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1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550.0</w:t>
            </w:r>
          </w:p>
        </w:tc>
        <w:tc>
          <w:tcPr>
            <w:tcW w:w="280" w:type="dxa"/>
            <w:vAlign w:val="bottom"/>
            <w:gridSpan w:val="2"/>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(7.0)</w:t>
            </w:r>
          </w:p>
        </w:tc>
        <w:tc>
          <w:tcPr>
            <w:tcW w:w="140" w:type="dxa"/>
            <w:vAlign w:val="bottom"/>
            <w:gridSpan w:val="2"/>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707.8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(5.9)</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1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963.6</w:t>
            </w:r>
          </w:p>
        </w:tc>
        <w:tc>
          <w:tcPr>
            <w:tcW w:w="280" w:type="dxa"/>
            <w:vAlign w:val="bottom"/>
            <w:gridSpan w:val="2"/>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13.8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(2.4)</w:t>
            </w:r>
          </w:p>
        </w:tc>
        <w:tc>
          <w:tcPr>
            <w:tcW w:w="140" w:type="dxa"/>
            <w:vAlign w:val="bottom"/>
            <w:gridSpan w:val="2"/>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986.5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998.7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1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1,069.5</w:t>
            </w:r>
          </w:p>
        </w:tc>
        <w:tc>
          <w:tcPr>
            <w:tcW w:w="280" w:type="dxa"/>
            <w:vAlign w:val="bottom"/>
            <w:gridSpan w:val="2"/>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(0.5)</w:t>
            </w:r>
          </w:p>
        </w:tc>
        <w:tc>
          <w:tcPr>
            <w:tcW w:w="140" w:type="dxa"/>
            <w:vAlign w:val="bottom"/>
            <w:gridSpan w:val="2"/>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1,074.2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1,362.0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(0.3)</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1,371.1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160" w:type="dxa"/>
            <w:vAlign w:val="bottom"/>
            <w:gridSpan w:val="2"/>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1,731.7</w:t>
            </w:r>
          </w:p>
        </w:tc>
        <w:tc>
          <w:tcPr>
            <w:tcW w:w="280" w:type="dxa"/>
            <w:vAlign w:val="bottom"/>
            <w:gridSpan w:val="2"/>
          </w:tcPr>
          <w:p>
            <w:pPr>
              <w:ind w:left="160"/>
              <w:spacing w:after="0"/>
              <w:rPr>
                <w:sz w:val="20"/>
                <w:szCs w:val="20"/>
                <w:color w:val="auto"/>
              </w:rPr>
            </w:pPr>
            <w:r>
              <w:rPr>
                <w:rFonts w:ascii="Arial" w:cs="Arial" w:eastAsia="Arial" w:hAnsi="Arial"/>
                <w:sz w:val="18"/>
                <w:szCs w:val="18"/>
                <w:i w:val="1"/>
                <w:iCs w:val="1"/>
                <w:color w:val="auto"/>
                <w:w w:val="99"/>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11.1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w:t>
            </w:r>
          </w:p>
        </w:tc>
        <w:tc>
          <w:tcPr>
            <w:tcW w:w="140" w:type="dxa"/>
            <w:vAlign w:val="bottom"/>
            <w:gridSpan w:val="2"/>
          </w:tcPr>
          <w:p>
            <w:pPr>
              <w:ind w:left="60"/>
              <w:spacing w:after="0"/>
              <w:rPr>
                <w:sz w:val="20"/>
                <w:szCs w:val="20"/>
                <w:color w:val="auto"/>
              </w:rPr>
            </w:pPr>
            <w:r>
              <w:rPr>
                <w:rFonts w:ascii="Arial" w:cs="Arial" w:eastAsia="Arial" w:hAnsi="Arial"/>
                <w:sz w:val="15"/>
                <w:szCs w:val="15"/>
                <w:i w:val="1"/>
                <w:iCs w:val="1"/>
                <w:color w:val="auto"/>
                <w:w w:val="71"/>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1,742.8</w:t>
            </w:r>
          </w:p>
        </w:tc>
        <w:tc>
          <w:tcPr>
            <w:tcW w:w="0" w:type="dxa"/>
            <w:vAlign w:val="bottom"/>
          </w:tcPr>
          <w:p>
            <w:pPr>
              <w:spacing w:after="0"/>
              <w:rPr>
                <w:sz w:val="1"/>
                <w:szCs w:val="1"/>
                <w:color w:val="auto"/>
              </w:rPr>
            </w:pPr>
          </w:p>
        </w:tc>
      </w:tr>
      <w:tr>
        <w:trPr>
          <w:trHeight w:val="392"/>
        </w:trPr>
        <w:tc>
          <w:tcPr>
            <w:tcW w:w="6020" w:type="dxa"/>
            <w:vAlign w:val="bottom"/>
            <w:gridSpan w:val="2"/>
          </w:tcPr>
          <w:p>
            <w:pPr>
              <w:spacing w:after="0"/>
              <w:rPr>
                <w:sz w:val="20"/>
                <w:szCs w:val="20"/>
                <w:color w:val="auto"/>
              </w:rPr>
            </w:pPr>
            <w:r>
              <w:rPr>
                <w:rFonts w:ascii="Arial" w:cs="Arial" w:eastAsia="Arial" w:hAnsi="Arial"/>
                <w:sz w:val="10"/>
                <w:szCs w:val="10"/>
                <w:color w:val="auto"/>
              </w:rPr>
              <w:t>2</w:t>
            </w:r>
            <w:r>
              <w:rPr>
                <w:rFonts w:ascii="Arial" w:cs="Arial" w:eastAsia="Arial" w:hAnsi="Arial"/>
                <w:sz w:val="14"/>
                <w:szCs w:val="14"/>
                <w:color w:val="auto"/>
              </w:rPr>
              <w:t>Average capital invested is defined as average debt plus average shareholders’ equity.</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GAAP</w:t>
            </w:r>
          </w:p>
        </w:tc>
        <w:tc>
          <w:tcPr>
            <w:tcW w:w="150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Floating yield</w:t>
            </w:r>
          </w:p>
        </w:tc>
        <w:tc>
          <w:tcPr>
            <w:tcW w:w="130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2"/>
              </w:rPr>
              <w:t>Program fee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return on</w:t>
            </w:r>
          </w:p>
        </w:tc>
        <w:tc>
          <w:tcPr>
            <w:tcW w:w="1500" w:type="dxa"/>
            <w:vAlign w:val="bottom"/>
            <w:gridSpan w:val="6"/>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2"/>
              </w:rPr>
              <w:t xml:space="preserve">capital </w:t>
            </w:r>
            <w:r>
              <w:rPr>
                <w:rFonts w:ascii="Arial" w:cs="Arial" w:eastAsia="Arial" w:hAnsi="Arial"/>
                <w:sz w:val="10"/>
                <w:szCs w:val="10"/>
                <w:b w:val="1"/>
                <w:bCs w:val="1"/>
                <w:color w:val="auto"/>
                <w:w w:val="92"/>
              </w:rPr>
              <w:t>3</w:t>
            </w:r>
          </w:p>
        </w:tc>
        <w:tc>
          <w:tcPr>
            <w:tcW w:w="280" w:type="dxa"/>
            <w:vAlign w:val="bottom"/>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4"/>
                <w:szCs w:val="14"/>
                <w:b w:val="1"/>
                <w:bCs w:val="1"/>
                <w:color w:val="auto"/>
                <w:w w:val="96"/>
              </w:rPr>
              <w:t>adjustment</w:t>
            </w:r>
          </w:p>
        </w:tc>
        <w:tc>
          <w:tcPr>
            <w:tcW w:w="28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3"/>
              </w:rPr>
              <w:t>adjustment</w:t>
            </w:r>
          </w:p>
        </w:tc>
        <w:tc>
          <w:tcPr>
            <w:tcW w:w="260" w:type="dxa"/>
            <w:vAlign w:val="bottom"/>
            <w:gridSpan w:val="2"/>
          </w:tcPr>
          <w:p>
            <w:pPr>
              <w:spacing w:after="0"/>
              <w:rPr>
                <w:sz w:val="15"/>
                <w:szCs w:val="15"/>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6"/>
              </w:rPr>
              <w:t>return on capital</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14.9%</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0"/>
          <w:szCs w:val="10"/>
          <w:color w:val="auto"/>
        </w:rPr>
        <w:t>3</w:t>
      </w:r>
      <w:r>
        <w:rPr>
          <w:rFonts w:ascii="Arial" w:cs="Arial" w:eastAsia="Arial" w:hAnsi="Arial"/>
          <w:sz w:val="14"/>
          <w:szCs w:val="14"/>
          <w:color w:val="auto"/>
        </w:rPr>
        <w:t>Return on capital is defined as net income plus interest expense after-tax divided by average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158115</wp:posOffset>
            </wp:positionV>
            <wp:extent cx="1483360" cy="5657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GAAP weighted</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Floating yield</w:t>
            </w:r>
          </w:p>
        </w:tc>
        <w:tc>
          <w:tcPr>
            <w:tcW w:w="13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Program fee</w:t>
            </w: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average cost of</w:t>
            </w:r>
          </w:p>
        </w:tc>
        <w:tc>
          <w:tcPr>
            <w:tcW w:w="132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average cost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 xml:space="preserve">capital </w:t>
            </w:r>
            <w:r>
              <w:rPr>
                <w:rFonts w:ascii="Arial" w:cs="Arial" w:eastAsia="Arial" w:hAnsi="Arial"/>
                <w:sz w:val="10"/>
                <w:szCs w:val="10"/>
                <w:b w:val="1"/>
                <w:bCs w:val="1"/>
                <w:color w:val="auto"/>
                <w:w w:val="96"/>
              </w:rPr>
              <w:t>4</w:t>
            </w: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26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capital </w:t>
            </w:r>
            <w:r>
              <w:rPr>
                <w:rFonts w:ascii="Arial" w:cs="Arial" w:eastAsia="Arial" w:hAnsi="Arial"/>
                <w:sz w:val="10"/>
                <w:szCs w:val="10"/>
                <w:b w:val="1"/>
                <w:bCs w:val="1"/>
                <w:color w:val="auto"/>
                <w:w w:val="92"/>
              </w:rPr>
              <w:t>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8.4%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8.8%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2003</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9.0%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8.6%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2005</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8.2%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8.1%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7.0%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6.4%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2009</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6.7%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7.2%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2011</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6.4%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5.5%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5.5%</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0"/>
          <w:szCs w:val="10"/>
          <w:color w:val="auto"/>
        </w:rPr>
        <w:t>4</w:t>
      </w:r>
      <w:r>
        <w:rPr>
          <w:rFonts w:ascii="Arial" w:cs="Arial" w:eastAsia="Arial" w:hAnsi="Arial"/>
          <w:sz w:val="14"/>
          <w:szCs w:val="14"/>
          <w:color w:val="auto"/>
        </w:rPr>
        <w:t>The weighted average cost of capital includes both a cost of equity and a cost of debt. The cost of equity capital is determined based on a formula that considers the risk of the business and the risk</w:t>
      </w:r>
      <w:r>
        <w:rPr>
          <w:rFonts w:ascii="Arial" w:cs="Arial" w:eastAsia="Arial" w:hAnsi="Arial"/>
          <w:sz w:val="10"/>
          <w:szCs w:val="10"/>
          <w:color w:val="auto"/>
        </w:rPr>
        <w:t xml:space="preserve"> </w:t>
      </w:r>
      <w:r>
        <w:rPr>
          <w:rFonts w:ascii="Arial" w:cs="Arial" w:eastAsia="Arial" w:hAnsi="Arial"/>
          <w:sz w:val="14"/>
          <w:szCs w:val="14"/>
          <w:color w:val="auto"/>
        </w:rPr>
        <w:t>associated with our use of debt. The formula utilized for determining the cost of equity capital is as follows: (the average 30-year treasury rate + 5%) + [(1 – tax rate) x (the average 30-year treasury rate + 5% – pre-tax average cost-of-debt rate) x average debt/(average equity + average debt x tax rate)].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auto"/>
        </w:rPr>
        <w:t>5</w:t>
      </w:r>
      <w:r>
        <w:rPr>
          <w:rFonts w:ascii="Arial" w:cs="Arial" w:eastAsia="Arial" w:hAnsi="Arial"/>
          <w:sz w:val="14"/>
          <w:szCs w:val="14"/>
          <w:color w:val="auto"/>
        </w:rPr>
        <w:t>The adjusted weighted average cost of capital includes both a cost of adjusted equity and a cost of debt. The cost of adjusted equity capital is calculated using the same formula as above except that</w:t>
      </w:r>
      <w:r>
        <w:rPr>
          <w:rFonts w:ascii="Arial" w:cs="Arial" w:eastAsia="Arial" w:hAnsi="Arial"/>
          <w:sz w:val="10"/>
          <w:szCs w:val="10"/>
          <w:color w:val="auto"/>
        </w:rPr>
        <w:t xml:space="preserve"> </w:t>
      </w:r>
      <w:r>
        <w:rPr>
          <w:rFonts w:ascii="Arial" w:cs="Arial" w:eastAsia="Arial" w:hAnsi="Arial"/>
          <w:sz w:val="14"/>
          <w:szCs w:val="14"/>
          <w:color w:val="auto"/>
        </w:rPr>
        <w:t>adjusted average equity is used in the calculation instead of average equity.</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NOTE: Amounts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312420</wp:posOffset>
            </wp:positionV>
            <wp:extent cx="1483360" cy="565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833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82" w:right="2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2019-12-06T06:36:19Z</dcterms:created>
  <dcterms:modified xsi:type="dcterms:W3CDTF">2019-12-06T06:36:19Z</dcterms:modified>
</cp:coreProperties>
</file>