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47" w:lineRule="exact"/>
        <w:rPr>
          <w:sz w:val="24"/>
          <w:szCs w:val="24"/>
          <w:color w:val="auto"/>
        </w:rPr>
      </w:pPr>
    </w:p>
    <w:p>
      <w:pPr>
        <w:ind w:right="860" w:firstLine="332"/>
        <w:spacing w:after="0" w:line="279" w:lineRule="auto"/>
        <w:tabs>
          <w:tab w:leader="none" w:pos="14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2017</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1420" w:hanging="1052"/>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28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15"/>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Commission file number 000-20202</w:t>
            </w:r>
          </w:p>
        </w:tc>
        <w:tc>
          <w:tcPr>
            <w:tcW w:w="2560" w:type="dxa"/>
            <w:vAlign w:val="bottom"/>
          </w:tcPr>
          <w:p>
            <w:pPr>
              <w:spacing w:after="0"/>
              <w:rPr>
                <w:sz w:val="24"/>
                <w:szCs w:val="24"/>
                <w:color w:val="auto"/>
              </w:rPr>
            </w:pPr>
          </w:p>
        </w:tc>
      </w:tr>
      <w:tr>
        <w:trPr>
          <w:trHeight w:val="533"/>
        </w:trPr>
        <w:tc>
          <w:tcPr>
            <w:tcW w:w="9840" w:type="dxa"/>
            <w:vAlign w:val="bottom"/>
            <w:gridSpan w:val="6"/>
          </w:tcPr>
          <w:p>
            <w:pPr>
              <w:jc w:val="center"/>
              <w:ind w:left="1495"/>
              <w:spacing w:after="0"/>
              <w:rPr>
                <w:sz w:val="20"/>
                <w:szCs w:val="20"/>
                <w:color w:val="auto"/>
              </w:rPr>
            </w:pPr>
            <w:r>
              <w:rPr>
                <w:rFonts w:ascii="Times New Roman" w:cs="Times New Roman" w:eastAsia="Times New Roman" w:hAnsi="Times New Roman"/>
                <w:sz w:val="43"/>
                <w:szCs w:val="43"/>
                <w:b w:val="1"/>
                <w:bCs w:val="1"/>
                <w:color w:val="auto"/>
                <w:w w:val="99"/>
              </w:rPr>
              <w:t>CREDIT ACCEPTANCE CORPORATION</w:t>
            </w:r>
          </w:p>
        </w:tc>
      </w:tr>
      <w:tr>
        <w:trPr>
          <w:trHeight w:val="234"/>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20" w:type="dxa"/>
            <w:vAlign w:val="bottom"/>
            <w:gridSpan w:val="3"/>
          </w:tcPr>
          <w:p>
            <w:pPr>
              <w:jc w:val="center"/>
              <w:ind w:right="183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64"/>
        </w:trPr>
        <w:tc>
          <w:tcPr>
            <w:tcW w:w="3280" w:type="dxa"/>
            <w:vAlign w:val="bottom"/>
            <w:gridSpan w:val="2"/>
          </w:tcPr>
          <w:p>
            <w:pPr>
              <w:jc w:val="center"/>
              <w:ind w:left="1995"/>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60" w:type="dxa"/>
            <w:vAlign w:val="bottom"/>
          </w:tcPr>
          <w:p>
            <w:pPr>
              <w:jc w:val="center"/>
              <w:ind w:left="134"/>
              <w:spacing w:after="0"/>
              <w:rPr>
                <w:sz w:val="20"/>
                <w:szCs w:val="20"/>
                <w:color w:val="auto"/>
              </w:rPr>
            </w:pPr>
            <w:r>
              <w:rPr>
                <w:rFonts w:ascii="Times New Roman" w:cs="Times New Roman" w:eastAsia="Times New Roman" w:hAnsi="Times New Roman"/>
                <w:sz w:val="18"/>
                <w:szCs w:val="18"/>
                <w:b w:val="1"/>
                <w:bCs w:val="1"/>
                <w:color w:val="auto"/>
                <w:w w:val="98"/>
              </w:rPr>
              <w:t>38-1999511</w:t>
            </w:r>
          </w:p>
        </w:tc>
      </w:tr>
      <w:tr>
        <w:trPr>
          <w:trHeight w:val="210"/>
        </w:trPr>
        <w:tc>
          <w:tcPr>
            <w:tcW w:w="7280" w:type="dxa"/>
            <w:vAlign w:val="bottom"/>
            <w:gridSpan w:val="5"/>
          </w:tcPr>
          <w:p>
            <w:pPr>
              <w:jc w:val="center"/>
              <w:ind w:right="19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560" w:type="dxa"/>
            <w:vAlign w:val="bottom"/>
          </w:tcPr>
          <w:p>
            <w:pPr>
              <w:jc w:val="center"/>
              <w:ind w:left="11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56"/>
        </w:trPr>
        <w:tc>
          <w:tcPr>
            <w:tcW w:w="728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25505 W. Twelve Mile Road</w:t>
            </w:r>
          </w:p>
        </w:tc>
        <w:tc>
          <w:tcPr>
            <w:tcW w:w="2560" w:type="dxa"/>
            <w:vAlign w:val="bottom"/>
          </w:tcPr>
          <w:p>
            <w:pPr>
              <w:spacing w:after="0"/>
              <w:rPr>
                <w:sz w:val="24"/>
                <w:szCs w:val="24"/>
                <w:color w:val="auto"/>
              </w:rPr>
            </w:pPr>
          </w:p>
        </w:tc>
      </w:tr>
      <w:tr>
        <w:trPr>
          <w:trHeight w:val="225"/>
        </w:trPr>
        <w:tc>
          <w:tcPr>
            <w:tcW w:w="728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Southfield, Michigan</w:t>
            </w:r>
          </w:p>
        </w:tc>
        <w:tc>
          <w:tcPr>
            <w:tcW w:w="2560" w:type="dxa"/>
            <w:vAlign w:val="bottom"/>
          </w:tcPr>
          <w:p>
            <w:pPr>
              <w:jc w:val="center"/>
              <w:ind w:left="134"/>
              <w:spacing w:after="0"/>
              <w:rPr>
                <w:sz w:val="20"/>
                <w:szCs w:val="20"/>
                <w:color w:val="auto"/>
              </w:rPr>
            </w:pPr>
            <w:r>
              <w:rPr>
                <w:rFonts w:ascii="Times New Roman" w:cs="Times New Roman" w:eastAsia="Times New Roman" w:hAnsi="Times New Roman"/>
                <w:sz w:val="18"/>
                <w:szCs w:val="18"/>
                <w:b w:val="1"/>
                <w:bCs w:val="1"/>
                <w:color w:val="auto"/>
                <w:w w:val="98"/>
              </w:rPr>
              <w:t>48034-8339</w:t>
            </w:r>
          </w:p>
        </w:tc>
      </w:tr>
      <w:tr>
        <w:trPr>
          <w:trHeight w:val="210"/>
        </w:trPr>
        <w:tc>
          <w:tcPr>
            <w:tcW w:w="7280" w:type="dxa"/>
            <w:vAlign w:val="bottom"/>
            <w:gridSpan w:val="5"/>
          </w:tcPr>
          <w:p>
            <w:pPr>
              <w:jc w:val="center"/>
              <w:ind w:right="190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560" w:type="dxa"/>
            <w:vAlign w:val="bottom"/>
          </w:tcPr>
          <w:p>
            <w:pPr>
              <w:jc w:val="center"/>
              <w:ind w:left="114"/>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7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248-353-2700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34290</wp:posOffset>
            </wp:positionV>
            <wp:extent cx="3112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34290</wp:posOffset>
            </wp:positionV>
            <wp:extent cx="3112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fiscal year, if changed since last report)</w:t>
      </w:r>
    </w:p>
    <w:p>
      <w:pPr>
        <w:spacing w:after="0" w:line="2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4" w:right="239" w:bottom="1440" w:gutter="0" w:footer="0" w:header="0"/>
        </w:sectPr>
      </w:pPr>
    </w:p>
    <w:p>
      <w:pPr>
        <w:spacing w:after="0" w:line="244"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2" w:lineRule="exact"/>
        <w:rPr>
          <w:sz w:val="24"/>
          <w:szCs w:val="24"/>
          <w:color w:val="auto"/>
        </w:rPr>
      </w:pPr>
    </w:p>
    <w:p>
      <w:pPr>
        <w:jc w:val="cente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(Do not check if a smaller reporting</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Smaller reporting</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63" w:lineRule="exact"/>
        <w:rPr>
          <w:sz w:val="24"/>
          <w:szCs w:val="24"/>
          <w:color w:val="auto"/>
        </w:rPr>
      </w:pPr>
    </w:p>
    <w:p>
      <w:pPr>
        <w:sectPr>
          <w:pgSz w:w="11900" w:h="16838" w:orient="portrait"/>
          <w:cols w:equalWidth="0" w:num="5">
            <w:col w:w="1720" w:space="520"/>
            <w:col w:w="1200" w:space="480"/>
            <w:col w:w="2580" w:space="600"/>
            <w:col w:w="1280" w:space="680"/>
            <w:col w:w="2360"/>
          </w:cols>
          <w:pgMar w:left="240" w:top="684" w:right="23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18"/>
          <w:szCs w:val="18"/>
          <w:color w:val="auto"/>
        </w:rPr>
        <w:t>company)</w:t>
      </w:r>
    </w:p>
    <w:p>
      <w:pPr>
        <w:sectPr>
          <w:pgSz w:w="11900" w:h="16838" w:orient="portrait"/>
          <w:cols w:equalWidth="0" w:num="1">
            <w:col w:w="11420"/>
          </w:cols>
          <w:pgMar w:left="240" w:top="684" w:right="239" w:bottom="1440" w:gutter="0" w:footer="0" w:header="0"/>
          <w:type w:val="continuous"/>
        </w:sectPr>
      </w:pPr>
    </w:p>
    <w:p>
      <w:pPr>
        <w:spacing w:after="0" w:line="27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par value $0.01, outstanding on July 24, 2017 was 19,310,272.</w:t>
      </w:r>
    </w:p>
    <w:p>
      <w:pPr>
        <w:sectPr>
          <w:pgSz w:w="11900" w:h="16838" w:orient="portrait"/>
          <w:cols w:equalWidth="0" w:num="1">
            <w:col w:w="11420"/>
          </w:cols>
          <w:pgMar w:left="240" w:top="6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20" w:type="dxa"/>
            <w:vAlign w:val="bottom"/>
            <w:gridSpan w:val="1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8"/>
          </w:tcPr>
          <w:p>
            <w:pPr>
              <w:ind w:left="1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8"/>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1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1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Consolidated Balance Sheets - As of June 30, 2017 and December 31, 2016</w:t>
            </w:r>
          </w:p>
        </w:tc>
        <w:tc>
          <w:tcPr>
            <w:tcW w:w="180" w:type="dxa"/>
            <w:vAlign w:val="bottom"/>
            <w:gridSpan w:val="2"/>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65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Consolidated Statements of Income - Three and six months ended June 30, 2017 and 2016</w:t>
            </w:r>
          </w:p>
        </w:tc>
        <w:tc>
          <w:tcPr>
            <w:tcW w:w="46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2</w:t>
              </w:r>
            </w:hyperlink>
          </w:p>
        </w:tc>
      </w:tr>
      <w:tr>
        <w:trPr>
          <w:trHeight w:val="453"/>
        </w:trPr>
        <w:tc>
          <w:tcPr>
            <w:tcW w:w="40" w:type="dxa"/>
            <w:vAlign w:val="bottom"/>
          </w:tcPr>
          <w:p>
            <w:pPr>
              <w:spacing w:after="0"/>
              <w:rPr>
                <w:sz w:val="24"/>
                <w:szCs w:val="24"/>
                <w:color w:val="auto"/>
              </w:rPr>
            </w:pPr>
          </w:p>
        </w:tc>
        <w:tc>
          <w:tcPr>
            <w:tcW w:w="76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Income - Three and six months ended June 30, 2017 and 2016</w:t>
            </w:r>
          </w:p>
        </w:tc>
        <w:tc>
          <w:tcPr>
            <w:tcW w:w="35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5">
              <w:r>
                <w:rPr>
                  <w:rFonts w:ascii="Times New Roman" w:cs="Times New Roman" w:eastAsia="Times New Roman" w:hAnsi="Times New Roman"/>
                  <w:sz w:val="18"/>
                  <w:szCs w:val="18"/>
                  <w:color w:val="auto"/>
                  <w:w w:val="88"/>
                </w:rPr>
                <w:t>3</w:t>
              </w:r>
            </w:hyperlink>
          </w:p>
        </w:tc>
      </w:tr>
      <w:tr>
        <w:trPr>
          <w:trHeight w:val="453"/>
        </w:trPr>
        <w:tc>
          <w:tcPr>
            <w:tcW w:w="40" w:type="dxa"/>
            <w:vAlign w:val="bottom"/>
          </w:tcPr>
          <w:p>
            <w:pPr>
              <w:spacing w:after="0"/>
              <w:rPr>
                <w:sz w:val="24"/>
                <w:szCs w:val="24"/>
                <w:color w:val="auto"/>
              </w:rPr>
            </w:pPr>
          </w:p>
        </w:tc>
        <w:tc>
          <w:tcPr>
            <w:tcW w:w="11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Consolidated Statements of Cash Flows - Six months ended June 30, 2017 and 2016</w:t>
            </w:r>
          </w:p>
        </w:tc>
        <w:tc>
          <w:tcPr>
            <w:tcW w:w="180" w:type="dxa"/>
            <w:vAlign w:val="bottom"/>
            <w:gridSpan w:val="2"/>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4</w:t>
              </w:r>
            </w:hyperlink>
          </w:p>
        </w:tc>
      </w:tr>
      <w:tr>
        <w:trPr>
          <w:trHeight w:val="453"/>
        </w:trPr>
        <w:tc>
          <w:tcPr>
            <w:tcW w:w="40" w:type="dxa"/>
            <w:vAlign w:val="bottom"/>
          </w:tcPr>
          <w:p>
            <w:pPr>
              <w:spacing w:after="0"/>
              <w:rPr>
                <w:sz w:val="24"/>
                <w:szCs w:val="24"/>
                <w:color w:val="auto"/>
              </w:rPr>
            </w:pPr>
          </w:p>
        </w:tc>
        <w:tc>
          <w:tcPr>
            <w:tcW w:w="6060" w:type="dxa"/>
            <w:vAlign w:val="bottom"/>
            <w:tcBorders>
              <w:top w:val="single" w:sz="8" w:color="auto"/>
            </w:tcBorders>
            <w:gridSpan w:val="8"/>
          </w:tcPr>
          <w:p>
            <w:pPr>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Notes to Consolidated Financial Statements</w:t>
              </w:r>
            </w:hyperlink>
          </w:p>
        </w:tc>
        <w:tc>
          <w:tcPr>
            <w:tcW w:w="51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rFonts w:ascii="Times New Roman" w:cs="Times New Roman" w:eastAsia="Times New Roman" w:hAnsi="Times New Roman"/>
                <w:sz w:val="18"/>
                <w:szCs w:val="18"/>
                <w:color w:val="auto"/>
                <w:w w:val="88"/>
              </w:rPr>
            </w:pPr>
            <w:hyperlink w:anchor="page7">
              <w:r>
                <w:rPr>
                  <w:rFonts w:ascii="Times New Roman" w:cs="Times New Roman" w:eastAsia="Times New Roman" w:hAnsi="Times New Roman"/>
                  <w:sz w:val="18"/>
                  <w:szCs w:val="18"/>
                  <w:color w:val="auto"/>
                  <w:w w:val="88"/>
                </w:rPr>
                <w:t>5</w:t>
              </w:r>
            </w:hyperlink>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958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w:anchor="page37">
              <w:r>
                <w:rPr>
                  <w:rFonts w:ascii="Times New Roman" w:cs="Times New Roman" w:eastAsia="Times New Roman" w:hAnsi="Times New Roman"/>
                  <w:sz w:val="18"/>
                  <w:szCs w:val="18"/>
                  <w:color w:val="auto"/>
                  <w:w w:val="99"/>
                </w:rPr>
                <w:t>ITEM 2. MANAGEMENT’S DISCUSSION AND ANALYSIS OF FINANCIAL CONDITION AND RESULTS OF OPERATIONS</w:t>
              </w:r>
            </w:hyperlink>
          </w:p>
        </w:tc>
        <w:tc>
          <w:tcPr>
            <w:tcW w:w="1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35</w:t>
              </w:r>
            </w:hyperlink>
          </w:p>
        </w:tc>
      </w:tr>
      <w:tr>
        <w:trPr>
          <w:trHeight w:val="453"/>
        </w:trPr>
        <w:tc>
          <w:tcPr>
            <w:tcW w:w="40" w:type="dxa"/>
            <w:vAlign w:val="bottom"/>
          </w:tcPr>
          <w:p>
            <w:pPr>
              <w:spacing w:after="0"/>
              <w:rPr>
                <w:sz w:val="24"/>
                <w:szCs w:val="24"/>
                <w:color w:val="auto"/>
              </w:rPr>
            </w:pPr>
          </w:p>
        </w:tc>
        <w:tc>
          <w:tcPr>
            <w:tcW w:w="11180" w:type="dxa"/>
            <w:vAlign w:val="bottom"/>
            <w:gridSpan w:val="14"/>
          </w:tcPr>
          <w:p>
            <w:pPr>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ITEM 3. 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color w:val="auto"/>
                <w:w w:val="88"/>
              </w:rPr>
            </w:pPr>
            <w:hyperlink w:anchor="page51">
              <w:r>
                <w:rPr>
                  <w:rFonts w:ascii="Times New Roman" w:cs="Times New Roman" w:eastAsia="Times New Roman" w:hAnsi="Times New Roman"/>
                  <w:sz w:val="18"/>
                  <w:szCs w:val="18"/>
                  <w:color w:val="auto"/>
                  <w:w w:val="88"/>
                </w:rPr>
                <w:t>49</w:t>
              </w:r>
            </w:hyperlink>
          </w:p>
        </w:tc>
      </w:tr>
      <w:tr>
        <w:trPr>
          <w:trHeight w:val="453"/>
        </w:trPr>
        <w:tc>
          <w:tcPr>
            <w:tcW w:w="40" w:type="dxa"/>
            <w:vAlign w:val="bottom"/>
          </w:tcPr>
          <w:p>
            <w:pPr>
              <w:spacing w:after="0"/>
              <w:rPr>
                <w:sz w:val="24"/>
                <w:szCs w:val="24"/>
                <w:color w:val="auto"/>
              </w:rPr>
            </w:pPr>
          </w:p>
        </w:tc>
        <w:tc>
          <w:tcPr>
            <w:tcW w:w="6800" w:type="dxa"/>
            <w:vAlign w:val="bottom"/>
            <w:tcBorders>
              <w:top w:val="single" w:sz="8" w:color="auto"/>
            </w:tcBorders>
            <w:gridSpan w:val="11"/>
          </w:tcPr>
          <w:p>
            <w:pPr>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ITEM 4. CONTROLS AND PROCEDURES</w:t>
              </w:r>
            </w:hyperlink>
          </w:p>
        </w:tc>
        <w:tc>
          <w:tcPr>
            <w:tcW w:w="4380" w:type="dxa"/>
            <w:vAlign w:val="bottom"/>
            <w:gridSpan w:val="3"/>
          </w:tcPr>
          <w:p>
            <w:pPr>
              <w:spacing w:after="0"/>
              <w:rPr>
                <w:sz w:val="24"/>
                <w:szCs w:val="24"/>
                <w:color w:val="auto"/>
              </w:rPr>
            </w:pPr>
          </w:p>
        </w:tc>
        <w:tc>
          <w:tcPr>
            <w:tcW w:w="18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51">
              <w:r>
                <w:rPr>
                  <w:rFonts w:ascii="Times New Roman" w:cs="Times New Roman" w:eastAsia="Times New Roman" w:hAnsi="Times New Roman"/>
                  <w:sz w:val="18"/>
                  <w:szCs w:val="18"/>
                  <w:color w:val="auto"/>
                  <w:w w:val="88"/>
                </w:rPr>
                <w:t>49</w:t>
              </w:r>
            </w:hyperlink>
          </w:p>
        </w:tc>
      </w:tr>
      <w:tr>
        <w:trPr>
          <w:trHeight w:val="493"/>
        </w:trPr>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920" w:type="dxa"/>
            <w:vAlign w:val="bottom"/>
            <w:gridSpan w:val="8"/>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ITEM 1. LEGAL PROCEEDINGS</w:t>
            </w:r>
          </w:p>
        </w:tc>
        <w:tc>
          <w:tcPr>
            <w:tcW w:w="8640" w:type="dxa"/>
            <w:vAlign w:val="bottom"/>
            <w:gridSpan w:val="10"/>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52">
              <w:r>
                <w:rPr>
                  <w:rFonts w:ascii="Times New Roman" w:cs="Times New Roman" w:eastAsia="Times New Roman" w:hAnsi="Times New Roman"/>
                  <w:sz w:val="18"/>
                  <w:szCs w:val="18"/>
                  <w:color w:val="auto"/>
                  <w:w w:val="88"/>
                </w:rPr>
                <w:t>50</w:t>
              </w:r>
            </w:hyperlink>
          </w:p>
        </w:tc>
      </w:tr>
      <w:tr>
        <w:trPr>
          <w:trHeight w:val="547"/>
        </w:trPr>
        <w:tc>
          <w:tcPr>
            <w:tcW w:w="40" w:type="dxa"/>
            <w:vAlign w:val="bottom"/>
          </w:tcPr>
          <w:p>
            <w:pPr>
              <w:spacing w:after="0"/>
              <w:rPr>
                <w:sz w:val="24"/>
                <w:szCs w:val="24"/>
                <w:color w:val="auto"/>
              </w:rPr>
            </w:pPr>
          </w:p>
        </w:tc>
        <w:tc>
          <w:tcPr>
            <w:tcW w:w="67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ITEM 2. UNREGISTERED SALES OF EQUITY SECURITIES AND USE OF PROCEEDS</w:t>
            </w:r>
          </w:p>
        </w:tc>
        <w:tc>
          <w:tcPr>
            <w:tcW w:w="4440" w:type="dxa"/>
            <w:vAlign w:val="bottom"/>
            <w:gridSpan w:val="4"/>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52">
              <w:r>
                <w:rPr>
                  <w:rFonts w:ascii="Times New Roman" w:cs="Times New Roman" w:eastAsia="Times New Roman" w:hAnsi="Times New Roman"/>
                  <w:sz w:val="18"/>
                  <w:szCs w:val="18"/>
                  <w:color w:val="auto"/>
                  <w:w w:val="88"/>
                </w:rPr>
                <w:t>50</w:t>
              </w:r>
            </w:hyperlink>
          </w:p>
        </w:tc>
      </w:tr>
      <w:tr>
        <w:trPr>
          <w:trHeight w:val="520"/>
        </w:trPr>
        <w:tc>
          <w:tcPr>
            <w:tcW w:w="40" w:type="dxa"/>
            <w:vAlign w:val="bottom"/>
          </w:tcPr>
          <w:p>
            <w:pPr>
              <w:spacing w:after="0"/>
              <w:rPr>
                <w:sz w:val="24"/>
                <w:szCs w:val="24"/>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ITEM 6. EXHIBITS</w:t>
            </w:r>
          </w:p>
        </w:tc>
        <w:tc>
          <w:tcPr>
            <w:tcW w:w="9700" w:type="dxa"/>
            <w:vAlign w:val="bottom"/>
            <w:gridSpan w:val="11"/>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52">
              <w:r>
                <w:rPr>
                  <w:rFonts w:ascii="Times New Roman" w:cs="Times New Roman" w:eastAsia="Times New Roman" w:hAnsi="Times New Roman"/>
                  <w:sz w:val="18"/>
                  <w:szCs w:val="18"/>
                  <w:color w:val="auto"/>
                  <w:w w:val="88"/>
                </w:rPr>
                <w:t>50</w:t>
              </w:r>
            </w:hyperlink>
          </w:p>
        </w:tc>
      </w:tr>
      <w:tr>
        <w:trPr>
          <w:trHeight w:val="453"/>
        </w:trPr>
        <w:tc>
          <w:tcPr>
            <w:tcW w:w="4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SIGNATURES</w:t>
            </w:r>
          </w:p>
        </w:tc>
        <w:tc>
          <w:tcPr>
            <w:tcW w:w="10080" w:type="dxa"/>
            <w:vAlign w:val="bottom"/>
            <w:gridSpan w:val="13"/>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Times New Roman" w:cs="Times New Roman" w:eastAsia="Times New Roman" w:hAnsi="Times New Roman"/>
                <w:sz w:val="18"/>
                <w:szCs w:val="18"/>
                <w:color w:val="auto"/>
                <w:w w:val="88"/>
              </w:rPr>
            </w:pPr>
            <w:hyperlink w:anchor="page53">
              <w:r>
                <w:rPr>
                  <w:rFonts w:ascii="Times New Roman" w:cs="Times New Roman" w:eastAsia="Times New Roman" w:hAnsi="Times New Roman"/>
                  <w:sz w:val="18"/>
                  <w:szCs w:val="18"/>
                  <w:color w:val="auto"/>
                  <w:w w:val="88"/>
                </w:rPr>
                <w:t>51</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4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CREDIT ACCEPTANCE CORPORATION</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4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4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61"/>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4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00" w:type="dxa"/>
            <w:vAlign w:val="bottom"/>
            <w:tcBorders>
              <w:bottom w:val="single" w:sz="8" w:color="auto"/>
            </w:tcBorders>
          </w:tcPr>
          <w:p>
            <w:pPr>
              <w:spacing w:after="0"/>
              <w:rPr>
                <w:sz w:val="24"/>
                <w:szCs w:val="24"/>
                <w:color w:val="auto"/>
              </w:rPr>
            </w:pPr>
          </w:p>
        </w:tc>
      </w:tr>
      <w:tr>
        <w:trPr>
          <w:trHeight w:val="264"/>
        </w:trPr>
        <w:tc>
          <w:tcPr>
            <w:tcW w:w="34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30"/>
        </w:trPr>
        <w:tc>
          <w:tcPr>
            <w:tcW w:w="340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
        </w:trPr>
        <w:tc>
          <w:tcPr>
            <w:tcW w:w="34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3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224.7</w:t>
            </w:r>
          </w:p>
        </w:tc>
      </w:tr>
      <w:tr>
        <w:trPr>
          <w:trHeight w:val="27"/>
        </w:trPr>
        <w:tc>
          <w:tcPr>
            <w:tcW w:w="34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4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340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Loans receivable (including $1.4 from affiliates as of December 31, 2016)</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Loans receivable, net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4,637.7</w:t>
      </w:r>
    </w:p>
    <w:p>
      <w:pPr>
        <w:spacing w:after="0" w:line="6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(354.1)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4,283.6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4,207.0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(320.4)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3,886.6</w:t>
      </w:r>
    </w:p>
    <w:p>
      <w:pPr>
        <w:spacing w:after="0" w:line="213" w:lineRule="exact"/>
        <w:rPr>
          <w:sz w:val="20"/>
          <w:szCs w:val="20"/>
          <w:color w:val="auto"/>
        </w:rPr>
      </w:pPr>
    </w:p>
    <w:p>
      <w:pPr>
        <w:sectPr>
          <w:pgSz w:w="11900" w:h="16838" w:orient="portrait"/>
          <w:cols w:equalWidth="0" w:num="3">
            <w:col w:w="8240" w:space="720"/>
            <w:col w:w="1100" w:space="720"/>
            <w:col w:w="640"/>
          </w:cols>
          <w:pgMar w:left="240" w:top="121" w:right="239" w:bottom="1440" w:gutter="0" w:footer="0" w:header="0"/>
          <w:type w:val="continuous"/>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receivable</w:t>
            </w: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304"/>
        </w:trPr>
        <w:tc>
          <w:tcPr>
            <w:tcW w:w="790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4,727.8</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4,218.0</w:t>
            </w:r>
          </w:p>
        </w:tc>
      </w:tr>
      <w:tr>
        <w:trPr>
          <w:trHeight w:val="284"/>
        </w:trPr>
        <w:tc>
          <w:tcPr>
            <w:tcW w:w="7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90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143.9</w:t>
            </w:r>
          </w:p>
        </w:tc>
      </w:tr>
      <w:tr>
        <w:trPr>
          <w:trHeight w:val="27"/>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Secured financing</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2,062.4</w:t>
            </w: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Senior notes</w:t>
            </w: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541.3</w:t>
            </w:r>
          </w:p>
        </w:tc>
      </w:tr>
      <w:tr>
        <w:trPr>
          <w:trHeight w:val="27"/>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r>
      <w:tr>
        <w:trPr>
          <w:trHeight w:val="284"/>
        </w:trPr>
        <w:tc>
          <w:tcPr>
            <w:tcW w:w="7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71"/>
        </w:trPr>
        <w:tc>
          <w:tcPr>
            <w:tcW w:w="7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3,479.6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3,044.3</w:t>
            </w:r>
          </w:p>
        </w:tc>
      </w:tr>
      <w:tr>
        <w:trPr>
          <w:trHeight w:val="297"/>
        </w:trPr>
        <w:tc>
          <w:tcPr>
            <w:tcW w:w="7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 - See Note 15</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$0.01 par value, 80,000,000 shares authorized, 19,310,346 and 19,877,381 shares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7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issued and outstanding as of June 30, 2017 and December 31, 2016, respectively</w:t>
            </w:r>
          </w:p>
        </w:tc>
        <w:tc>
          <w:tcPr>
            <w:tcW w:w="5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Paid-in capital</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w:t>
            </w: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1,042.0</w:t>
            </w:r>
          </w:p>
        </w:tc>
      </w:tr>
      <w:tr>
        <w:trPr>
          <w:trHeight w:val="27"/>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84"/>
        </w:trPr>
        <w:tc>
          <w:tcPr>
            <w:tcW w:w="7900" w:type="dxa"/>
            <w:vAlign w:val="bottom"/>
            <w:tcBorders>
              <w:top w:val="single" w:sz="8" w:color="CCEEFF"/>
              <w:bottom w:val="single" w:sz="8" w:color="CCEEFF"/>
            </w:tcBorders>
          </w:tcPr>
          <w:p>
            <w:pPr>
              <w:ind w:left="1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1,248.2</w:t>
            </w:r>
          </w:p>
        </w:tc>
        <w:tc>
          <w:tcPr>
            <w:tcW w:w="100" w:type="dxa"/>
            <w:vAlign w:val="bottom"/>
            <w:tcBorders>
              <w:top w:val="single" w:sz="8" w:color="CCEEFF"/>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1,173.7</w:t>
            </w:r>
          </w:p>
        </w:tc>
      </w:tr>
      <w:tr>
        <w:trPr>
          <w:trHeight w:val="257"/>
        </w:trPr>
        <w:tc>
          <w:tcPr>
            <w:tcW w:w="7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4,727.8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4,218.0</w:t>
            </w:r>
          </w:p>
        </w:tc>
      </w:tr>
      <w:tr>
        <w:trPr>
          <w:trHeight w:val="20"/>
        </w:trPr>
        <w:tc>
          <w:tcPr>
            <w:tcW w:w="7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80" w:type="dxa"/>
            <w:vAlign w:val="bottom"/>
          </w:tcPr>
          <w:p>
            <w:pPr>
              <w:spacing w:after="0"/>
              <w:rPr>
                <w:sz w:val="13"/>
                <w:szCs w:val="13"/>
                <w:color w:val="auto"/>
              </w:rPr>
            </w:pPr>
          </w:p>
        </w:tc>
        <w:tc>
          <w:tcPr>
            <w:tcW w:w="29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207"/>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charges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Premiums earned</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Salaries and wages</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claims</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19,458,155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20,379,557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19,589,593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20,407,379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19,463,521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20,382,804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19,615,849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20,433,524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7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2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07"/>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8"/>
                <w:szCs w:val="18"/>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Unrealized gain on securities, net of tax</w:t>
            </w:r>
          </w:p>
        </w:tc>
        <w:tc>
          <w:tcPr>
            <w:tcW w:w="10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r>
      <w:tr>
        <w:trPr>
          <w:trHeight w:val="284"/>
        </w:trPr>
        <w:tc>
          <w:tcPr>
            <w:tcW w:w="47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159.8</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Adjustments to reconcile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78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78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Loss on retirement of property and equipment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78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Increase (decrease) in accounts payable and accrued liabilities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in income taxes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Decrease in income taxes payable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8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in other assets</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1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in restricted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Purchases of restricted securities available for sale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sale of restricted securities available for sale</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Maturities of restricted securities available for sale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collected on Loans receivable</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Advances to Dealers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Purchases of Consumer Loans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Accelerated payments of Dealer Holdback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Payments of Dealer Holdback</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1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Borrowings under revolving secured line of credit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Repayments under revolving secured line of credit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secured financing</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1,397.3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Repayments of secured financing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Excess tax benefits from stock-based compensation plans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1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3"/>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00"/>
          </w:cols>
          <w:pgMar w:left="240" w:top="121" w:right="259" w:bottom="441"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441"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(“generally accepted accounting principles” or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The results of operations for interim periods are not necessarily indicative of actual results achieved for full fiscal years. The consolidated balance sheet as of December 31, 2016 has been derived from the audited financial statements at that date but does not include all the information and footnotes required by GAAP for complete financial statements. For further information, refer to the consolidated financial statements and footnotes thereto included in the Annual Report on Form 10-K for the year ended December 31, 2016 for Credit Acceptance Corporation (the “Company”, “Credit Acceptance”, “we”, “our” or “us”).</w:t>
      </w: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evaluated events and transactions occurring subsequent to the consolidated balance sheet date of June 30, 2017 for items that could potentially be recognized or disclosed in these financial statements. For additional information regarding subsequent events, see Note 16 of these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amounts for prior periods have been reclassified to conform to the current presentation. We have reclassified certain prior period related party transactions to reflect the June 2016 sale of certain affiliated Dealers by our founder, significant shareholder and former Chairman of the Board. For additional information regarding this change, see Note 10 to the consolidated financial statements.</w:t>
      </w:r>
    </w:p>
    <w:p>
      <w:pPr>
        <w:spacing w:after="0" w:line="172"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76"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scores below 650 or no FICO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scores: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38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Consumer Loan Assignment Volume</w:t>
            </w:r>
          </w:p>
        </w:tc>
        <w:tc>
          <w:tcPr>
            <w:tcW w:w="1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25"/>
        </w:trPr>
        <w:tc>
          <w:tcPr>
            <w:tcW w:w="4660" w:type="dxa"/>
            <w:vAlign w:val="bottom"/>
            <w:gridSpan w:val="2"/>
            <w:shd w:val="clear" w:color="auto" w:fill="CCEEFF"/>
          </w:tcPr>
          <w:p>
            <w:pPr>
              <w:ind w:left="40"/>
              <w:spacing w:after="0" w:line="224" w:lineRule="exact"/>
              <w:rPr>
                <w:sz w:val="20"/>
                <w:szCs w:val="20"/>
                <w:color w:val="auto"/>
              </w:rPr>
            </w:pPr>
            <w:r>
              <w:rPr>
                <w:rFonts w:ascii="Times New Roman" w:cs="Times New Roman" w:eastAsia="Times New Roman" w:hAnsi="Times New Roman"/>
                <w:sz w:val="18"/>
                <w:szCs w:val="18"/>
                <w:color w:val="auto"/>
              </w:rPr>
              <w:t>Percentage of total unit volume with either FICO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scores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61"/>
        </w:trPr>
        <w:tc>
          <w:tcPr>
            <w:tcW w:w="4660" w:type="dxa"/>
            <w:vAlign w:val="bottom"/>
            <w:gridSpan w:val="2"/>
            <w:shd w:val="clear" w:color="auto" w:fill="CCEEFF"/>
          </w:tcPr>
          <w:p>
            <w:pPr>
              <w:ind w:left="280"/>
              <w:spacing w:after="0" w:line="262" w:lineRule="exact"/>
              <w:rPr>
                <w:sz w:val="20"/>
                <w:szCs w:val="20"/>
                <w:color w:val="auto"/>
              </w:rPr>
            </w:pPr>
            <w:r>
              <w:rPr>
                <w:rFonts w:ascii="Times New Roman" w:cs="Times New Roman" w:eastAsia="Times New Roman" w:hAnsi="Times New Roman"/>
                <w:sz w:val="18"/>
                <w:szCs w:val="18"/>
                <w:color w:val="auto"/>
              </w:rPr>
              <w:t>below 650 or no FICO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scores</w:t>
            </w:r>
          </w:p>
        </w:tc>
        <w:tc>
          <w:tcPr>
            <w:tcW w:w="1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689"/>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six quarters: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3"/>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100" w:type="dxa"/>
            <w:vAlign w:val="bottom"/>
          </w:tcPr>
          <w:p>
            <w:pPr>
              <w:spacing w:after="0"/>
              <w:rPr>
                <w:sz w:val="18"/>
                <w:szCs w:val="18"/>
                <w:color w:val="auto"/>
              </w:rPr>
            </w:pPr>
          </w:p>
        </w:tc>
        <w:tc>
          <w:tcPr>
            <w:tcW w:w="27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Dollar Volume (1)</w:t>
            </w:r>
          </w:p>
        </w:tc>
      </w:tr>
      <w:tr>
        <w:trPr>
          <w:trHeight w:val="264"/>
        </w:trPr>
        <w:tc>
          <w:tcPr>
            <w:tcW w:w="34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Purchased Loans</w:t>
            </w: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3"/>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bl>
    <w:p>
      <w:pPr>
        <w:spacing w:after="0" w:line="126" w:lineRule="exact"/>
        <w:rPr>
          <w:sz w:val="20"/>
          <w:szCs w:val="20"/>
          <w:color w:val="auto"/>
        </w:rPr>
      </w:pPr>
    </w:p>
    <w:p>
      <w:pPr>
        <w:ind w:left="500" w:right="20" w:hanging="316"/>
        <w:spacing w:after="0" w:line="282"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 payment from the consumer;</w:t>
      </w:r>
    </w:p>
    <w:p>
      <w:pPr>
        <w:spacing w:after="0" w:line="2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non-recourse cash payment (“advance”) from us; and</w:t>
      </w:r>
    </w:p>
    <w:p>
      <w:pPr>
        <w:spacing w:after="0" w:line="9" w:lineRule="exact"/>
        <w:rPr>
          <w:rFonts w:ascii="Times New Roman" w:cs="Times New Roman" w:eastAsia="Times New Roman" w:hAnsi="Times New Roman"/>
          <w:sz w:val="18"/>
          <w:szCs w:val="18"/>
          <w:color w:val="auto"/>
        </w:rPr>
      </w:pPr>
    </w:p>
    <w:p>
      <w:pPr>
        <w:ind w:left="840" w:hanging="332"/>
        <w:spacing w:after="0" w:line="261"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advance has been recovered by us, the cash from payments made on the Consumer Loan, net of certain collection costs and our servicing fee (“Dealer Holdback”).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record the amount advanced to the Dealer as a Dealer Loan, which is classified within Loans receivable in our consolidated balance sheets. Cash advanced to the Dealer is automatically assigned to the Dealer’s open pool of advances. We generally require Dealers to group advances into pools of at least 100 Consumer Loans. At the Dealer’s option, a pool containing at least 100 Consumer Loans can be closed and subsequent advances assigned to a new pool.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in the Dealer Loans by taking possession of the Consumer Loans, which list us as lien holder on the vehicle title.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Dealer servicing agreement provides that collections received by us during a calendar month on Consumer Loans assigned by a Dealer are applied on a pool-by-pool basis as follows:</w:t>
      </w:r>
    </w:p>
    <w:p>
      <w:pPr>
        <w:spacing w:after="0" w:line="162" w:lineRule="exact"/>
        <w:rPr>
          <w:sz w:val="20"/>
          <w:szCs w:val="20"/>
          <w:color w:val="auto"/>
        </w:rPr>
      </w:pPr>
    </w:p>
    <w:p>
      <w:pPr>
        <w:ind w:left="840" w:hanging="332"/>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us for certain collection costs;</w:t>
      </w:r>
    </w:p>
    <w:p>
      <w:pPr>
        <w:spacing w:after="0" w:line="2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pay us our servicing fee, which generally equals 20% of collections;</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reduce the aggregate advance balance and to pay any other amounts due from the Dealer to us; and</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Dealer as payment of Dealer Holdback.</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collections on Consumer Loans from a Dealer’s pool are not sufficient to repay the advance balance and any other amounts due to us, the Dealer will not receive Dealer Holdback.</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Dealers have an opportunity to receive an accelerated Dealer Holdback payment each time 100 Consumer Loans have been assigned to us. The amount paid to the Dealer is calculated using a formula that considers the forecasted collections and the advance balance on the related Consumer Loans.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 The Dealer can also opt to repurchase Consumer Loans that have been assigned to us under the Portfolio Program, at their discretion, for a fee.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Purchase Program</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Program Enrollment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Dealers may enroll in our Portfolio Program by (1) paying an up-front, one-time fee of $9,850, or (2) agreeing to allow us to retain 50% of their first accelerated Dealer Holdback payment. Access to the Purchase Program is typically only granted to Dealers that meet one of the following:</w:t>
      </w:r>
    </w:p>
    <w:p>
      <w:pPr>
        <w:spacing w:after="0" w:line="162" w:lineRule="exact"/>
        <w:rPr>
          <w:sz w:val="20"/>
          <w:szCs w:val="20"/>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first accelerated Dealer Holdback payment under the Portfolio Program;</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dealership;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dealership that meets certain criteria upon enrollment.</w:t>
      </w:r>
    </w:p>
    <w:p>
      <w:pPr>
        <w:spacing w:after="0" w:line="20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operate in one reportable segment which represents our core business of offering financing programs that enable Dealers to sell vehicles to consumers, regardless of their credit history. The consolidated financial statements reflect the financial results of our one reportable operating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equivalents consist of readily marketable securities with original maturities at the date of acquisition of three months or less. As of June 30, 2017 and December 31, 2016, we had $26.9 million and $14.3 million, respectively, in cash and cash equivalents that were not insured by the Federal Deposit Insurance Corporation (“FDIC”).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cash and cash equivalents consist of cash pledged as collateral for secured financings and cash held in a trust for future vehicle service contract claims. As of June 30, 2017 and December 31, 2016, we had $313.3 million and $224.1 million, respectively, in restricted cash and cash equivalents that were not insured by the FDIC.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Securities Available for 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Receivable and Allowance for Credit Losses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Consumer Loan Assignment. </w:t>
      </w:r>
      <w:r>
        <w:rPr>
          <w:rFonts w:ascii="Times New Roman" w:cs="Times New Roman" w:eastAsia="Times New Roman" w:hAnsi="Times New Roman"/>
          <w:sz w:val="18"/>
          <w:szCs w:val="18"/>
          <w:color w:val="auto"/>
        </w:rPr>
        <w:t>For legal purposes, a Consumer Loan is considered to have been assigned to us after the following has occurred:</w:t>
      </w:r>
    </w:p>
    <w:p>
      <w:pPr>
        <w:spacing w:after="0" w:line="227" w:lineRule="exact"/>
        <w:rPr>
          <w:sz w:val="20"/>
          <w:szCs w:val="20"/>
          <w:color w:val="auto"/>
        </w:rPr>
      </w:pPr>
    </w:p>
    <w:p>
      <w:pPr>
        <w:ind w:left="840" w:hanging="332"/>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and Dealer have signed a Consumer Loan contract; and</w:t>
      </w:r>
    </w:p>
    <w:p>
      <w:pPr>
        <w:spacing w:after="0" w:line="2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the executed Consumer Loan contract and supporting documentation in either physical or electronic form.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accounting and financial reporting purposes, a Consumer Loan is considered to have been assigned to us after the following has occurred:</w:t>
      </w:r>
    </w:p>
    <w:p>
      <w:pPr>
        <w:spacing w:after="0" w:line="225" w:lineRule="exact"/>
        <w:rPr>
          <w:sz w:val="20"/>
          <w:szCs w:val="20"/>
          <w:color w:val="auto"/>
        </w:rPr>
      </w:pPr>
    </w:p>
    <w:p>
      <w:pPr>
        <w:ind w:left="840" w:hanging="332"/>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Loan has been legally assigned to us; and</w:t>
      </w:r>
    </w:p>
    <w:p>
      <w:pPr>
        <w:spacing w:after="0" w:line="27" w:lineRule="exact"/>
        <w:rPr>
          <w:rFonts w:ascii="Times New Roman" w:cs="Times New Roman" w:eastAsia="Times New Roman" w:hAnsi="Times New Roman"/>
          <w:sz w:val="18"/>
          <w:szCs w:val="18"/>
          <w:color w:val="auto"/>
        </w:rPr>
      </w:pPr>
    </w:p>
    <w:p>
      <w:pPr>
        <w:ind w:left="840" w:hanging="332"/>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Portfolio Segments and Classes. </w:t>
      </w:r>
      <w:r>
        <w:rPr>
          <w:rFonts w:ascii="Times New Roman" w:cs="Times New Roman" w:eastAsia="Times New Roman" w:hAnsi="Times New Roman"/>
          <w:sz w:val="18"/>
          <w:szCs w:val="18"/>
          <w:color w:val="auto"/>
        </w:rPr>
        <w:t>We are considered to be a lender to our Dealers for Consumer Loans assigned under our Portfolio Program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of Consumer Loans assigned under our Purchase Program. As a result, our Loan portfolio consists of two portfolio segments: Dealer Loans and Purchased Loans. Each portfolio segment is comprised of one class of Consumer Loan assignments, which is Consumer Loans originated by Dealers to finance purchases of vehicles and related ancillary products by consumers with impaired or limited credit histories.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Dealer Loans</w:t>
      </w:r>
      <w:r>
        <w:rPr>
          <w:rFonts w:ascii="Times New Roman" w:cs="Times New Roman" w:eastAsia="Times New Roman" w:hAnsi="Times New Roman"/>
          <w:sz w:val="18"/>
          <w:szCs w:val="18"/>
          <w:color w:val="auto"/>
        </w:rPr>
        <w:t>. Amounts advanced to Dealers for Consumer Loans assigned under the Portfolio Program are recorded as Dealer Loans and are 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Dealer for purposes of recognizing revenue and evaluating impairment. We account for Dealer Loans based on forecasted cash flows instead of contractual cash flows as we do not expect to collect all of the contractually specified amounts due to the credit quality of the underlying Consumer Loans. The outstanding balance of each Dealer Loan included in Loans receivable is comprised of the following:</w:t>
      </w:r>
    </w:p>
    <w:p>
      <w:pPr>
        <w:spacing w:after="0" w:line="182" w:lineRule="exact"/>
        <w:rPr>
          <w:sz w:val="20"/>
          <w:szCs w:val="20"/>
          <w:color w:val="auto"/>
        </w:rPr>
      </w:pPr>
    </w:p>
    <w:p>
      <w:pPr>
        <w:ind w:left="840" w:hanging="332"/>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cash advances paid;</w:t>
      </w:r>
    </w:p>
    <w:p>
      <w:pPr>
        <w:spacing w:after="0" w:line="2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charges;</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Holdback payments;</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Dealer Holdback payments; and</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Less:</w:t>
      </w:r>
    </w:p>
    <w:p>
      <w:pPr>
        <w:spacing w:after="0" w:line="27" w:lineRule="exact"/>
        <w:rPr>
          <w:sz w:val="20"/>
          <w:szCs w:val="20"/>
          <w:color w:val="auto"/>
        </w:rPr>
      </w:pPr>
    </w:p>
    <w:p>
      <w:pPr>
        <w:ind w:left="840" w:hanging="332"/>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(net of certain collection costs); and</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allowance for credit losses is maintained at an amount that reduces the net asset value (Dealer Loan balance less the allowance) to the value of forecasted future cash flows discounted at the yield established at the time of assignment. This allowance calculation is completed for each individual Dealer. Future cash flows are comprised of estimated future collections on the Consumer Loans, less any estimated Dealer Holdback payments. We write off Dealer Loans once there are no forecasted future cash flows on any of the associated Consumer Loans, which generally occurs 120 months after the last Consumer Loan assignment.</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Future collections on Dealer Loans are forecasted for each individual Dealer based on the historical performance of Consumer Loans with similar characteristics, adjusted for recent trends in payment patterns. Dealer Holdback is forecasted for each individual Dealer based on the expected future collections and current advance balance of each Dealer Loan. Cash flows from any individual Dealer Loan are often different than estimated cash flows at the time of assignment. If such difference is favorable, the difference is recognized prospectively into income over the remaining life of the Dealer Loan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Dealer Loan portfolio. An allowance for credit losses does not necessarily indicate that a Dealer Loan is unprofitable, and seldom are cash flows from a Dealer Loan insufficient to repay the initial amounts advanced to the Dealer.</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Purchased Loans</w:t>
      </w:r>
      <w:r>
        <w:rPr>
          <w:rFonts w:ascii="Times New Roman" w:cs="Times New Roman" w:eastAsia="Times New Roman" w:hAnsi="Times New Roman"/>
          <w:sz w:val="18"/>
          <w:szCs w:val="18"/>
          <w:color w:val="auto"/>
        </w:rPr>
        <w:t>. Amounts paid to Dealers for Consumer Loans assigned under the Purchase Program are recorded as Purchased Loans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aggregated into pools based on the month of purchase for purposes of recognizing revenue and evaluating impairment. We account for Purchased Loans based on forecasted cash flows instead of contractual cash flows as we do not expect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collect all of the contractually specified amounts due to the credit quality of the assigned Consumer Loans. The outstanding balance of each Purchased Loan pool included in Loans receivable is comprised of the following:</w:t>
      </w:r>
    </w:p>
    <w:p>
      <w:pPr>
        <w:spacing w:after="0" w:line="162" w:lineRule="exact"/>
        <w:rPr>
          <w:sz w:val="20"/>
          <w:szCs w:val="20"/>
          <w:color w:val="auto"/>
        </w:rPr>
      </w:pPr>
    </w:p>
    <w:p>
      <w:pPr>
        <w:ind w:left="840" w:hanging="332"/>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amounts paid during the month of purchase to purchase Consumer Loans from Dealers;</w:t>
      </w:r>
    </w:p>
    <w:p>
      <w:pPr>
        <w:spacing w:after="0" w:line="2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charges; and</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Less:</w:t>
      </w:r>
    </w:p>
    <w:p>
      <w:pPr>
        <w:spacing w:after="0" w:line="27" w:lineRule="exact"/>
        <w:rPr>
          <w:sz w:val="20"/>
          <w:szCs w:val="20"/>
          <w:color w:val="auto"/>
        </w:rPr>
      </w:pPr>
    </w:p>
    <w:p>
      <w:pPr>
        <w:ind w:left="840" w:hanging="332"/>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(net of certain collection costs); and</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allowance for credit losses is maintained at an amount that reduces the net asset value (Purchased Loan pool balance less the allowance) to the value of forecasted future cash flows discounted at the yield established at the time of assignment. This allowance calculation is completed for each individual monthly pool of Purchased Loans. Future cash flows are comprised of estimated future collections on the pool of Purchased Loans. We write off pools of Purchased Loans once there are no forecasted future cash flows on any of the Purchased Loans included in the pool, which generally occurs 120 months after the month of purchase.</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Future collections on Purchased Loans are forecasted for each individual pool based on the historical performance of Consumer Loans with similar characteristics, adjusted for recent trends in payment patterns. Cash flows from any individual pool of Purchased Loans are often different than estimated cash flows at the time of assignment. If such difference is favorable, the difference is recognized prospectively into income over the remaining life of the pool of Purchased Loans through a yield adjustment. If such difference is unfavorable, a provision for credit losses is recorded immediately as a current period expense and a corresponding allowance for credit losses is established.</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Quality. </w:t>
      </w:r>
      <w:r>
        <w:rPr>
          <w:rFonts w:ascii="Times New Roman" w:cs="Times New Roman" w:eastAsia="Times New Roman" w:hAnsi="Times New Roman"/>
          <w:sz w:val="18"/>
          <w:szCs w:val="18"/>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the Consumer Loan is submitted to us for assignment, we forecast future expected cash flows from the Consumer Loan. Based on these forecasts, an advance or one-time purchase payment is made to the related Dealer at a price designed to maximize economic profit, a non-GAAP financial measure that considers our return on capital, our cost of capital and the amount of capital invested.</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than historical Consumer Loans with similar characteristics. We periodically adjust our statistical pricing model for new trends that we identify through our evaluation of these forecasted collection rate variances.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Methodology Changes</w:t>
      </w:r>
      <w:r>
        <w:rPr>
          <w:rFonts w:ascii="Times New Roman" w:cs="Times New Roman" w:eastAsia="Times New Roman" w:hAnsi="Times New Roman"/>
          <w:sz w:val="18"/>
          <w:szCs w:val="18"/>
          <w:color w:val="auto"/>
        </w:rPr>
        <w:t>. For the three and six months ended June 30, 2017 and 2016, we did not make any methodology changes for Loans that had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impact on our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VSC Re Company (“VSC Re”), our wholly-owned subsidiary, is engaged in the business of reinsuring coverage under vehicle service contracts sold to consumers by Dealers on vehicles financed by us. VSC Re currently reinsures vehicle service contracts that are offered through one of our third party providers.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consolidated the trust within our financial statements based on our determination of the following:</w:t>
      </w:r>
    </w:p>
    <w:p>
      <w:pPr>
        <w:spacing w:after="0" w:line="223" w:lineRule="exact"/>
        <w:rPr>
          <w:sz w:val="20"/>
          <w:szCs w:val="20"/>
          <w:color w:val="auto"/>
        </w:rPr>
      </w:pPr>
    </w:p>
    <w:p>
      <w:pPr>
        <w:jc w:val="both"/>
        <w:ind w:left="840" w:hanging="332"/>
        <w:spacing w:after="0" w:line="258"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 variable interest in the trust. </w:t>
      </w:r>
      <w:r>
        <w:rPr>
          <w:rFonts w:ascii="Times New Roman" w:cs="Times New Roman" w:eastAsia="Times New Roman" w:hAnsi="Times New Roman"/>
          <w:sz w:val="18"/>
          <w:szCs w:val="18"/>
          <w:color w:val="auto"/>
        </w:rPr>
        <w:t>We have a residual interest in the assets of the trust, which is variable in nature, given that it increases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based upon the actual loss experience of the related service contracts. In addition, VSC Re is required to absorb any losses in excess of the trust's assets.</w:t>
      </w:r>
    </w:p>
    <w:p>
      <w:pPr>
        <w:spacing w:after="0" w:line="1" w:lineRule="exact"/>
        <w:rPr>
          <w:rFonts w:ascii="Times New Roman" w:cs="Times New Roman" w:eastAsia="Times New Roman" w:hAnsi="Times New Roman"/>
          <w:sz w:val="18"/>
          <w:szCs w:val="18"/>
          <w:color w:val="auto"/>
        </w:rPr>
      </w:pPr>
    </w:p>
    <w:p>
      <w:pPr>
        <w:ind w:left="840" w:hanging="332"/>
        <w:spacing w:after="0" w:line="250"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trust is a variable interest entity. </w:t>
      </w:r>
      <w:r>
        <w:rPr>
          <w:rFonts w:ascii="Times New Roman" w:cs="Times New Roman" w:eastAsia="Times New Roman" w:hAnsi="Times New Roman"/>
          <w:sz w:val="18"/>
          <w:szCs w:val="18"/>
          <w:color w:val="auto"/>
        </w:rPr>
        <w:t>The trust has insufficient equity at risk as no parties to the trust were required to contribute assets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them with any ownership interest.</w:t>
      </w:r>
    </w:p>
    <w:p>
      <w:pPr>
        <w:jc w:val="both"/>
        <w:ind w:left="840" w:hanging="332"/>
        <w:spacing w:after="0" w:line="254"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 the primary beneficiary of the trust. </w:t>
      </w:r>
      <w:r>
        <w:rPr>
          <w:rFonts w:ascii="Times New Roman" w:cs="Times New Roman" w:eastAsia="Times New Roman" w:hAnsi="Times New Roman"/>
          <w:sz w:val="18"/>
          <w:szCs w:val="18"/>
          <w:color w:val="auto"/>
        </w:rPr>
        <w:t>We control the amount of premium written and placed in the trust through Consumer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Updates Adopted During the Current Year</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Improvements to Employee Share-Based Payment Accounting. </w:t>
      </w:r>
      <w:r>
        <w:rPr>
          <w:rFonts w:ascii="Times New Roman" w:cs="Times New Roman" w:eastAsia="Times New Roman" w:hAnsi="Times New Roman"/>
          <w:sz w:val="18"/>
          <w:szCs w:val="18"/>
          <w:color w:val="auto"/>
        </w:rPr>
        <w:t>In March 2016, the Financial Accounting Standards Board (“FASB”) issued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 (“ASU”) 2016-09, which simplifies the accounting for share-based payment transactions, including income tax consequences, classification of awards as either equity or liabilities, and the classification on the statement of cash flows. ASU 2016-09 is effective for fiscal years, and interim periods, beginning after December 15, 2016, with early adoption permitted. The adoption of ASU 2016-09 on January 1, 2017 changed where we recognize excess tax benefits and deficiencies from stock-based compensation plans in our consolidated financial statements on a prospective basis. We receive a tax deduction upon the vesting of restricted stock and the conversion of restricted stock units to common stock based on the fair value of the shares. The amount that this tax deduction differs from the grant-date fair value that was recognized as stock-based compensation expense is referred to as an excess tax benefit or deficiency. For periods prior to adoption, these excess tax benefits or deficiencies were recognized in paid-in capital in our consolidated balance sheets and reported as a financing activity in our consolidated statements of cash flows. Upon adoption, these excess tax benefits or deficiencies are recognized in provision for income taxes in our consolidated statements of income and reported as an operating activity in our consolidated statements of cash flows. As a result of the adoption, excess tax benefits of $2.5 million decreased our provision for income taxes, increased our net cash provided by operating activities and decreased our net cash provided by financing activities for the six months ended June 30,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Updates Not Yet Adopted</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In November 2016, the FASB issued ASU 2016-18, which amends Topic 230 (Statement of Cash Flows) and requires that a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flows explain the change during the period in the total of cash, cash equivalents, and amounts generally described as restricted cash or restricted cash equivalents. ASU 2016-18 is intended to reduce diversity in practice in how restricted cash or restricted cash equivalents are presented and classified in the statement of cash flows. ASU 2016-18 is effective for fiscal years, and interim periods, beginning after December 15, 2017, with early adoption permitted. The standard requires application using a retrospective transition method. The adoption of ASU 2016-18 on January 1, 2018 will change the presentation and classification of restricted cash and restricted cash equivalents in our consolidated statements of cash flows.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In June 2016, the FASB issued ASU 2016-13, which includes an impairment model (known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expected credit loss (CECL) model) that is based on expected losses rather than incurred losses. Under the new guidance, an entity recognizes as an allowance its estimate of expected credit losses. ASU 2016-13 is effective for fiscal years, and interim periods, beginning after December 15, 2019. Early application is permitted for fiscal years, and interim periods, beginning after December 15, 2018. While we continue to assess the impact of ASU 2016-13, based on our preliminary assessment, we believe the adoption will have a material impact on our consolidated financial statements and related disclosures.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In May 2014, the FASB issued ASU 2014-09, which supersedes the revenue recognition requirements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605 (Revenue Recognition), and most industry-specific guidance.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permits two methods of adoption: retrospectively to each prior reporting period presented (full retrospective method), or retrospectively with the cumulative effect of initially applying the guidance recognized at the date of initial application (modified retrospective method). In August 2015, the FASB issued ASU 2015-14 to defer the effective date of ASU 2014-09 by one year to fiscal years beginning after December 15, 2017. ASU 2015-14 also permits early adoption of ASU 2014-09, but not before the original effective date, which was for fiscal years beginning after December 15, 2016. We plan on adopting ASU 2014-09, as amended by ASU 2015-14, on January 1, 2018 using the modified retrospective method and do not believe the adoption will have a material impact on our consolidated financial statements and related disclosures. Given that the guidance is not applicable to our finance charges and premiums earned sources of revenue, our assessment has focused on our other income source of revenue. Based on our assessment completed to date, we do not expect the adoption of ASU 2014-09, as amended by ASU 2015-14, to have a material impact on the timing of revenue recognition and financial statement presentation of our other income source of revenue.</w:t>
      </w:r>
    </w:p>
    <w:p>
      <w:pPr>
        <w:spacing w:after="0" w:line="18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In February 2016, the FASB issued ASU 2016-02, which requires lessees to recognize a right-of-use asset and related lease liability for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operating leases at the commencement date that have lease terms of more than 12 months. This ASU retains the classification distinction between finance leases and operating leases. ASU 2016-02 is effective for fiscal years, and interim periods, beginning after December 15, 2018. Early application is permitted, but we have not yet adopted ASU 2016-02. We are currently assessing the impact the adoption of ASU 2016-02 will have on our consolidated financial statements and related disclosures.</w:t>
      </w:r>
    </w:p>
    <w:p>
      <w:pPr>
        <w:spacing w:after="0" w:line="178"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their value.</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and Cash Equivalents. </w:t>
      </w:r>
      <w:r>
        <w:rPr>
          <w:rFonts w:ascii="Times New Roman" w:cs="Times New Roman" w:eastAsia="Times New Roman" w:hAnsi="Times New Roman"/>
          <w:sz w:val="18"/>
          <w:szCs w:val="18"/>
          <w:color w:val="auto"/>
        </w:rPr>
        <w:t>The carrying amounts approximate their fair value due to the short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instruments.</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Securities Available for Sale. </w:t>
      </w:r>
      <w:r>
        <w:rPr>
          <w:rFonts w:ascii="Times New Roman" w:cs="Times New Roman" w:eastAsia="Times New Roman" w:hAnsi="Times New Roman"/>
          <w:sz w:val="18"/>
          <w:szCs w:val="18"/>
          <w:color w:val="auto"/>
        </w:rPr>
        <w:t>The fair value of U.S. Government and agency securities and corporate bonds is based on quoted market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active markets. For asset-backed securities and mortgage-backed securities, we use model-based valuation techniques for which all significant assumptions are observable in the market.</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Loans Receivable, net. </w:t>
      </w:r>
      <w:r>
        <w:rPr>
          <w:rFonts w:ascii="Times New Roman" w:cs="Times New Roman" w:eastAsia="Times New Roman" w:hAnsi="Times New Roman"/>
          <w:sz w:val="18"/>
          <w:szCs w:val="18"/>
          <w:color w:val="auto"/>
        </w:rPr>
        <w:t>The fair value is determined by calculating the present value of future net cash flows estimated by us utilizing a discount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with the rate used to calculate our allowance for credit losses.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Revolving Secured Line of Credit. </w:t>
      </w:r>
      <w:r>
        <w:rPr>
          <w:rFonts w:ascii="Times New Roman" w:cs="Times New Roman" w:eastAsia="Times New Roman" w:hAnsi="Times New Roman"/>
          <w:sz w:val="18"/>
          <w:szCs w:val="18"/>
          <w:color w:val="auto"/>
        </w:rPr>
        <w:t>The fair value is determined by calculating the present value of the debt instrument based on current rates for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similar risk profile and maturity.</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Secured Financing. </w:t>
      </w:r>
      <w:r>
        <w:rPr>
          <w:rFonts w:ascii="Times New Roman" w:cs="Times New Roman" w:eastAsia="Times New Roman" w:hAnsi="Times New Roman"/>
          <w:sz w:val="18"/>
          <w:szCs w:val="18"/>
          <w:color w:val="auto"/>
        </w:rPr>
        <w:t>The fair value of our asset-backed secured financings ("Term ABS") is determined using quoted market prices; however,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trade in a market with a low trading volume. For our warehouse facilities, the fair values are determined by calculating the present value of each debt instrument based on current rates for debt with similar risk profiles and maturities.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fair value is determined using quoted market prices in an active market.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the carrying value and estimated fair value of these financial instruments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4"/>
        </w:trPr>
        <w:tc>
          <w:tcPr>
            <w:tcW w:w="4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16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r>
      <w:tr>
        <w:trPr>
          <w:trHeight w:val="151"/>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center"/>
              <w:ind w:right="46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15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360" w:type="dxa"/>
            <w:vAlign w:val="bottom"/>
          </w:tcPr>
          <w:p>
            <w:pPr>
              <w:spacing w:after="0"/>
              <w:rPr>
                <w:sz w:val="13"/>
                <w:szCs w:val="13"/>
                <w:color w:val="auto"/>
              </w:rPr>
            </w:pPr>
          </w:p>
        </w:tc>
        <w:tc>
          <w:tcPr>
            <w:tcW w:w="1460" w:type="dxa"/>
            <w:vAlign w:val="bottom"/>
            <w:gridSpan w:val="2"/>
          </w:tcPr>
          <w:p>
            <w:pPr>
              <w:jc w:val="center"/>
              <w:ind w:right="46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1440" w:type="dxa"/>
            <w:vAlign w:val="bottom"/>
          </w:tcPr>
          <w:p>
            <w:pPr>
              <w:jc w:val="right"/>
              <w:ind w:right="294"/>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207"/>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8"/>
                <w:szCs w:val="18"/>
                <w:color w:val="auto"/>
              </w:rPr>
            </w:pPr>
          </w:p>
        </w:tc>
        <w:tc>
          <w:tcPr>
            <w:tcW w:w="14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4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224.7</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Loans receivable, net</w:t>
            </w:r>
          </w:p>
        </w:tc>
        <w:tc>
          <w:tcPr>
            <w:tcW w:w="34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3,955.9</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Secured financing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2,472.3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2,489.3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2,072.0</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560.5</w:t>
            </w: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ectPr>
          <w:pgSz w:w="11900" w:h="16838" w:orient="portrait"/>
          <w:cols w:equalWidth="0" w:num="1">
            <w:col w:w="11420"/>
          </w:cols>
          <w:pgMar w:left="240" w:top="121" w:right="239" w:bottom="1440" w:gutter="0" w:footer="0" w:header="0"/>
        </w:sectPr>
      </w:pP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1</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is based upon quoted prices for identical instruments traded in active markets.</w:t>
      </w:r>
    </w:p>
    <w:p>
      <w:pPr>
        <w:spacing w:after="0" w:line="200" w:lineRule="exact"/>
        <w:rPr>
          <w:sz w:val="20"/>
          <w:szCs w:val="20"/>
          <w:color w:val="auto"/>
        </w:rPr>
      </w:pPr>
    </w:p>
    <w:p>
      <w:pPr>
        <w:sectPr>
          <w:pgSz w:w="11900" w:h="16838" w:orient="portrait"/>
          <w:cols w:equalWidth="0" w:num="2">
            <w:col w:w="920" w:space="720"/>
            <w:col w:w="9780"/>
          </w:cols>
          <w:pgMar w:left="240" w:top="121"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200" w:lineRule="exact"/>
        <w:rPr>
          <w:sz w:val="20"/>
          <w:szCs w:val="20"/>
          <w:color w:val="auto"/>
        </w:rPr>
      </w:pPr>
    </w:p>
    <w:p>
      <w:pPr>
        <w:sectPr>
          <w:pgSz w:w="11900" w:h="16838" w:orient="portrait"/>
          <w:cols w:equalWidth="0" w:num="2">
            <w:col w:w="920" w:space="720"/>
            <w:col w:w="9780"/>
          </w:cols>
          <w:pgMar w:left="240" w:top="121" w:right="2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200" w:lineRule="exact"/>
        <w:rPr>
          <w:sz w:val="20"/>
          <w:szCs w:val="20"/>
          <w:color w:val="auto"/>
        </w:rPr>
      </w:pPr>
    </w:p>
    <w:p>
      <w:pPr>
        <w:sectPr>
          <w:pgSz w:w="11900" w:h="16838" w:orient="portrait"/>
          <w:cols w:equalWidth="0" w:num="2">
            <w:col w:w="920" w:space="720"/>
            <w:col w:w="9780"/>
          </w:cols>
          <w:pgMar w:left="240" w:top="121" w:right="239" w:bottom="1440" w:gutter="0" w:footer="0" w:header="0"/>
          <w:type w:val="continuous"/>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level of measurement used to determine the fair value for each of our financial instruments:</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millions)</w:t>
      </w:r>
    </w:p>
    <w:p>
      <w:pPr>
        <w:spacing w:after="0" w:line="4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24765</wp:posOffset>
            </wp:positionV>
            <wp:extent cx="45624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247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8"/>
                <w:szCs w:val="18"/>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313.9</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Restricted securities available for sale (1)</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Loans receivable, net</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4,361.0</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Secured financing</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2,489.3</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Senior notes</w:t>
            </w: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567.1</w:t>
            </w:r>
          </w:p>
        </w:tc>
      </w:tr>
      <w:tr>
        <w:trPr>
          <w:trHeight w:val="27"/>
        </w:trPr>
        <w:tc>
          <w:tcPr>
            <w:tcW w:w="4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millions)</w:t>
      </w:r>
    </w:p>
    <w:p>
      <w:pPr>
        <w:spacing w:after="0" w:line="4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24765</wp:posOffset>
            </wp:positionV>
            <wp:extent cx="4562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247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8"/>
                <w:szCs w:val="18"/>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3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224.7</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Restricted securities available for sale (1)</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Loans receivable, net</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3,955.9</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Secured financing</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2,072.0</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Senior notes</w:t>
            </w: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560.5</w:t>
            </w:r>
          </w:p>
        </w:tc>
      </w:tr>
      <w:tr>
        <w:trPr>
          <w:trHeight w:val="27"/>
        </w:trPr>
        <w:tc>
          <w:tcPr>
            <w:tcW w:w="4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500" w:hanging="33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Measured and recorded at fair value on a recurring basis.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SECURITIES AVAILABLE FOR SALE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securities available for sale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240" w:type="dxa"/>
            <w:vAlign w:val="bottom"/>
          </w:tcPr>
          <w:p>
            <w:pPr>
              <w:spacing w:after="0"/>
              <w:rPr>
                <w:sz w:val="13"/>
                <w:szCs w:val="13"/>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440" w:type="dxa"/>
            <w:vAlign w:val="bottom"/>
          </w:tcPr>
          <w:p>
            <w:pPr>
              <w:jc w:val="center"/>
              <w:ind w:right="175"/>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207"/>
        </w:trPr>
        <w:tc>
          <w:tcPr>
            <w:tcW w:w="4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84"/>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6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240" w:type="dxa"/>
            <w:vAlign w:val="bottom"/>
          </w:tcPr>
          <w:p>
            <w:pPr>
              <w:spacing w:after="0"/>
              <w:rPr>
                <w:sz w:val="13"/>
                <w:szCs w:val="13"/>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440" w:type="dxa"/>
            <w:vAlign w:val="bottom"/>
          </w:tcPr>
          <w:p>
            <w:pPr>
              <w:jc w:val="center"/>
              <w:ind w:right="175"/>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207"/>
        </w:trPr>
        <w:tc>
          <w:tcPr>
            <w:tcW w:w="4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84"/>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6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gridSpan w:val="11"/>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 Available for Sale with Gross Unrealized Losses as of June 30, 2017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14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8"/>
                <w:szCs w:val="18"/>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640" w:type="dxa"/>
            <w:vAlign w:val="bottom"/>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restricted securities</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spacing w:after="0"/>
              <w:rPr>
                <w:sz w:val="17"/>
                <w:szCs w:val="17"/>
                <w:color w:val="auto"/>
              </w:rPr>
            </w:pPr>
          </w:p>
        </w:tc>
        <w:tc>
          <w:tcPr>
            <w:tcW w:w="1040" w:type="dxa"/>
            <w:vAlign w:val="bottom"/>
            <w:vMerge w:val="restart"/>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 for sale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11"/>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 Available for Sale with Gross Unrealized Losses as of December 31, 2016</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14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8"/>
                <w:szCs w:val="18"/>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640" w:type="dxa"/>
            <w:vAlign w:val="bottom"/>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restricted securities</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1"/>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 for sale</w:t>
            </w:r>
          </w:p>
        </w:tc>
        <w:tc>
          <w:tcPr>
            <w:tcW w:w="24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51"/>
        </w:trPr>
        <w:tc>
          <w:tcPr>
            <w:tcW w:w="550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5"/>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5"/>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Within one year</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one year to five years</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five years to ten years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Over ten years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48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receivable consists of the following:</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receivable</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4,637.7</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Loans receivable, net</w:t>
            </w: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4,283.6</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receivable</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4,207.0</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57"/>
        </w:trPr>
        <w:tc>
          <w:tcPr>
            <w:tcW w:w="240" w:type="dxa"/>
            <w:vAlign w:val="bottom"/>
            <w:shd w:val="clear" w:color="auto" w:fill="CCEEFF"/>
          </w:tcPr>
          <w:p>
            <w:pPr>
              <w:spacing w:after="0"/>
              <w:rPr>
                <w:sz w:val="22"/>
                <w:szCs w:val="22"/>
                <w:color w:val="auto"/>
              </w:rPr>
            </w:pPr>
          </w:p>
        </w:tc>
        <w:tc>
          <w:tcPr>
            <w:tcW w:w="4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Loans receivable, net</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986.9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3,886.6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 summary of changes in Loans receivable is as follows:</w:t>
            </w: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2017</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4,474.0</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Principal collected on Loans receivable</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Accelerated Dealer Holdback payments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Dealer Holdback payments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Transfers (2)</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Write-offs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84"/>
        </w:trPr>
        <w:tc>
          <w:tcPr>
            <w:tcW w:w="24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Recoveries (3)</w:t>
            </w:r>
          </w:p>
        </w:tc>
        <w:tc>
          <w:tcPr>
            <w:tcW w:w="1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1,252.4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4,637.7</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2016</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3,626.2</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627.4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Principal collected on Loans receivable</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Accelerated Dealer Holdback payments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Dealer Holdback payments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Transfers (2)</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Write-offs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84"/>
        </w:trPr>
        <w:tc>
          <w:tcPr>
            <w:tcW w:w="24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Recoveries (3)</w:t>
            </w:r>
          </w:p>
        </w:tc>
        <w:tc>
          <w:tcPr>
            <w:tcW w:w="1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3,812.0</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2017</w:t>
            </w:r>
          </w:p>
        </w:tc>
        <w:tc>
          <w:tcPr>
            <w:tcW w:w="1100" w:type="dxa"/>
            <w:vAlign w:val="bottom"/>
            <w:tcBorders>
              <w:bottom w:val="single" w:sz="8" w:color="auto"/>
            </w:tcBorders>
          </w:tcPr>
          <w:p>
            <w:pPr>
              <w:spacing w:after="0"/>
              <w:rPr>
                <w:sz w:val="18"/>
                <w:szCs w:val="18"/>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00" w:type="dxa"/>
            <w:vAlign w:val="bottom"/>
          </w:tcPr>
          <w:p>
            <w:pPr>
              <w:spacing w:after="0"/>
              <w:rPr>
                <w:sz w:val="22"/>
                <w:szCs w:val="22"/>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4,207.0</w:t>
            </w:r>
          </w:p>
        </w:tc>
      </w:tr>
      <w:tr>
        <w:trPr>
          <w:trHeight w:val="243"/>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1,463.3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Principal collected on Loans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r>
      <w:tr>
        <w:trPr>
          <w:trHeight w:val="243"/>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Accelerated Dealer Holdback payments</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Dealer Holdback payments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Transfers (2)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84"/>
        </w:trPr>
        <w:tc>
          <w:tcPr>
            <w:tcW w:w="640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Recoveries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4,637.7</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0"/>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2016</w:t>
            </w:r>
          </w:p>
        </w:tc>
        <w:tc>
          <w:tcPr>
            <w:tcW w:w="110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00" w:type="dxa"/>
            <w:vAlign w:val="bottom"/>
          </w:tcPr>
          <w:p>
            <w:pPr>
              <w:spacing w:after="0"/>
              <w:rPr>
                <w:sz w:val="22"/>
                <w:szCs w:val="22"/>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3,345.1</w:t>
            </w:r>
          </w:p>
        </w:tc>
      </w:tr>
      <w:tr>
        <w:trPr>
          <w:trHeight w:val="243"/>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1,371.5</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Principal collected on Loans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43"/>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Accelerated Dealer Holdback payments</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Dealer Holdback payments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75.8</w:t>
            </w:r>
          </w:p>
        </w:tc>
      </w:tr>
      <w:tr>
        <w:trPr>
          <w:trHeight w:val="243"/>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Transfers (2)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84"/>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Recoveries (3)</w:t>
            </w:r>
          </w:p>
        </w:tc>
        <w:tc>
          <w:tcPr>
            <w:tcW w:w="240" w:type="dxa"/>
            <w:vAlign w:val="bottom"/>
          </w:tcPr>
          <w:p>
            <w:pPr>
              <w:spacing w:after="0"/>
              <w:rPr>
                <w:sz w:val="24"/>
                <w:szCs w:val="24"/>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r>
      <w:tr>
        <w:trPr>
          <w:trHeight w:val="25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3,049.2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3,812.0</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right="20" w:hanging="316"/>
        <w:spacing w:after="0" w:line="253"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ind w:left="500" w:hanging="316"/>
        <w:spacing w:after="0" w:line="24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our Portfolio Program, certain events may result in Dealers forfeiting their rights to Dealer Holdback. We transfer the Dealer’s outstanding Dealer Loan balance to Purchased Loans in the period this forfeiture occurs.</w:t>
      </w:r>
    </w:p>
    <w:p>
      <w:pPr>
        <w:ind w:left="500" w:hanging="316"/>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collections received on previously written off Loans.</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Contractual net cash flows are comprised of the contractual repayments of the underlying Consumer Loans for Dealer and Purchased Loans, less the related Dealer Holdback payments for Dealer Loans. The difference between the contractual net cash flows and the expected net cash flows is referred to as the nonaccretable difference. This difference is neither accreted into income nor recorded in our balance sheets. We do not believe that the contractual net cash flows of our Loan portfolio are relevant in assessing our financial position. We are contractually owed repayments on many Consumer Loans, primarily those older than 120 months, where we are not forecasting any future net cash flows.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excess of expected net cash flows over the outstanding balance of Loans receivable, net is referred to as the accretable yield and is recognized on a level-yield basis as finance charge income over the remaining lives of the Loans. A summary of changes in the accretable yield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2017</w:t>
            </w:r>
          </w:p>
        </w:tc>
        <w:tc>
          <w:tcPr>
            <w:tcW w:w="1060" w:type="dxa"/>
            <w:vAlign w:val="bottom"/>
            <w:tcBorders>
              <w:bottom w:val="single" w:sz="8" w:color="auto"/>
            </w:tcBorders>
          </w:tcPr>
          <w:p>
            <w:pPr>
              <w:spacing w:after="0"/>
              <w:rPr>
                <w:sz w:val="18"/>
                <w:szCs w:val="18"/>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1,442.7</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r>
      <w:tr>
        <w:trPr>
          <w:trHeight w:val="284"/>
        </w:trPr>
        <w:tc>
          <w:tcPr>
            <w:tcW w:w="64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Transfers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1,494.8</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2016</w:t>
            </w:r>
          </w:p>
        </w:tc>
        <w:tc>
          <w:tcPr>
            <w:tcW w:w="10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1,185.2</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253.9</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r>
      <w:tr>
        <w:trPr>
          <w:trHeight w:val="284"/>
        </w:trPr>
        <w:tc>
          <w:tcPr>
            <w:tcW w:w="64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Transfers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1,246.5</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2017</w:t>
            </w:r>
          </w:p>
        </w:tc>
        <w:tc>
          <w:tcPr>
            <w:tcW w:w="10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1,330.7</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r>
      <w:tr>
        <w:trPr>
          <w:trHeight w:val="284"/>
        </w:trPr>
        <w:tc>
          <w:tcPr>
            <w:tcW w:w="64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Transfers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1,494.8</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2016</w:t>
            </w:r>
          </w:p>
        </w:tc>
        <w:tc>
          <w:tcPr>
            <w:tcW w:w="10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1,072.8</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555.3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r>
      <w:tr>
        <w:trPr>
          <w:trHeight w:val="243"/>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84"/>
        </w:trPr>
        <w:tc>
          <w:tcPr>
            <w:tcW w:w="64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Transfers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1,246.5</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500" w:hanging="316"/>
        <w:spacing w:after="0" w:line="249"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the net cash flows expected at the time of assignment on Consumer Loans assigned under our Portfolio Program, less the related advances paid to Dealers. The Purchased Loans amount represents the net cash flows expected at the time of assignment on Consumer Loans assigned under our Purchase Program, less the related one-time payments made to Dealers.</w:t>
      </w:r>
    </w:p>
    <w:p>
      <w:pPr>
        <w:spacing w:after="0" w:line="1" w:lineRule="exact"/>
        <w:rPr>
          <w:rFonts w:ascii="Times New Roman" w:cs="Times New Roman" w:eastAsia="Times New Roman" w:hAnsi="Times New Roman"/>
          <w:sz w:val="14"/>
          <w:szCs w:val="14"/>
          <w:color w:val="auto"/>
        </w:rPr>
      </w:pPr>
    </w:p>
    <w:p>
      <w:pPr>
        <w:ind w:left="500" w:hanging="316"/>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finance charges excluding the amortization of deferred direct origination costs for Dealer Loans.</w:t>
      </w:r>
    </w:p>
    <w:p>
      <w:pPr>
        <w:spacing w:after="0" w:line="1" w:lineRule="exact"/>
        <w:rPr>
          <w:rFonts w:ascii="Times New Roman" w:cs="Times New Roman" w:eastAsia="Times New Roman" w:hAnsi="Times New Roman"/>
          <w:sz w:val="14"/>
          <w:szCs w:val="14"/>
          <w:color w:val="auto"/>
        </w:rPr>
      </w:pPr>
    </w:p>
    <w:p>
      <w:pPr>
        <w:ind w:left="500" w:right="20" w:hanging="316"/>
        <w:spacing w:after="0" w:line="258"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our Portfolio Program, certain events may result in Dealers forfeiting their rights to Dealer Holdback. We transfer the Dealer’s outstanding Dealer Loan balance and related expected future net cash flows to Purchased Loans in the period this forfeiture occurs.</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related to new Consumer Loan assignments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2017</w:t>
            </w:r>
          </w:p>
        </w:tc>
        <w:tc>
          <w:tcPr>
            <w:tcW w:w="1060" w:type="dxa"/>
            <w:vAlign w:val="bottom"/>
            <w:tcBorders>
              <w:bottom w:val="single" w:sz="8" w:color="auto"/>
            </w:tcBorders>
          </w:tcPr>
          <w:p>
            <w:pPr>
              <w:spacing w:after="0"/>
              <w:rPr>
                <w:sz w:val="18"/>
                <w:szCs w:val="18"/>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net cash flows at the time of assignment (1)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1,190.9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net cash flows at the time of assignment (2)</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643.1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947.1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the time of assignment (3)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671.8</w:t>
            </w:r>
          </w:p>
        </w:tc>
      </w:tr>
      <w:tr>
        <w:trPr>
          <w:trHeight w:val="493"/>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2016</w:t>
            </w:r>
          </w:p>
        </w:tc>
        <w:tc>
          <w:tcPr>
            <w:tcW w:w="10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net cash flows at the time of assignment (1)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1,081.5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net cash flows at the time of assignment (2)</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881.3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the time of assignment (3)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627.4</w:t>
            </w:r>
          </w:p>
        </w:tc>
      </w:tr>
      <w:tr>
        <w:trPr>
          <w:trHeight w:val="493"/>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2017</w:t>
            </w:r>
          </w:p>
        </w:tc>
        <w:tc>
          <w:tcPr>
            <w:tcW w:w="10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net cash flows at the time of assignment (1)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1,580.5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2,596.5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net cash flows at the time of assignment (2)</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1,399.7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2,061.7</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the time of assignment (3)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1,463.3</w:t>
            </w:r>
          </w:p>
        </w:tc>
      </w:tr>
      <w:tr>
        <w:trPr>
          <w:trHeight w:val="493"/>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2016</w:t>
            </w:r>
          </w:p>
        </w:tc>
        <w:tc>
          <w:tcPr>
            <w:tcW w:w="10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40" w:type="dxa"/>
            <w:vAlign w:val="bottom"/>
          </w:tcPr>
          <w:p>
            <w:pPr>
              <w:spacing w:after="0"/>
              <w:rPr>
                <w:sz w:val="22"/>
                <w:szCs w:val="22"/>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net cash flows at the time of assignment (1)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2,338.2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net cash flows at the time of assignment (2)</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1,926.8</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the time of assignment (3)</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1,371.5</w:t>
            </w:r>
          </w:p>
        </w:tc>
      </w:tr>
      <w:tr>
        <w:trPr>
          <w:trHeight w:val="27"/>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jc w:val="both"/>
        <w:ind w:left="500" w:hanging="316"/>
        <w:spacing w:after="0" w:line="249"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the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the repayments that we were contractually owed at the time of assignment on Consumer Loans assigned under our Purchase Program.</w:t>
      </w:r>
    </w:p>
    <w:p>
      <w:pPr>
        <w:spacing w:after="0" w:line="1" w:lineRule="exact"/>
        <w:rPr>
          <w:rFonts w:ascii="Times New Roman" w:cs="Times New Roman" w:eastAsia="Times New Roman" w:hAnsi="Times New Roman"/>
          <w:sz w:val="14"/>
          <w:szCs w:val="14"/>
          <w:color w:val="auto"/>
        </w:rPr>
      </w:pPr>
    </w:p>
    <w:p>
      <w:pPr>
        <w:jc w:val="both"/>
        <w:ind w:left="500" w:hanging="316"/>
        <w:spacing w:after="0" w:line="241"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the repayments that we expected to collect at the time of assignment on Consumer Loans assigned under our Portfolio Program, less the related Dealer Holdback payments that we expected to make. The Purchased Loans amount represents the repayments that we expected to collect at the time of assignment on Consumer Loans assigned under our Purchase Program.</w:t>
      </w:r>
    </w:p>
    <w:p>
      <w:pPr>
        <w:spacing w:after="0" w:line="1" w:lineRule="exact"/>
        <w:rPr>
          <w:rFonts w:ascii="Times New Roman" w:cs="Times New Roman" w:eastAsia="Times New Roman" w:hAnsi="Times New Roman"/>
          <w:sz w:val="14"/>
          <w:szCs w:val="14"/>
          <w:color w:val="auto"/>
        </w:rPr>
      </w:pPr>
    </w:p>
    <w:p>
      <w:pPr>
        <w:ind w:left="500" w:hanging="316"/>
        <w:spacing w:after="0" w:line="258"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monitor and evaluate the credit quality of Consumer Loans assigned under our Portfolio and Purchase Programs on a monthly basis by comparing our current forecasted collection rates to our initial expectations. For additional information regarding credit quality, see Note 3 to the consolidated financial statements. The following table compares our forecast of Consumer Loan collection rates as of June 30, 2017, with the forecasts as of March 31, 2017, December 31, 2016 and at the time of assignment, segmented by year of assignment: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c>
          <w:tcPr>
            <w:tcW w:w="0" w:type="dxa"/>
            <w:vAlign w:val="bottom"/>
          </w:tcPr>
          <w:p>
            <w:pPr>
              <w:spacing w:after="0"/>
              <w:rPr>
                <w:sz w:val="1"/>
                <w:szCs w:val="1"/>
                <w:color w:val="auto"/>
              </w:rPr>
            </w:pPr>
          </w:p>
        </w:tc>
      </w:tr>
      <w:tr>
        <w:trPr>
          <w:trHeight w:val="151"/>
        </w:trPr>
        <w:tc>
          <w:tcPr>
            <w:tcW w:w="180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Consumer Loan</w:t>
            </w: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340" w:type="dxa"/>
            <w:vAlign w:val="bottom"/>
            <w:gridSpan w:val="2"/>
          </w:tcPr>
          <w:p>
            <w:pPr>
              <w:ind w:left="30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3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0" w:type="dxa"/>
            <w:vAlign w:val="bottom"/>
          </w:tcPr>
          <w:p>
            <w:pPr>
              <w:spacing w:after="0"/>
              <w:rPr>
                <w:sz w:val="1"/>
                <w:szCs w:val="1"/>
                <w:color w:val="auto"/>
              </w:rPr>
            </w:pPr>
          </w:p>
        </w:tc>
      </w:tr>
      <w:tr>
        <w:trPr>
          <w:trHeight w:val="207"/>
        </w:trPr>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360" w:type="dxa"/>
            <w:vAlign w:val="bottom"/>
            <w:gridSpan w:val="2"/>
            <w:vMerge w:val="continue"/>
          </w:tcPr>
          <w:p>
            <w:pPr>
              <w:spacing w:after="0"/>
              <w:rPr>
                <w:sz w:val="18"/>
                <w:szCs w:val="18"/>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3"/>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43"/>
        </w:trPr>
        <w:tc>
          <w:tcPr>
            <w:tcW w:w="17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2017 (2)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00" w:hanging="330"/>
        <w:spacing w:after="0" w:line="249"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Times New Roman" w:cs="Times New Roman" w:eastAsia="Times New Roman" w:hAnsi="Times New Roman"/>
          <w:sz w:val="14"/>
          <w:szCs w:val="14"/>
          <w:color w:val="auto"/>
        </w:rPr>
      </w:pPr>
    </w:p>
    <w:p>
      <w:pPr>
        <w:ind w:left="500" w:hanging="330"/>
        <w:spacing w:after="0" w:line="258"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 for 2017 Consumer Loans as of June 30, 2017 includes both Consumer Loans that were in our portfolio as of March 31, 2017 and Consumer Loans assigned during the most recent quarter. The following table provides forecasted collection rates for each of these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tcBorders>
              <w:bottom w:val="single" w:sz="8" w:color="auto"/>
            </w:tcBorders>
            <w:gridSpan w:val="5"/>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w:t>
            </w:r>
          </w:p>
        </w:tc>
        <w:tc>
          <w:tcPr>
            <w:tcW w:w="100" w:type="dxa"/>
            <w:vAlign w:val="bottom"/>
          </w:tcPr>
          <w:p>
            <w:pPr>
              <w:spacing w:after="0"/>
              <w:rPr>
                <w:sz w:val="18"/>
                <w:szCs w:val="18"/>
                <w:color w:val="auto"/>
              </w:rPr>
            </w:pPr>
          </w:p>
        </w:tc>
        <w:tc>
          <w:tcPr>
            <w:tcW w:w="294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r>
      <w:tr>
        <w:trPr>
          <w:trHeight w:val="264"/>
        </w:trPr>
        <w:tc>
          <w:tcPr>
            <w:tcW w:w="3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2017 Consumer Loan Assignment Period</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Initial Forecast</w:t>
            </w: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2017 through March 31, 2017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1, 2017 through June 30, 2017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Consumer Loans assigned in 2009 through 2013 and 2017 have yielded forecasted collection results materially better than our initial estimates, while Consumer Loans assigned in 2015 have yielded forecasted collection results materially worse than our initial estimates. For Consumer Loans assigned in 2008, 2014 and 2016, actual results have been close to our initial estimates. For the three months ended June 30, 2017, forecasted collection rates improved for Consumer Loans assigned in 2017, declined for Consumer Loans assigned in 2016 and were generally consistent with expectations at the start of the period for all other assignment years presented. For the six months ended June 30, 2017, forecasted collection rates improved for Consumer Loans assigned in 2017, declined for Consumer Loans assigned in 2015 and were generally consistent with expectations at the start of the period for all other assignment years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Advances paid to Dealers on Consumer Loans assigned under our Portfolio Program and one-time payments made to Dealers to purchase Consumer Loans assigned under our Purchase Program are aggregated into pools for purposes of recognizing revenue and evaluating impairment. As a result of this aggregation, we are not able to segment the carrying amounts of the majority of our Loan portfolio by year of assignment. We are able to segment our Loan portfolio by the performance of the Loan pools. Performance considers both the amount and timing of expected net cash flows and is measured by comparing the balance of the Loan pool to the discounted value of the expected future net cash flows of each Loan pool using the yield established at the time of assignment. The following table segments our Loan portfolio by the performance of the Loan pools: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6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4"/>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Loan Pool Performance</w:t>
            </w: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Loan Pool Performance</w:t>
            </w: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Meets or Exceeds Initial Estimates</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Initial Estimates</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600" w:type="dxa"/>
            <w:vAlign w:val="bottom"/>
          </w:tcPr>
          <w:p>
            <w:pPr>
              <w:spacing w:after="0"/>
              <w:rPr>
                <w:sz w:val="13"/>
                <w:szCs w:val="13"/>
                <w:color w:val="auto"/>
              </w:rPr>
            </w:pPr>
          </w:p>
        </w:tc>
        <w:tc>
          <w:tcPr>
            <w:tcW w:w="1020" w:type="dxa"/>
            <w:vAlign w:val="bottom"/>
          </w:tcPr>
          <w:p>
            <w:pPr>
              <w:ind w:left="500"/>
              <w:spacing w:after="0" w:line="151" w:lineRule="exact"/>
              <w:rPr>
                <w:sz w:val="20"/>
                <w:szCs w:val="20"/>
                <w:color w:val="auto"/>
              </w:rPr>
            </w:pPr>
            <w:r>
              <w:rPr>
                <w:rFonts w:ascii="Times New Roman" w:cs="Times New Roman" w:eastAsia="Times New Roman" w:hAnsi="Times New Roman"/>
                <w:sz w:val="14"/>
                <w:szCs w:val="14"/>
                <w:b w:val="1"/>
                <w:bCs w:val="1"/>
                <w:color w:val="auto"/>
              </w:rPr>
              <w:t>Dealer</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tcPr>
          <w:p>
            <w:pPr>
              <w:jc w:val="center"/>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100" w:type="dxa"/>
            <w:vAlign w:val="bottom"/>
          </w:tcPr>
          <w:p>
            <w:pPr>
              <w:ind w:left="480"/>
              <w:spacing w:after="0" w:line="151" w:lineRule="exact"/>
              <w:rPr>
                <w:sz w:val="20"/>
                <w:szCs w:val="20"/>
                <w:color w:val="auto"/>
              </w:rPr>
            </w:pPr>
            <w:r>
              <w:rPr>
                <w:rFonts w:ascii="Times New Roman" w:cs="Times New Roman" w:eastAsia="Times New Roman" w:hAnsi="Times New Roman"/>
                <w:sz w:val="14"/>
                <w:szCs w:val="14"/>
                <w:b w:val="1"/>
                <w:bCs w:val="1"/>
                <w:color w:val="auto"/>
              </w:rPr>
              <w:t>Dealer</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8"/>
                <w:szCs w:val="18"/>
                <w:color w:val="auto"/>
              </w:rPr>
            </w:pPr>
          </w:p>
        </w:tc>
        <w:tc>
          <w:tcPr>
            <w:tcW w:w="1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receivable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1,104.6</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1,789.6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2,280.7</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2,848.1</w:t>
            </w:r>
          </w:p>
        </w:tc>
      </w:tr>
      <w:tr>
        <w:trPr>
          <w:trHeight w:val="311"/>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r>
      <w:tr>
        <w:trPr>
          <w:trHeight w:val="257"/>
        </w:trPr>
        <w:tc>
          <w:tcPr>
            <w:tcW w:w="2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2,494.0</w:t>
            </w:r>
          </w:p>
        </w:tc>
      </w:tr>
      <w:tr>
        <w:trPr>
          <w:trHeight w:val="20"/>
        </w:trPr>
        <w:tc>
          <w:tcPr>
            <w:tcW w:w="2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60" w:type="dxa"/>
            <w:vAlign w:val="bottom"/>
            <w:gridSpan w:val="4"/>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Loan Pool Performance</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4"/>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Loan Pool Performance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Meets or Exceeds Initial Estimates</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Less than Initial Estimates</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19"/>
              <w:spacing w:after="0" w:line="151" w:lineRule="exact"/>
              <w:rPr>
                <w:sz w:val="20"/>
                <w:szCs w:val="20"/>
                <w:color w:val="auto"/>
              </w:rPr>
            </w:pPr>
            <w:r>
              <w:rPr>
                <w:rFonts w:ascii="Times New Roman" w:cs="Times New Roman" w:eastAsia="Times New Roman" w:hAnsi="Times New Roman"/>
                <w:sz w:val="14"/>
                <w:szCs w:val="14"/>
                <w:b w:val="1"/>
                <w:bCs w:val="1"/>
                <w:color w:val="auto"/>
              </w:rPr>
              <w:t>Dealer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57"/>
              <w:spacing w:after="0" w:line="151" w:lineRule="exact"/>
              <w:rPr>
                <w:sz w:val="20"/>
                <w:szCs w:val="20"/>
                <w:color w:val="auto"/>
              </w:rPr>
            </w:pPr>
            <w:r>
              <w:rPr>
                <w:rFonts w:ascii="Times New Roman" w:cs="Times New Roman" w:eastAsia="Times New Roman" w:hAnsi="Times New Roman"/>
                <w:sz w:val="14"/>
                <w:szCs w:val="14"/>
                <w:b w:val="1"/>
                <w:bCs w:val="1"/>
                <w:color w:val="auto"/>
              </w:rPr>
              <w:t>Dealer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Loans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1,002.2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705.8</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1,708.0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2,499.0</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1,002.2</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705.8</w:t>
            </w:r>
          </w:p>
        </w:tc>
        <w:tc>
          <w:tcPr>
            <w:tcW w:w="6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1,708.0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2,178.6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the allowance for credit losses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6"/>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2017</w:t>
            </w:r>
          </w:p>
        </w:tc>
        <w:tc>
          <w:tcPr>
            <w:tcW w:w="1180" w:type="dxa"/>
            <w:vAlign w:val="bottom"/>
            <w:tcBorders>
              <w:bottom w:val="single" w:sz="8" w:color="auto"/>
            </w:tcBorders>
          </w:tcPr>
          <w:p>
            <w:pPr>
              <w:spacing w:after="0"/>
              <w:rPr>
                <w:sz w:val="18"/>
                <w:szCs w:val="18"/>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20" w:type="dxa"/>
            <w:vAlign w:val="bottom"/>
          </w:tcPr>
          <w:p>
            <w:pPr>
              <w:spacing w:after="0"/>
              <w:rPr>
                <w:sz w:val="22"/>
                <w:szCs w:val="22"/>
                <w:color w:val="auto"/>
              </w:rPr>
            </w:pPr>
          </w:p>
        </w:tc>
        <w:tc>
          <w:tcPr>
            <w:tcW w:w="11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338.0</w:t>
            </w:r>
          </w:p>
        </w:tc>
      </w:tr>
      <w:tr>
        <w:trPr>
          <w:trHeight w:val="243"/>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4"/>
        </w:trPr>
        <w:tc>
          <w:tcPr>
            <w:tcW w:w="60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Recoveries (1)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354.1</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2016</w:t>
            </w:r>
          </w:p>
        </w:tc>
        <w:tc>
          <w:tcPr>
            <w:tcW w:w="11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20" w:type="dxa"/>
            <w:vAlign w:val="bottom"/>
          </w:tcPr>
          <w:p>
            <w:pPr>
              <w:spacing w:after="0"/>
              <w:rPr>
                <w:sz w:val="22"/>
                <w:szCs w:val="22"/>
                <w:color w:val="auto"/>
              </w:rPr>
            </w:pPr>
          </w:p>
        </w:tc>
        <w:tc>
          <w:tcPr>
            <w:tcW w:w="11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262.8</w:t>
            </w:r>
          </w:p>
        </w:tc>
      </w:tr>
      <w:tr>
        <w:trPr>
          <w:trHeight w:val="243"/>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84"/>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Recoveries (1)</w:t>
            </w:r>
          </w:p>
        </w:tc>
        <w:tc>
          <w:tcPr>
            <w:tcW w:w="280" w:type="dxa"/>
            <w:vAlign w:val="bottom"/>
          </w:tcPr>
          <w:p>
            <w:pPr>
              <w:spacing w:after="0"/>
              <w:rPr>
                <w:sz w:val="24"/>
                <w:szCs w:val="24"/>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276.9</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2017</w:t>
            </w:r>
          </w:p>
        </w:tc>
        <w:tc>
          <w:tcPr>
            <w:tcW w:w="11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20" w:type="dxa"/>
            <w:vAlign w:val="bottom"/>
          </w:tcPr>
          <w:p>
            <w:pPr>
              <w:spacing w:after="0"/>
              <w:rPr>
                <w:sz w:val="22"/>
                <w:szCs w:val="22"/>
                <w:color w:val="auto"/>
              </w:rPr>
            </w:pPr>
          </w:p>
        </w:tc>
        <w:tc>
          <w:tcPr>
            <w:tcW w:w="11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320.4</w:t>
            </w:r>
          </w:p>
        </w:tc>
      </w:tr>
      <w:tr>
        <w:trPr>
          <w:trHeight w:val="243"/>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84"/>
        </w:trPr>
        <w:tc>
          <w:tcPr>
            <w:tcW w:w="60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Recoveries (1)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354.1</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2016</w:t>
            </w:r>
          </w:p>
        </w:tc>
        <w:tc>
          <w:tcPr>
            <w:tcW w:w="11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520" w:type="dxa"/>
            <w:vAlign w:val="bottom"/>
          </w:tcPr>
          <w:p>
            <w:pPr>
              <w:spacing w:after="0"/>
              <w:rPr>
                <w:sz w:val="22"/>
                <w:szCs w:val="22"/>
                <w:color w:val="auto"/>
              </w:rPr>
            </w:pPr>
          </w:p>
        </w:tc>
        <w:tc>
          <w:tcPr>
            <w:tcW w:w="11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243.6</w:t>
            </w:r>
          </w:p>
        </w:tc>
      </w:tr>
      <w:tr>
        <w:trPr>
          <w:trHeight w:val="243"/>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84"/>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Recoveries (1)</w:t>
            </w:r>
          </w:p>
        </w:tc>
        <w:tc>
          <w:tcPr>
            <w:tcW w:w="280" w:type="dxa"/>
            <w:vAlign w:val="bottom"/>
          </w:tcPr>
          <w:p>
            <w:pPr>
              <w:spacing w:after="0"/>
              <w:rPr>
                <w:sz w:val="24"/>
                <w:szCs w:val="24"/>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276.9</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4"/>
          <w:szCs w:val="14"/>
          <w:color w:val="auto"/>
        </w:rPr>
        <w:t>(1)</w:t>
        <w:tab/>
        <w:t>Represents collections received on previously written off Loans.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reinsurance activity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08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gridSpan w:val="6"/>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500" w:type="dxa"/>
            <w:vAlign w:val="bottom"/>
          </w:tcPr>
          <w:p>
            <w:pPr>
              <w:spacing w:after="0"/>
              <w:rPr>
                <w:sz w:val="13"/>
                <w:szCs w:val="13"/>
                <w:color w:val="auto"/>
              </w:rPr>
            </w:pPr>
          </w:p>
        </w:tc>
      </w:tr>
      <w:tr>
        <w:trPr>
          <w:trHeight w:val="207"/>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9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8"/>
                <w:szCs w:val="18"/>
                <w:color w:val="auto"/>
              </w:rPr>
            </w:pPr>
          </w:p>
        </w:tc>
      </w:tr>
      <w:tr>
        <w:trPr>
          <w:trHeight w:val="264"/>
        </w:trPr>
        <w:tc>
          <w:tcPr>
            <w:tcW w:w="274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assumed written premiums</w:t>
            </w:r>
          </w:p>
        </w:tc>
        <w:tc>
          <w:tcPr>
            <w:tcW w:w="3240" w:type="dxa"/>
            <w:vAlign w:val="bottom"/>
            <w:tcBorders>
              <w:bottom w:val="single" w:sz="8" w:color="CCEEFF"/>
            </w:tcBorders>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1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2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claims</w:t>
            </w:r>
          </w:p>
        </w:tc>
        <w:tc>
          <w:tcPr>
            <w:tcW w:w="1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5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Amortization of capitalized acquisition costs</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459"/>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trust assets and related reinsurance liabilities are as follows: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9"/>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64"/>
        </w:trPr>
        <w:tc>
          <w:tcPr>
            <w:tcW w:w="2740" w:type="dxa"/>
            <w:vAlign w:val="bottom"/>
            <w:tcBorders>
              <w:bottom w:val="single" w:sz="8" w:color="CCEEFF"/>
            </w:tcBorders>
          </w:tcPr>
          <w:p>
            <w:pPr>
              <w:spacing w:after="0"/>
              <w:rPr>
                <w:sz w:val="22"/>
                <w:szCs w:val="22"/>
                <w:color w:val="auto"/>
              </w:rPr>
            </w:pPr>
          </w:p>
        </w:tc>
        <w:tc>
          <w:tcPr>
            <w:tcW w:w="3240" w:type="dxa"/>
            <w:vAlign w:val="bottom"/>
            <w:tcBorders>
              <w:bottom w:val="single" w:sz="8" w:color="auto"/>
            </w:tcBorders>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Trust assets</w:t>
            </w:r>
          </w:p>
        </w:tc>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 assets</w:t>
            </w:r>
          </w:p>
        </w:tc>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2740" w:type="dxa"/>
            <w:vAlign w:val="bottom"/>
          </w:tcPr>
          <w:p>
            <w:pPr>
              <w:spacing w:after="0"/>
              <w:rPr>
                <w:sz w:val="2"/>
                <w:szCs w:val="2"/>
                <w:color w:val="auto"/>
              </w:rPr>
            </w:pPr>
          </w:p>
        </w:tc>
        <w:tc>
          <w:tcPr>
            <w:tcW w:w="32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premium</w:t>
            </w:r>
          </w:p>
        </w:tc>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reserve (1)</w:t>
            </w:r>
          </w:p>
        </w:tc>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0" w:lineRule="exact"/>
        <w:rPr>
          <w:sz w:val="20"/>
          <w:szCs w:val="20"/>
          <w:color w:val="auto"/>
        </w:rPr>
      </w:pPr>
    </w:p>
    <w:p>
      <w:pPr>
        <w:ind w:left="500" w:hanging="33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reserve represents our liability for incurred-but-not-reported claims and is estimated based on historical claims experience.</w:t>
      </w: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millions)</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Secured financing (1)</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notes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debt</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millions)</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Secured financing (1)</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notes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48450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45050" cy="1714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20" w:type="dxa"/>
            <w:vAlign w:val="bottom"/>
            <w:vMerge w:val="restart"/>
          </w:tcPr>
          <w:p>
            <w:pPr>
              <w:spacing w:after="0"/>
              <w:rPr>
                <w:sz w:val="13"/>
                <w:szCs w:val="13"/>
                <w:color w:val="auto"/>
              </w:rPr>
            </w:pPr>
          </w:p>
        </w:tc>
        <w:tc>
          <w:tcPr>
            <w:tcW w:w="1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Unamortized Debt Issuance</w:t>
            </w:r>
          </w:p>
        </w:tc>
        <w:tc>
          <w:tcPr>
            <w:tcW w:w="180" w:type="dxa"/>
            <w:vAlign w:val="bottom"/>
          </w:tcPr>
          <w:p>
            <w:pPr>
              <w:spacing w:after="0"/>
              <w:rPr>
                <w:sz w:val="13"/>
                <w:szCs w:val="13"/>
                <w:color w:val="auto"/>
              </w:rPr>
            </w:pPr>
          </w:p>
        </w:tc>
        <w:tc>
          <w:tcPr>
            <w:tcW w:w="16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Unamortized Discount</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7"/>
        </w:trPr>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2,485.2</w:t>
            </w:r>
          </w:p>
        </w:tc>
        <w:tc>
          <w:tcPr>
            <w:tcW w:w="12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2,472.3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r>
        <w:trPr>
          <w:trHeight w:val="34"/>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3,035.2</w:t>
            </w:r>
          </w:p>
        </w:tc>
        <w:tc>
          <w:tcPr>
            <w:tcW w:w="12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3,014.4</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1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20" w:type="dxa"/>
            <w:vAlign w:val="bottom"/>
            <w:vMerge w:val="restart"/>
          </w:tcPr>
          <w:p>
            <w:pPr>
              <w:spacing w:after="0"/>
              <w:rPr>
                <w:sz w:val="13"/>
                <w:szCs w:val="13"/>
                <w:color w:val="auto"/>
              </w:rPr>
            </w:pPr>
          </w:p>
        </w:tc>
        <w:tc>
          <w:tcPr>
            <w:tcW w:w="19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Unamortized Debt Issuance</w:t>
            </w:r>
          </w:p>
        </w:tc>
        <w:tc>
          <w:tcPr>
            <w:tcW w:w="180" w:type="dxa"/>
            <w:vAlign w:val="bottom"/>
          </w:tcPr>
          <w:p>
            <w:pPr>
              <w:spacing w:after="0"/>
              <w:rPr>
                <w:sz w:val="13"/>
                <w:szCs w:val="13"/>
                <w:color w:val="auto"/>
              </w:rPr>
            </w:pPr>
          </w:p>
        </w:tc>
        <w:tc>
          <w:tcPr>
            <w:tcW w:w="16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Unamortized Discount</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center"/>
              <w:ind w:right="277"/>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7"/>
        </w:trPr>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2,072.1</w:t>
            </w:r>
          </w:p>
        </w:tc>
        <w:tc>
          <w:tcPr>
            <w:tcW w:w="12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2,062.4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34"/>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2,622.1</w:t>
            </w:r>
          </w:p>
        </w:tc>
        <w:tc>
          <w:tcPr>
            <w:tcW w:w="12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2,603.7</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-1362710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-565150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-205105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-1731645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ind w:left="500" w:hanging="330"/>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Warehouse facilities and Term ABS.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information for each of our financing transactions in place as of June 30, 2017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5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Financings</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Wholly-owned</w:t>
            </w:r>
          </w:p>
        </w:tc>
        <w:tc>
          <w:tcPr>
            <w:tcW w:w="17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Rate as of</w:t>
            </w:r>
          </w:p>
        </w:tc>
        <w:tc>
          <w:tcPr>
            <w:tcW w:w="0" w:type="dxa"/>
            <w:vAlign w:val="bottom"/>
          </w:tcPr>
          <w:p>
            <w:pPr>
              <w:spacing w:after="0"/>
              <w:rPr>
                <w:sz w:val="1"/>
                <w:szCs w:val="1"/>
                <w:color w:val="auto"/>
              </w:rPr>
            </w:pPr>
          </w:p>
        </w:tc>
      </w:tr>
      <w:tr>
        <w:trPr>
          <w:trHeight w:val="207"/>
        </w:trPr>
        <w:tc>
          <w:tcPr>
            <w:tcW w:w="2540" w:type="dxa"/>
            <w:vAlign w:val="bottom"/>
            <w:gridSpan w:val="2"/>
            <w:vMerge w:val="continue"/>
          </w:tcPr>
          <w:p>
            <w:pPr>
              <w:spacing w:after="0"/>
              <w:rPr>
                <w:sz w:val="18"/>
                <w:szCs w:val="18"/>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7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25"/>
        </w:trPr>
        <w:tc>
          <w:tcPr>
            <w:tcW w:w="2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our option, either LIBOR plus 187.5</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Secured Line of</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points or the prime rate plus 87.5</w:t>
            </w:r>
          </w:p>
        </w:tc>
        <w:tc>
          <w:tcPr>
            <w:tcW w:w="0" w:type="dxa"/>
            <w:vAlign w:val="bottom"/>
          </w:tcPr>
          <w:p>
            <w:pPr>
              <w:spacing w:after="0"/>
              <w:rPr>
                <w:sz w:val="1"/>
                <w:szCs w:val="1"/>
                <w:color w:val="auto"/>
              </w:rPr>
            </w:pPr>
          </w:p>
        </w:tc>
      </w:tr>
      <w:tr>
        <w:trPr>
          <w:trHeight w:val="241"/>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w:t>
            </w:r>
          </w:p>
        </w:tc>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06/22/2020</w:t>
            </w: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345.0</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points</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CAC Warehouse Funding</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Warehouse Facility II (2)</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Corp. II</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06/23/2019</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LIBOR plus 225 basis points (3)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CAC Warehouse Funding LLC</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Warehouse Facility IV (2)</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IV</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04/30/2020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 plus 225 basis points (3)</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CAC Warehouse Funding LLC</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Warehouse Facility V (2)</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V</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08/18/2019</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LIBOR plus 225 basis points (3)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CAC Warehouse Funding LLC</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Warehouse Facility VI (2)</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VI</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09/30/2018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 plus 200 basis points</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2014-2 (2)</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LLC 2014-2</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09/15/2016</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349.0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ABS 2015-1 (2)</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LLC 2015-1</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01/16/2017</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300.6</w:t>
            </w: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2015-2 (2)</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LLC 2015-2</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08/15/2017</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ABS 2016-1 (2)</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LLC 2016-1</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02/15/2018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385.0</w:t>
            </w: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 plus 195 basis points (3)</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2016-2 (2)</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LLC 2016-2</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05/15/2018</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ABS 2016-3 (2)</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LLC 2016-3</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10/15/2018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350.0</w:t>
            </w: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2017-1 (2)</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LLC 2017-1</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02/15/2019</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Credit Acceptance Funding</w:t>
            </w: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Term ABS 2017-2 (2)</w:t>
            </w:r>
          </w:p>
        </w:tc>
        <w:tc>
          <w:tcPr>
            <w:tcW w:w="2420" w:type="dxa"/>
            <w:vAlign w:val="bottom"/>
            <w:tcBorders>
              <w:bottom w:val="single" w:sz="8" w:color="CCEEFF"/>
            </w:tcBorders>
            <w:gridSpan w:val="2"/>
            <w:shd w:val="clear" w:color="auto" w:fill="CCEEFF"/>
          </w:tcPr>
          <w:p>
            <w:pPr>
              <w:jc w:val="center"/>
              <w:ind w:right="140"/>
              <w:spacing w:after="0" w:line="202" w:lineRule="exact"/>
              <w:rPr>
                <w:sz w:val="20"/>
                <w:szCs w:val="20"/>
                <w:color w:val="auto"/>
              </w:rPr>
            </w:pPr>
            <w:r>
              <w:rPr>
                <w:rFonts w:ascii="Times New Roman" w:cs="Times New Roman" w:eastAsia="Times New Roman" w:hAnsi="Times New Roman"/>
                <w:sz w:val="18"/>
                <w:szCs w:val="18"/>
                <w:color w:val="auto"/>
                <w:w w:val="98"/>
              </w:rPr>
              <w:t>LLC 2017-2</w:t>
            </w:r>
          </w:p>
        </w:tc>
        <w:tc>
          <w:tcPr>
            <w:tcW w:w="1080" w:type="dxa"/>
            <w:vAlign w:val="bottom"/>
            <w:tcBorders>
              <w:bottom w:val="single" w:sz="8" w:color="CCEEFF"/>
            </w:tcBorders>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06/17/2019</w:t>
            </w:r>
          </w:p>
        </w:tc>
        <w:tc>
          <w:tcPr>
            <w:tcW w:w="500" w:type="dxa"/>
            <w:vAlign w:val="bottom"/>
            <w:tcBorders>
              <w:bottom w:val="single" w:sz="8" w:color="CCEEFF"/>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450.0</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Fixed rate</w:t>
            </w:r>
          </w:p>
        </w:tc>
        <w:tc>
          <w:tcPr>
            <w:tcW w:w="2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 Senior Notes</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02/15/2021</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 Senior Notes</w:t>
            </w: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03/15/2023</w:t>
            </w: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316"/>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facility will decrease to $300.0 million on June 22, 2019.</w:t>
      </w:r>
    </w:p>
    <w:p>
      <w:pPr>
        <w:spacing w:after="0" w:line="17" w:lineRule="exact"/>
        <w:rPr>
          <w:rFonts w:ascii="Times New Roman" w:cs="Times New Roman" w:eastAsia="Times New Roman" w:hAnsi="Times New Roman"/>
          <w:sz w:val="14"/>
          <w:szCs w:val="14"/>
          <w:color w:val="auto"/>
        </w:rPr>
      </w:pPr>
    </w:p>
    <w:p>
      <w:pPr>
        <w:ind w:left="500" w:hanging="316"/>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made available only to a specified subsidiary of the Company.</w:t>
      </w:r>
    </w:p>
    <w:p>
      <w:pPr>
        <w:spacing w:after="0" w:line="1" w:lineRule="exact"/>
        <w:rPr>
          <w:rFonts w:ascii="Times New Roman" w:cs="Times New Roman" w:eastAsia="Times New Roman" w:hAnsi="Times New Roman"/>
          <w:sz w:val="14"/>
          <w:szCs w:val="14"/>
          <w:color w:val="auto"/>
        </w:rPr>
      </w:pPr>
    </w:p>
    <w:p>
      <w:pPr>
        <w:ind w:left="500" w:hanging="316"/>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cap agreements are in place to limit the exposure to increasing interest rates.</w:t>
      </w:r>
    </w:p>
    <w:p>
      <w:pPr>
        <w:spacing w:after="0" w:line="1" w:lineRule="exact"/>
        <w:rPr>
          <w:rFonts w:ascii="Times New Roman" w:cs="Times New Roman" w:eastAsia="Times New Roman" w:hAnsi="Times New Roman"/>
          <w:sz w:val="14"/>
          <w:szCs w:val="14"/>
          <w:color w:val="auto"/>
        </w:rPr>
      </w:pPr>
    </w:p>
    <w:p>
      <w:pPr>
        <w:ind w:left="500" w:hanging="316"/>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revolving maturity date. The outstanding balance will amortize after the revolving maturity date based on the cash flows of the pledged assets.</w:t>
      </w:r>
    </w:p>
    <w:p>
      <w:pPr>
        <w:spacing w:after="0" w:line="1" w:lineRule="exact"/>
        <w:rPr>
          <w:rFonts w:ascii="Times New Roman" w:cs="Times New Roman" w:eastAsia="Times New Roman" w:hAnsi="Times New Roman"/>
          <w:sz w:val="14"/>
          <w:szCs w:val="14"/>
          <w:color w:val="auto"/>
        </w:rPr>
      </w:pPr>
    </w:p>
    <w:p>
      <w:pPr>
        <w:ind w:left="500" w:hanging="316"/>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revolving maturity date. The outstanding balance will amortize after the revolving maturity date and any amounts remaining on August 18, 2021 will be due on that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related to the amounts outstanding on each facility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74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2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07"/>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8"/>
                <w:szCs w:val="18"/>
                <w:color w:val="auto"/>
              </w:rPr>
            </w:pPr>
          </w:p>
        </w:tc>
      </w:tr>
      <w:tr>
        <w:trPr>
          <w:trHeight w:val="264"/>
        </w:trPr>
        <w:tc>
          <w:tcPr>
            <w:tcW w:w="4700" w:type="dxa"/>
            <w:vAlign w:val="bottom"/>
          </w:tcPr>
          <w:p>
            <w:pPr>
              <w:spacing w:after="0"/>
              <w:rPr>
                <w:sz w:val="22"/>
                <w:szCs w:val="22"/>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Revolving Secured Line of Credit</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3"/>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186.4</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178.8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39.4</w:t>
            </w: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II</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263.4</w:t>
            </w:r>
          </w:p>
        </w:tc>
        <w:tc>
          <w:tcPr>
            <w:tcW w:w="100" w:type="dxa"/>
            <w:vAlign w:val="bottom"/>
          </w:tcPr>
          <w:p>
            <w:pPr>
              <w:spacing w:after="0"/>
              <w:rPr>
                <w:sz w:val="21"/>
                <w:szCs w:val="21"/>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200.1</w:t>
            </w: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IV</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V</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100.0</w:t>
            </w:r>
          </w:p>
        </w:tc>
        <w:tc>
          <w:tcPr>
            <w:tcW w:w="100" w:type="dxa"/>
            <w:vAlign w:val="bottom"/>
          </w:tcPr>
          <w:p>
            <w:pPr>
              <w:spacing w:after="0"/>
              <w:rPr>
                <w:sz w:val="21"/>
                <w:szCs w:val="21"/>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VI</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49.9</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648"/>
        </w:trPr>
        <w:tc>
          <w:tcPr>
            <w:tcW w:w="4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264"/>
        </w:trPr>
        <w:tc>
          <w:tcPr>
            <w:tcW w:w="7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22"/>
                <w:szCs w:val="22"/>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30"/>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Revolving Secured Line of Credit</w:t>
            </w: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310.0</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II</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400.0</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IV</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63.0</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V</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Warehouse Facility VI</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2014-1</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106.5</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30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307.2</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Pr>
          <w:p>
            <w:pPr>
              <w:spacing w:after="0"/>
              <w:rPr>
                <w:sz w:val="21"/>
                <w:szCs w:val="21"/>
                <w:color w:val="auto"/>
              </w:rPr>
            </w:pPr>
          </w:p>
        </w:tc>
        <w:tc>
          <w:tcPr>
            <w:tcW w:w="15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2014-2</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267.6</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413.9</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2015-1</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300.6</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374.5</w:t>
            </w:r>
          </w:p>
        </w:tc>
      </w:tr>
      <w:tr>
        <w:trPr>
          <w:trHeight w:val="27"/>
        </w:trPr>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2015-2</w:t>
            </w:r>
          </w:p>
        </w:tc>
        <w:tc>
          <w:tcPr>
            <w:tcW w:w="2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300.2</w:t>
            </w:r>
          </w:p>
        </w:tc>
        <w:tc>
          <w:tcPr>
            <w:tcW w:w="7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300.2</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364.4</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372.6</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2016-1</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385.0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385.0</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463.3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474.0</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39.1</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2016-2</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350.2</w:t>
            </w:r>
          </w:p>
        </w:tc>
        <w:tc>
          <w:tcPr>
            <w:tcW w:w="7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350.2</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422.1</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490.7</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34.4</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2016-3</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350.0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448.4</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489.6</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34.4</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2017-1</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350.0</w:t>
            </w:r>
          </w:p>
        </w:tc>
        <w:tc>
          <w:tcPr>
            <w:tcW w:w="7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456.3</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34.2</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Term ABS 2017-2</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450.0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572.9</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71.3</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2021 Senior Notes</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300.0</w:t>
            </w:r>
          </w:p>
        </w:tc>
        <w:tc>
          <w:tcPr>
            <w:tcW w:w="7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6.125%</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2023 Senior Notes</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2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7.375%</w:t>
            </w: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r>
      <w:tr>
        <w:trPr>
          <w:trHeight w:val="27"/>
        </w:trPr>
        <w:tc>
          <w:tcPr>
            <w:tcW w:w="6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500" w:hanging="330"/>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may be limited by the amount of assets pledged as collateral.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Secured Line of Credit Facility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$345.0 million revolving secured line of credit facility with a commercial bank syndicate. The amount of the facility will decrease to $300.0 million on June 22, 2019. Borrowings under the revolving secured line of credit facility, including any letters of credit issued under the facility, are subject to a borrowing-base limitation. This limitation equals 80% of the net book value of Loans,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Warehouse Facilities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four Warehouse facilities with total borrowing capacity of $675.0 million. Each of the facilities are with different lenders. Under each Warehouse facility, we can contribute Loans to our wholly-owned subsidiaries in return for cash and equity in each subsidiary. In turn, each subsidiary pledges the Loans as collateral to lenders to secure financing that will fund the cash portion of the purchase price of the Loans. The financing provided to each subsidiary under the applicable facility is limited to the lesser of 80% of the net book value of the contributed Loans plus the restricted cash and cash equivalents pledged as collateral on such Loans or the facility limit.</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subsidiaries pay us a monthly servicing fee equal to 6% of the collections received with respect to the contributed Loans. The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Term ABS Financings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wholly-owned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that of Term ABS 2016-1, contributed the Loans to a respective trust that issued notes to qualified institutional investors. The Funding LLC for the Term ABS 2016-1 transaction pledged the Loans to lenders. The Term ABS 2014-2, 2015-1, 2015-2, 2016-2, 2016-3, 2017-1 and 2017-2 transactions each consist of three classes of notes. The Class C Notes for Term ABS 2014-2 do not bear interest and have been retained by us.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financing at the time of issuance has a specified revolving period during which we may be required, and are likely, to contribute additional Loans to each Funding LLC. If applicable, each Funding LLC will then contribute the Loans to their respective trust. At the end of the revolving period, the debt outstanding under each financing will begin to amortize.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financings create indebtedness for which the trusts or Funding LLC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6%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certain additional details regarding the outstanding Term ABS financings: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Term ABS Financings</w:t>
            </w:r>
          </w:p>
        </w:tc>
        <w:tc>
          <w:tcPr>
            <w:tcW w:w="120" w:type="dxa"/>
            <w:vAlign w:val="bottom"/>
            <w:vMerge w:val="restart"/>
          </w:tcPr>
          <w:p>
            <w:pPr>
              <w:spacing w:after="0"/>
              <w:rPr>
                <w:sz w:val="13"/>
                <w:szCs w:val="13"/>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Close Date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 of Loans</w:t>
            </w: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24 month Revolving Period</w:t>
            </w:r>
          </w:p>
        </w:tc>
        <w:tc>
          <w:tcPr>
            <w:tcW w:w="0" w:type="dxa"/>
            <w:vAlign w:val="bottom"/>
          </w:tcPr>
          <w:p>
            <w:pPr>
              <w:spacing w:after="0"/>
              <w:rPr>
                <w:sz w:val="1"/>
                <w:szCs w:val="1"/>
                <w:color w:val="auto"/>
              </w:rPr>
            </w:pPr>
          </w:p>
        </w:tc>
      </w:tr>
      <w:tr>
        <w:trPr>
          <w:trHeight w:val="207"/>
        </w:trPr>
        <w:tc>
          <w:tcPr>
            <w:tcW w:w="2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Contributed at Closing</w:t>
            </w:r>
          </w:p>
        </w:tc>
        <w:tc>
          <w:tcPr>
            <w:tcW w:w="120" w:type="dxa"/>
            <w:vAlign w:val="bottom"/>
            <w:tcBorders>
              <w:bottom w:val="single" w:sz="8" w:color="CCEEFF"/>
            </w:tcBorders>
          </w:tcPr>
          <w:p>
            <w:pPr>
              <w:spacing w:after="0"/>
              <w:rPr>
                <w:sz w:val="18"/>
                <w:szCs w:val="18"/>
                <w:color w:val="auto"/>
              </w:rPr>
            </w:pPr>
          </w:p>
        </w:tc>
        <w:tc>
          <w:tcPr>
            <w:tcW w:w="4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ABS 2014-2</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25,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 September 15, 2016</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2015-1</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29, 2015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January 16, 2017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ABS 2015-2</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20,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 August 15, 2017</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2016-1</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26, 2016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February 15, 2018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ABS 2016-2</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12,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 May 15, 2018</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2016-3</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27, 2016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437.8</w:t>
            </w:r>
          </w:p>
        </w:tc>
        <w:tc>
          <w:tcPr>
            <w:tcW w:w="1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October 15, 2018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ABS 2017-1</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23,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 February 15, 2019</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ABS 2017-2</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29, 2017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563.2</w:t>
            </w:r>
          </w:p>
        </w:tc>
        <w:tc>
          <w:tcPr>
            <w:tcW w:w="1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June 17, 2019</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30, 2015, we issued $250.0 million aggregate principal amount of 7.375% senior notes due 2023 (the “2023 senior notes”). The 2023 senior notes were issued pursuant to an indenture, dated as of March 30, 2015, among the Company, as issuer, the Company’s subsidiaries Buyers Vehicle Protection Plan, Inc. and Vehicle Remarketing Services, Inc., as guarantors (collectively, the “Guarantors”), and U.S. Bank National Association, as trustee.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2023 senior notes mature on March 15, 2023 and bear interest at a rate of 7.375% per annum, computed on the basis of a 360-day year composed of twelve 30-day months and payable semi-annually on March 15 and September 15 of each year, beginning on September 15, 2015. The 2023 senior notes were issued at a price of 99.266% of their aggregate principal amount, resulting in gross proceeds of $248.2 million, and a yield to maturity of 7.5% per annum. We used the net proceeds from the offering of the notes for general corporate purposes, including repayment of outstanding borrowings under our revolving secured line of credit facility.</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22, 2014, we issued $300.0 million aggregate principal amount of 6.125% senior notes due 2021 (the “2021 senior notes”). The 2021 senior notes were issued pursuant to an indenture, dated as of January 22, 2014, among the Company, the Guarantors, and U.S. Bank National Association, as trustee.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2021 senior notes mature on February 15, 2021 and bear interest at a rate of 6.125% per annum, computed on the basis of a 360-day year composed of twelve 30-day months and payable semi-annually on February 15 and August 15 of each year, beginning on August 15, 2014. We used the net proceeds from the 2021 senior notes, together with borrowings under our revolving credit facilities, to redeem in full the $350.0 million aggregate principal amount of our 9.125% first priority senior secured notes due 2017 on February 21, 2014.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Both the 2021 and the 2023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2017, we were in compliance with our covenants under the revolving secured line of credit facility,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These covenants also limit the maximum ratio of our funded debt less unrestricted cash and cash equivalents to tangible net worth. Additionally, we must maintain consolidated net income of not less than $1 for the two most recently ended fiscal quarters. Some of these covenants may indirectly limit the repurchase of common stock or payment of dividends on common stock.</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Warehouse facilities and Term ABS financings also contain covenants that measure the performance of the contributed assets. As of June 30, 2017, we were in compliance with all such covenants. As of the end of the quarter, we were also in compliance with our covenants under the senior notes indentures.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AND HEDGING INSTRUMENTS</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Caps. </w:t>
      </w:r>
      <w:r>
        <w:rPr>
          <w:rFonts w:ascii="Times New Roman" w:cs="Times New Roman" w:eastAsia="Times New Roman" w:hAnsi="Times New Roman"/>
          <w:sz w:val="18"/>
          <w:szCs w:val="18"/>
          <w:color w:val="auto"/>
        </w:rPr>
        <w:t>We utilize interest rate cap agreements to manage the interest rate risk on certain secured financings. The following tables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our interest rate cap agreements that were in effect as of June 30, 2017 and December 31, 2016:</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2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Facility Amount</w:t>
            </w:r>
          </w:p>
        </w:tc>
        <w:tc>
          <w:tcPr>
            <w:tcW w:w="100" w:type="dxa"/>
            <w:vAlign w:val="bottom"/>
            <w:vMerge w:val="restart"/>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vMerge w:val="restart"/>
          </w:tcPr>
          <w:p>
            <w:pPr>
              <w:spacing w:after="0"/>
              <w:rPr>
                <w:sz w:val="13"/>
                <w:szCs w:val="13"/>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8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0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 Interest Rate</w:t>
            </w:r>
          </w:p>
        </w:tc>
        <w:tc>
          <w:tcPr>
            <w:tcW w:w="0" w:type="dxa"/>
            <w:vAlign w:val="bottom"/>
          </w:tcPr>
          <w:p>
            <w:pPr>
              <w:spacing w:after="0"/>
              <w:rPr>
                <w:sz w:val="1"/>
                <w:szCs w:val="1"/>
                <w:color w:val="auto"/>
              </w:rPr>
            </w:pPr>
          </w:p>
        </w:tc>
      </w:tr>
      <w:tr>
        <w:trPr>
          <w:trHeight w:val="207"/>
        </w:trPr>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Warehouse Facility II</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shd w:val="clear" w:color="auto" w:fill="CCEEFF"/>
          </w:tcPr>
          <w:p>
            <w:pPr>
              <w:jc w:val="center"/>
              <w:ind w:right="173"/>
              <w:spacing w:after="0"/>
              <w:rPr>
                <w:sz w:val="20"/>
                <w:szCs w:val="20"/>
                <w:color w:val="auto"/>
              </w:rPr>
            </w:pPr>
            <w:r>
              <w:rPr>
                <w:rFonts w:ascii="Times New Roman" w:cs="Times New Roman" w:eastAsia="Times New Roman" w:hAnsi="Times New Roman"/>
                <w:sz w:val="18"/>
                <w:szCs w:val="18"/>
                <w:color w:val="auto"/>
                <w:w w:val="98"/>
              </w:rPr>
              <w:t>06/2016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Warehouse Facility IV</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shd w:val="clear" w:color="auto" w:fill="CCEEFF"/>
          </w:tcPr>
          <w:p>
            <w:pPr>
              <w:jc w:val="center"/>
              <w:ind w:right="173"/>
              <w:spacing w:after="0"/>
              <w:rPr>
                <w:sz w:val="20"/>
                <w:szCs w:val="20"/>
                <w:color w:val="auto"/>
              </w:rPr>
            </w:pPr>
            <w:r>
              <w:rPr>
                <w:rFonts w:ascii="Times New Roman" w:cs="Times New Roman" w:eastAsia="Times New Roman" w:hAnsi="Times New Roman"/>
                <w:sz w:val="18"/>
                <w:szCs w:val="18"/>
                <w:color w:val="auto"/>
                <w:w w:val="98"/>
              </w:rPr>
              <w:t>04/2016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84"/>
        </w:trPr>
        <w:tc>
          <w:tcPr>
            <w:tcW w:w="1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tcPr>
          <w:p>
            <w:pPr>
              <w:jc w:val="center"/>
              <w:ind w:right="173"/>
              <w:spacing w:after="0"/>
              <w:rPr>
                <w:sz w:val="20"/>
                <w:szCs w:val="20"/>
                <w:color w:val="auto"/>
              </w:rPr>
            </w:pPr>
            <w:r>
              <w:rPr>
                <w:rFonts w:ascii="Times New Roman" w:cs="Times New Roman" w:eastAsia="Times New Roman" w:hAnsi="Times New Roman"/>
                <w:sz w:val="18"/>
                <w:szCs w:val="18"/>
                <w:color w:val="auto"/>
                <w:w w:val="98"/>
              </w:rPr>
              <w:t>05/2017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04/2021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Warehouse Facility V</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shd w:val="clear" w:color="auto" w:fill="CCEEFF"/>
          </w:tcPr>
          <w:p>
            <w:pPr>
              <w:jc w:val="center"/>
              <w:ind w:right="173"/>
              <w:spacing w:after="0"/>
              <w:rPr>
                <w:sz w:val="20"/>
                <w:szCs w:val="20"/>
                <w:color w:val="auto"/>
              </w:rPr>
            </w:pPr>
            <w:r>
              <w:rPr>
                <w:rFonts w:ascii="Times New Roman" w:cs="Times New Roman" w:eastAsia="Times New Roman" w:hAnsi="Times New Roman"/>
                <w:sz w:val="18"/>
                <w:szCs w:val="18"/>
                <w:color w:val="auto"/>
                <w:w w:val="98"/>
              </w:rPr>
              <w:t>06/2015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07/2018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21"/>
                <w:szCs w:val="21"/>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ABS 2016-1</w:t>
            </w:r>
          </w:p>
        </w:tc>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8"/>
              </w:rPr>
              <w:t>04/2016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638"/>
        </w:trPr>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12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Facility Amount</w:t>
            </w:r>
          </w:p>
        </w:tc>
        <w:tc>
          <w:tcPr>
            <w:tcW w:w="100" w:type="dxa"/>
            <w:vAlign w:val="bottom"/>
            <w:vMerge w:val="restart"/>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vMerge w:val="restart"/>
          </w:tcPr>
          <w:p>
            <w:pPr>
              <w:spacing w:after="0"/>
              <w:rPr>
                <w:sz w:val="13"/>
                <w:szCs w:val="13"/>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8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0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Cap Interest Rate</w:t>
            </w:r>
          </w:p>
        </w:tc>
        <w:tc>
          <w:tcPr>
            <w:tcW w:w="0" w:type="dxa"/>
            <w:vAlign w:val="bottom"/>
          </w:tcPr>
          <w:p>
            <w:pPr>
              <w:spacing w:after="0"/>
              <w:rPr>
                <w:sz w:val="1"/>
                <w:szCs w:val="1"/>
                <w:color w:val="auto"/>
              </w:rPr>
            </w:pPr>
          </w:p>
        </w:tc>
      </w:tr>
      <w:tr>
        <w:trPr>
          <w:trHeight w:val="207"/>
        </w:trPr>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Warehouse Facility II</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shd w:val="clear" w:color="auto" w:fill="CCEEFF"/>
          </w:tcPr>
          <w:p>
            <w:pPr>
              <w:jc w:val="center"/>
              <w:ind w:right="173"/>
              <w:spacing w:after="0"/>
              <w:rPr>
                <w:sz w:val="20"/>
                <w:szCs w:val="20"/>
                <w:color w:val="auto"/>
              </w:rPr>
            </w:pPr>
            <w:r>
              <w:rPr>
                <w:rFonts w:ascii="Times New Roman" w:cs="Times New Roman" w:eastAsia="Times New Roman" w:hAnsi="Times New Roman"/>
                <w:sz w:val="18"/>
                <w:szCs w:val="18"/>
                <w:color w:val="auto"/>
                <w:w w:val="98"/>
              </w:rPr>
              <w:t>06/2016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Warehouse Facility IV</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shd w:val="clear" w:color="auto" w:fill="CCEEFF"/>
          </w:tcPr>
          <w:p>
            <w:pPr>
              <w:jc w:val="center"/>
              <w:ind w:right="173"/>
              <w:spacing w:after="0"/>
              <w:rPr>
                <w:sz w:val="20"/>
                <w:szCs w:val="20"/>
                <w:color w:val="auto"/>
              </w:rPr>
            </w:pPr>
            <w:r>
              <w:rPr>
                <w:rFonts w:ascii="Times New Roman" w:cs="Times New Roman" w:eastAsia="Times New Roman" w:hAnsi="Times New Roman"/>
                <w:sz w:val="18"/>
                <w:szCs w:val="18"/>
                <w:color w:val="auto"/>
                <w:w w:val="98"/>
              </w:rPr>
              <w:t>03/2014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03/2017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84"/>
        </w:trPr>
        <w:tc>
          <w:tcPr>
            <w:tcW w:w="1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tcPr>
          <w:p>
            <w:pPr>
              <w:jc w:val="center"/>
              <w:ind w:right="173"/>
              <w:spacing w:after="0"/>
              <w:rPr>
                <w:sz w:val="20"/>
                <w:szCs w:val="20"/>
                <w:color w:val="auto"/>
              </w:rPr>
            </w:pPr>
            <w:r>
              <w:rPr>
                <w:rFonts w:ascii="Times New Roman" w:cs="Times New Roman" w:eastAsia="Times New Roman" w:hAnsi="Times New Roman"/>
                <w:sz w:val="18"/>
                <w:szCs w:val="18"/>
                <w:color w:val="auto"/>
                <w:w w:val="98"/>
              </w:rPr>
              <w:t>04/2016</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04/2019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56.2</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Warehouse Facility V</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Borders>
              <w:bottom w:val="single" w:sz="8" w:color="CCEEFF"/>
            </w:tcBorders>
            <w:shd w:val="clear" w:color="auto" w:fill="CCEEFF"/>
          </w:tcPr>
          <w:p>
            <w:pPr>
              <w:jc w:val="center"/>
              <w:ind w:right="173"/>
              <w:spacing w:after="0"/>
              <w:rPr>
                <w:sz w:val="20"/>
                <w:szCs w:val="20"/>
                <w:color w:val="auto"/>
              </w:rPr>
            </w:pPr>
            <w:r>
              <w:rPr>
                <w:rFonts w:ascii="Times New Roman" w:cs="Times New Roman" w:eastAsia="Times New Roman" w:hAnsi="Times New Roman"/>
                <w:sz w:val="18"/>
                <w:szCs w:val="18"/>
                <w:color w:val="auto"/>
                <w:w w:val="98"/>
              </w:rPr>
              <w:t>06/2015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07/2018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21"/>
                <w:szCs w:val="21"/>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ABS 2016-1</w:t>
            </w:r>
          </w:p>
        </w:tc>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Cap Floating Rate</w:t>
            </w:r>
          </w:p>
        </w:tc>
        <w:tc>
          <w:tcPr>
            <w:tcW w:w="88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8"/>
              </w:rPr>
              <w:t>04/2016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80" w:hanging="329"/>
        <w:spacing w:after="0"/>
        <w:tabs>
          <w:tab w:leader="none" w:pos="5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excludes the spread over the LIBOR rate.</w:t>
      </w:r>
    </w:p>
    <w:p>
      <w:pPr>
        <w:spacing w:after="0" w:line="1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interest rate caps have not been designated as hedging instruments. As of June 30, 2017 and December 31, 2016, the interest rate caps had a fair value of less than $0.1 million as the capped rates were significantly above market rates.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720" w:hanging="712"/>
        <w:spacing w:after="0"/>
        <w:tabs>
          <w:tab w:leader="none" w:pos="7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affiliated Dealers assigned Consumer Loans to us under the Portfolio and Purchase Programs. Dealer Loans and Purchased Loans with affiliated Dealers were on the same terms as those with non-affiliated Dealers. Affiliated Dealers were comprised of Dealers owned or controlled by: (1) Donald Foss, our founder, significant shareholder and former Chairman of the Board; and (2) a member of Mr. Foss’s immediate family.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3, 2017, Mr. Foss retired as officer, director and employee of the Company and entered into a shareholder agreement with the Company. Under the shareholder agreement, Mr. Foss agreed, until the final adjournment of the tenth annual meeting of shareholders held by the Company after the date of the shareholder agreement, to cause all shares of the Company beneficially owned by him or any of his affiliates or associates to be voted in accordance with the recommendation of the Company’s Board of Directors with respect to election and removal of directors, certain routine matters and any other proposal to be submitted to the Company’s shareholders with respect to any extraordinary transaction providing for the acquisition of all of the Company’s outstanding common stock. As a result, effective January 3, 2017, we no longer consider the remaining Dealers owned or controlled by Mr. Foss or a member of Mr. Foss’s immediate family to be affiliated with us while Mr. Foss’s voting interests in the Company are subject to the voting restrictions under the shareholder agreement and accordingly, we have excluded these Dealers from the affiliated amounts reported effective January 3, 2017.</w:t>
      </w:r>
    </w:p>
    <w:p>
      <w:pPr>
        <w:spacing w:after="0" w:line="185" w:lineRule="exact"/>
        <w:rPr>
          <w:sz w:val="20"/>
          <w:szCs w:val="20"/>
          <w:color w:val="auto"/>
        </w:rPr>
      </w:pPr>
    </w:p>
    <w:p>
      <w:pPr>
        <w:ind w:left="60" w:firstLine="324"/>
        <w:spacing w:after="0" w:line="282" w:lineRule="auto"/>
        <w:rPr>
          <w:sz w:val="20"/>
          <w:szCs w:val="20"/>
          <w:color w:val="auto"/>
        </w:rPr>
      </w:pPr>
      <w:r>
        <w:rPr>
          <w:rFonts w:ascii="Times New Roman" w:cs="Times New Roman" w:eastAsia="Times New Roman" w:hAnsi="Times New Roman"/>
          <w:sz w:val="18"/>
          <w:szCs w:val="18"/>
          <w:color w:val="auto"/>
        </w:rPr>
        <w:t>On June 7, 2016, Mr. Foss sold certain affiliated Dealers previously owned or controlled by him to a third party. As a result, we no longer consider these Dealers to be affiliated and accordingly, we have excluded these Dealers from the affiliated amounts reported effective June 7, 2016.</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Affiliated Dealer Loan balances were $0.0 million and $1.4 million as of June 30, 2017 and December 31, 2016, respectively. As of June 30, 2017 and December 31, 2016, affiliated Dealer Loan balances were 0.0% of total consolidated Dealer Loan balances. A summary of related party Loan activity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4"/>
          </w:tcPr>
          <w:p>
            <w:pPr>
              <w:jc w:val="center"/>
              <w:ind w:right="760"/>
              <w:spacing w:after="0" w:line="151" w:lineRule="exact"/>
              <w:rPr>
                <w:sz w:val="20"/>
                <w:szCs w:val="20"/>
                <w:color w:val="auto"/>
              </w:rPr>
            </w:pPr>
            <w:r>
              <w:rPr>
                <w:rFonts w:ascii="Times New Roman" w:cs="Times New Roman" w:eastAsia="Times New Roman" w:hAnsi="Times New Roman"/>
                <w:sz w:val="14"/>
                <w:szCs w:val="14"/>
                <w:b w:val="1"/>
                <w:bCs w:val="1"/>
                <w:color w:val="auto"/>
              </w:rPr>
              <w:t>Affiliated</w:t>
            </w:r>
          </w:p>
        </w:tc>
        <w:tc>
          <w:tcPr>
            <w:tcW w:w="1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3"/>
                <w:szCs w:val="13"/>
                <w:color w:val="auto"/>
              </w:rPr>
            </w:pPr>
          </w:p>
        </w:tc>
        <w:tc>
          <w:tcPr>
            <w:tcW w:w="1300" w:type="dxa"/>
            <w:vAlign w:val="bottom"/>
          </w:tcPr>
          <w:p>
            <w:pPr>
              <w:jc w:val="center"/>
              <w:ind w:right="158"/>
              <w:spacing w:after="0" w:line="151" w:lineRule="exact"/>
              <w:rPr>
                <w:sz w:val="20"/>
                <w:szCs w:val="20"/>
                <w:color w:val="auto"/>
              </w:rPr>
            </w:pPr>
            <w:r>
              <w:rPr>
                <w:rFonts w:ascii="Times New Roman" w:cs="Times New Roman" w:eastAsia="Times New Roman" w:hAnsi="Times New Roman"/>
                <w:sz w:val="14"/>
                <w:szCs w:val="14"/>
                <w:b w:val="1"/>
                <w:bCs w:val="1"/>
                <w:color w:val="auto"/>
              </w:rPr>
              <w:t>Affiliated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4"/>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Dealer</w:t>
            </w:r>
          </w:p>
        </w:tc>
        <w:tc>
          <w:tcPr>
            <w:tcW w:w="1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Dealer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activity (2)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(2)</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Dealer Loan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4"/>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340" w:type="dxa"/>
            <w:vAlign w:val="bottom"/>
          </w:tcPr>
          <w:p>
            <w:pPr>
              <w:spacing w:after="0"/>
              <w:rPr>
                <w:sz w:val="21"/>
                <w:szCs w:val="21"/>
                <w:color w:val="auto"/>
              </w:rPr>
            </w:pPr>
          </w:p>
        </w:tc>
        <w:tc>
          <w:tcPr>
            <w:tcW w:w="178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Dealer Holdback payments</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4"/>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Dealer Holdback payments</w:t>
            </w:r>
          </w:p>
        </w:tc>
        <w:tc>
          <w:tcPr>
            <w:tcW w:w="340" w:type="dxa"/>
            <w:vAlign w:val="bottom"/>
          </w:tcPr>
          <w:p>
            <w:pPr>
              <w:spacing w:after="0"/>
              <w:rPr>
                <w:sz w:val="21"/>
                <w:szCs w:val="21"/>
                <w:color w:val="auto"/>
              </w:rPr>
            </w:pPr>
          </w:p>
        </w:tc>
        <w:tc>
          <w:tcPr>
            <w:tcW w:w="178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493"/>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4"/>
          </w:tcPr>
          <w:p>
            <w:pPr>
              <w:jc w:val="center"/>
              <w:ind w:right="780"/>
              <w:spacing w:after="0" w:line="151" w:lineRule="exact"/>
              <w:rPr>
                <w:sz w:val="20"/>
                <w:szCs w:val="20"/>
                <w:color w:val="auto"/>
              </w:rPr>
            </w:pPr>
            <w:r>
              <w:rPr>
                <w:rFonts w:ascii="Times New Roman" w:cs="Times New Roman" w:eastAsia="Times New Roman" w:hAnsi="Times New Roman"/>
                <w:sz w:val="14"/>
                <w:szCs w:val="14"/>
                <w:b w:val="1"/>
                <w:bCs w:val="1"/>
                <w:color w:val="auto"/>
              </w:rPr>
              <w:t>Affiliated</w:t>
            </w:r>
          </w:p>
        </w:tc>
        <w:tc>
          <w:tcPr>
            <w:tcW w:w="1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3"/>
                <w:szCs w:val="13"/>
                <w:color w:val="auto"/>
              </w:rPr>
            </w:pPr>
          </w:p>
        </w:tc>
        <w:tc>
          <w:tcPr>
            <w:tcW w:w="1300" w:type="dxa"/>
            <w:vAlign w:val="bottom"/>
          </w:tcPr>
          <w:p>
            <w:pPr>
              <w:jc w:val="center"/>
              <w:ind w:right="158"/>
              <w:spacing w:after="0" w:line="151" w:lineRule="exact"/>
              <w:rPr>
                <w:sz w:val="20"/>
                <w:szCs w:val="20"/>
                <w:color w:val="auto"/>
              </w:rPr>
            </w:pPr>
            <w:r>
              <w:rPr>
                <w:rFonts w:ascii="Times New Roman" w:cs="Times New Roman" w:eastAsia="Times New Roman" w:hAnsi="Times New Roman"/>
                <w:sz w:val="14"/>
                <w:szCs w:val="14"/>
                <w:b w:val="1"/>
                <w:bCs w:val="1"/>
                <w:color w:val="auto"/>
              </w:rPr>
              <w:t>Affiliated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4"/>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Dealer</w:t>
            </w:r>
          </w:p>
        </w:tc>
        <w:tc>
          <w:tcPr>
            <w:tcW w:w="1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Dealer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activity (2)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(2)</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Dealer Loan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4"/>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340" w:type="dxa"/>
            <w:vAlign w:val="bottom"/>
          </w:tcPr>
          <w:p>
            <w:pPr>
              <w:spacing w:after="0"/>
              <w:rPr>
                <w:sz w:val="21"/>
                <w:szCs w:val="21"/>
                <w:color w:val="auto"/>
              </w:rPr>
            </w:pPr>
          </w:p>
        </w:tc>
        <w:tc>
          <w:tcPr>
            <w:tcW w:w="178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Dealer Holdback payments</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4"/>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Dealer Holdback payments</w:t>
            </w:r>
          </w:p>
        </w:tc>
        <w:tc>
          <w:tcPr>
            <w:tcW w:w="340" w:type="dxa"/>
            <w:vAlign w:val="bottom"/>
          </w:tcPr>
          <w:p>
            <w:pPr>
              <w:spacing w:after="0"/>
              <w:rPr>
                <w:sz w:val="21"/>
                <w:szCs w:val="21"/>
                <w:color w:val="auto"/>
              </w:rPr>
            </w:pPr>
          </w:p>
        </w:tc>
        <w:tc>
          <w:tcPr>
            <w:tcW w:w="178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right="20" w:hanging="316"/>
        <w:spacing w:after="0" w:line="253"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w:t>
      </w:r>
    </w:p>
    <w:p>
      <w:pPr>
        <w:ind w:left="500" w:hanging="316"/>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reclassified related party transactions to reflect the June 2016 sale of certain affiliated Dealers by our founder, significant shareholder and former Chairman of the Board.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7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 reconciliation of the U.S. federal statutory rate to our effective tax rate is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6"/>
        </w:trPr>
        <w:tc>
          <w:tcPr>
            <w:tcW w:w="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0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9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07"/>
        </w:trPr>
        <w:tc>
          <w:tcPr>
            <w:tcW w:w="2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90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516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44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Excess tax benefits from stock-based compensation plans</w:t>
            </w:r>
          </w:p>
        </w:tc>
        <w:tc>
          <w:tcPr>
            <w:tcW w:w="190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7"/>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differences between the U.S. federal statutory rate and our effective tax rate are primarily due to state income taxes and excess tax benefits from stock-based compensation plans. The decrease in the effective tax rate for the six months ended June 30, 2017 is primarily due to the adoption of ASU 2016-09 on January 1, 2017, which changed where we recognize excess tax benefits and deficiencies from stock-based compensation plans in our consolidated financial statements on a prospective basis. We receive a tax deduction upon the vesting of restricted stock and the conversion of restricted stock units to common stock based on the fair value of the shares. The amount that this tax deduction differs from the grant-date fair value that was recognized as stock-based compensation expense is referred to as an excess tax benefit or deficiency. For the six months ended June 30, 2017, excess tax benefits of $2.5 million were recognized in provision for income taxes, thus reducing our effective tax rate. For the six months ended June 30, 2016, excess tax benefits of $27.2 million were recognized in paid-in capital in our consolidated balance sheets, which had no impact on our effective tax rate.</w:t>
      </w:r>
    </w:p>
    <w:p>
      <w:pPr>
        <w:spacing w:after="0" w:line="181"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0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07"/>
        </w:trPr>
        <w:tc>
          <w:tcPr>
            <w:tcW w:w="5620" w:type="dxa"/>
            <w:vAlign w:val="bottom"/>
          </w:tcPr>
          <w:p>
            <w:pPr>
              <w:spacing w:after="0"/>
              <w:rPr>
                <w:sz w:val="18"/>
                <w:szCs w:val="18"/>
                <w:color w:val="auto"/>
              </w:rPr>
            </w:pPr>
          </w:p>
        </w:tc>
        <w:tc>
          <w:tcPr>
            <w:tcW w:w="182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64"/>
        </w:trPr>
        <w:tc>
          <w:tcPr>
            <w:tcW w:w="5620" w:type="dxa"/>
            <w:vAlign w:val="bottom"/>
          </w:tcPr>
          <w:p>
            <w:pPr>
              <w:spacing w:after="0"/>
              <w:rPr>
                <w:sz w:val="22"/>
                <w:szCs w:val="22"/>
                <w:color w:val="auto"/>
              </w:rPr>
            </w:pPr>
          </w:p>
        </w:tc>
        <w:tc>
          <w:tcPr>
            <w:tcW w:w="13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19,201,560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20,159,197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19,341,193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20,094,542</w:t>
            </w:r>
          </w:p>
        </w:tc>
      </w:tr>
      <w:tr>
        <w:trPr>
          <w:trHeight w:val="284"/>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 restricted stock units</w:t>
            </w:r>
          </w:p>
        </w:tc>
        <w:tc>
          <w:tcPr>
            <w:tcW w:w="1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256,595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220,360</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248,400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312,837</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number of weighted average shares outstanding</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19,458,155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20,379,557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19,589,593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20,407,379</w:t>
            </w:r>
          </w:p>
        </w:tc>
      </w:tr>
      <w:tr>
        <w:trPr>
          <w:trHeight w:val="284"/>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1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5,366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3,247</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26,256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26,145</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number of weighted average shares outstanding</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19,463,521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20,382,804</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19,615,849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20,433,524</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2017 and June 30, 2016, there were no shares of restricted stock or restricted stock units that would have been anti-dilutive. For the six months ended June 30, 2017 and June 30, 2016, there were 8,439 and 7,426 shares of restricted stock, respectively, that were not included in the computation of diluted net income per share because their inclusion would have been anti-dilutive.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stock repurchases for the three and six months ended June 30, 2017 and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Stock Repurchases</w:t>
            </w:r>
          </w:p>
        </w:tc>
        <w:tc>
          <w:tcPr>
            <w:tcW w:w="120" w:type="dxa"/>
            <w:vAlign w:val="bottom"/>
            <w:vMerge w:val="restart"/>
          </w:tcPr>
          <w:p>
            <w:pPr>
              <w:spacing w:after="0"/>
              <w:rPr>
                <w:sz w:val="13"/>
                <w:szCs w:val="13"/>
                <w:color w:val="auto"/>
              </w:rPr>
            </w:pPr>
          </w:p>
        </w:tc>
        <w:tc>
          <w:tcPr>
            <w:tcW w:w="1640" w:type="dxa"/>
            <w:vAlign w:val="bottom"/>
          </w:tcPr>
          <w:p>
            <w:pPr>
              <w:jc w:val="center"/>
              <w:ind w:left="39"/>
              <w:spacing w:after="0" w:line="15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1620" w:type="dxa"/>
            <w:vAlign w:val="bottom"/>
          </w:tcPr>
          <w:p>
            <w:pPr>
              <w:jc w:val="center"/>
              <w:ind w:left="19"/>
              <w:spacing w:after="0" w:line="15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vMerge w:val="restart"/>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Market (1)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81,737</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9"/>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Stock Repurchases</w:t>
            </w:r>
          </w:p>
        </w:tc>
        <w:tc>
          <w:tcPr>
            <w:tcW w:w="120" w:type="dxa"/>
            <w:vAlign w:val="bottom"/>
            <w:vMerge w:val="restart"/>
          </w:tcPr>
          <w:p>
            <w:pPr>
              <w:spacing w:after="0"/>
              <w:rPr>
                <w:sz w:val="13"/>
                <w:szCs w:val="13"/>
                <w:color w:val="auto"/>
              </w:rPr>
            </w:pPr>
          </w:p>
        </w:tc>
        <w:tc>
          <w:tcPr>
            <w:tcW w:w="1640" w:type="dxa"/>
            <w:vAlign w:val="bottom"/>
          </w:tcPr>
          <w:p>
            <w:pPr>
              <w:jc w:val="center"/>
              <w:ind w:left="39"/>
              <w:spacing w:after="0" w:line="15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1620" w:type="dxa"/>
            <w:vAlign w:val="bottom"/>
          </w:tcPr>
          <w:p>
            <w:pPr>
              <w:jc w:val="center"/>
              <w:ind w:left="19"/>
              <w:spacing w:after="0" w:line="15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vMerge w:val="restart"/>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Market (1)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588,580</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170,668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610,260</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215,968</w:t>
            </w: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500" w:hanging="330"/>
        <w:spacing w:after="0" w:line="249" w:lineRule="auto"/>
        <w:tabs>
          <w:tab w:leader="none" w:pos="50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repurchases under authorizations by the board of directors for the repurchase of shares by us from time to time in the open market or in privately negotiated transactions. On February 13, 2017, the board of directors authorized the repurchase of up to one million shares of our common stock in addition to the board’s prior authorizations. As of June 30, 2017, we had authorization to repurchase 776,208 shares of our common stock.</w:t>
      </w:r>
    </w:p>
    <w:p>
      <w:pPr>
        <w:spacing w:after="0" w:line="1" w:lineRule="exact"/>
        <w:rPr>
          <w:rFonts w:ascii="Times New Roman" w:cs="Times New Roman" w:eastAsia="Times New Roman" w:hAnsi="Times New Roman"/>
          <w:sz w:val="14"/>
          <w:szCs w:val="14"/>
          <w:color w:val="auto"/>
        </w:rPr>
      </w:pPr>
    </w:p>
    <w:p>
      <w:pPr>
        <w:ind w:left="500" w:hanging="330"/>
        <w:spacing w:after="0" w:line="258" w:lineRule="auto"/>
        <w:tabs>
          <w:tab w:leader="none" w:pos="50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released to us by team members as payment of tax withholdings upon the vesting of restricted stock and restricted stock units and the conversion of restricted stock units to common stock.</w:t>
      </w:r>
    </w:p>
    <w:p>
      <w:pPr>
        <w:spacing w:after="0" w:line="17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04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07"/>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tcBorders>
              <w:bottom w:val="single" w:sz="8" w:color="auto"/>
            </w:tcBorders>
          </w:tcPr>
          <w:p>
            <w:pPr>
              <w:spacing w:after="0"/>
              <w:rPr>
                <w:sz w:val="18"/>
                <w:szCs w:val="18"/>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r>
      <w:tr>
        <w:trPr>
          <w:trHeight w:val="28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4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7380" w:firstLine="8"/>
        <w:spacing w:after="0" w:line="503" w:lineRule="auto"/>
        <w:tabs>
          <w:tab w:leader="none" w:pos="58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 and Other Legal Matters</w:t>
      </w:r>
    </w:p>
    <w:p>
      <w:pPr>
        <w:spacing w:after="0" w:line="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physical and mental damages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The damages, fines and penalties that may be claimed by consumers, regulatory agencies or Dealers in these types of matters can be substantial. The relief requested by plaintiffs varies but may include requests for compensatory, statutory and punitive damages and injunctive relief, and plaintiffs may seek treatment as purported class actions. An adverse ultimate disposition in any action to which we are a party or otherwise subject could have a material adverse impact on our financial position, liquidity and results of operations. The following matters include current actions to which we are a party and updates to matters that were disclosed in our Annual Report on Form 10-K for the year ended December 31, 2016.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(CONCLUDED)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2017, we were informed that the Consumer Financial Protection Bureau’s Office of Fair Lending and Equal Opportunity is investigating whether the Company may have violated the Equal Credit Opportunity Act and Regulation B. We are cooperating with the inquiry and cannot predict the eventual scope, duration or outcome at this time. As a result, we are unable to estimate the reasonably possible loss or range of reasonably possible loss arising from this inquiry.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7, 2016, we received a civil investigative demand from the Federal Trade Commission seeking information on the Company’s policies, practices and procedures in allowing car dealers to use GPS Starter Interrupters on consumer vehicles.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18, 2016, we received a subpoena from the Attorney General of the State of Maryland, relating to the Company’s repossession and sale policies and procedures in the state of Maryland.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19, 2016, we received a First Amended Complaint filed by Westlake Services d/b/a Westlake Financial Service and Nowcom Corporation, alleging that the Company has attempted to monopolize the indirect financing profit sharing program market in violation of Section 2 of the Sherman Act and seeking, among other things, injunctive relief and unspecified money damages, which, if awarded, would likely be trebled pursuant to the Sherman Act. The case was filed in the United States District Court, Central District of California, Western Division. On April 6, 2016, the Court dismissed the claims brought by Nowcom Corporation. We cannot predict the duration or outcome of this lawsuit at this time. As a result, we are unable to estimate the reasonably possible loss or range of reasonably possible loss arising from this lawsuit. The Company intends to vigorously defend itself in this matter.</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18, 2015, we received a subpoena from the Attorney General of the State of New York, Civil Rights Bureau relating to the Company’s origination and collection of Consumer Loans in the state of New York.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4, 2014, we received a civil investigative demand from the Office of the Attorney General of the Commonwealth of Massachusetts relating to the origination and collection of non-prime auto loans in Massachusetts.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76" w:lineRule="exact"/>
        <w:rPr>
          <w:sz w:val="20"/>
          <w:szCs w:val="20"/>
          <w:color w:val="auto"/>
        </w:rPr>
      </w:pPr>
    </w:p>
    <w:p>
      <w:pPr>
        <w:ind w:left="600" w:hanging="592"/>
        <w:spacing w:after="0"/>
        <w:tabs>
          <w:tab w:leader="none" w:pos="6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July 18, 2017, we extended the date on which Warehouse Facility VI will cease to revolve from September 30, 2018 to September 30, 2020. There were no other material changes to the terms of the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related notes included in Item 8 - Financial Statements and Supplementary Data, of our 2016 Annual Report on Form 10-K, as well as Item 1 - Financial Statements, of this Form 10-Q,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2017, consolidated net income was $99.1 million, or $5.09 per diluted share, compared to $84.9 million, or $4.17 per diluted share, for the same period in 2016. For the six months ended June 30, 2017, consolidated net income was $192.4 million, or $9.81 per diluted share, compared to $159.3 million, or $7.80 per diluted share, for the same period in 2016. The increases in consolidated net income for the three and six months ended June 30, 2017 were primarily due to an increase in the average balance of our Loan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Success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Critical success factors include our ability to accurately forecast Consumer Loan performance, access capital on acceptable terms, and maintain or grow Consumer Loan volume at the level and on the terms that we anticipate, with an objective to maximize economic profit. Economic profit is a non-GAAP financial measure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Loan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June 30, 2017, with the forecasts as of March 31, 2017, December 31, 2016 and at the time of assignment, segmented by year of assignment: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c>
          <w:tcPr>
            <w:tcW w:w="0" w:type="dxa"/>
            <w:vAlign w:val="bottom"/>
          </w:tcPr>
          <w:p>
            <w:pPr>
              <w:spacing w:after="0"/>
              <w:rPr>
                <w:sz w:val="1"/>
                <w:szCs w:val="1"/>
                <w:color w:val="auto"/>
              </w:rPr>
            </w:pPr>
          </w:p>
        </w:tc>
      </w:tr>
      <w:tr>
        <w:trPr>
          <w:trHeight w:val="137"/>
        </w:trPr>
        <w:tc>
          <w:tcPr>
            <w:tcW w:w="19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Consumer Loan</w:t>
            </w: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3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0" w:type="dxa"/>
            <w:vAlign w:val="bottom"/>
          </w:tcPr>
          <w:p>
            <w:pPr>
              <w:spacing w:after="0"/>
              <w:rPr>
                <w:sz w:val="1"/>
                <w:szCs w:val="1"/>
                <w:color w:val="auto"/>
              </w:rPr>
            </w:pPr>
          </w:p>
        </w:tc>
      </w:tr>
      <w:tr>
        <w:trPr>
          <w:trHeight w:val="207"/>
        </w:trPr>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2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3"/>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43"/>
        </w:trPr>
        <w:tc>
          <w:tcPr>
            <w:tcW w:w="18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2017 (2)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500" w:hanging="330"/>
        <w:spacing w:after="0" w:line="249"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Times New Roman" w:cs="Times New Roman" w:eastAsia="Times New Roman" w:hAnsi="Times New Roman"/>
          <w:sz w:val="14"/>
          <w:szCs w:val="14"/>
          <w:color w:val="auto"/>
        </w:rPr>
      </w:pPr>
    </w:p>
    <w:p>
      <w:pPr>
        <w:ind w:left="500" w:hanging="330"/>
        <w:spacing w:after="0" w:line="258"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 for 2017 Consumer Loans as of June 30, 2017 includes both Consumer Loans that were in our portfolio as of March 31, 2017 and Consumer Loans assigned during the most recent quarter. The following table provides forecasted collection rates for each of these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tcBorders>
              <w:bottom w:val="single" w:sz="8" w:color="auto"/>
            </w:tcBorders>
            <w:gridSpan w:val="5"/>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w:t>
            </w:r>
          </w:p>
        </w:tc>
        <w:tc>
          <w:tcPr>
            <w:tcW w:w="100" w:type="dxa"/>
            <w:vAlign w:val="bottom"/>
          </w:tcPr>
          <w:p>
            <w:pPr>
              <w:spacing w:after="0"/>
              <w:rPr>
                <w:sz w:val="18"/>
                <w:szCs w:val="18"/>
                <w:color w:val="auto"/>
              </w:rPr>
            </w:pPr>
          </w:p>
        </w:tc>
        <w:tc>
          <w:tcPr>
            <w:tcW w:w="294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r>
      <w:tr>
        <w:trPr>
          <w:trHeight w:val="264"/>
        </w:trPr>
        <w:tc>
          <w:tcPr>
            <w:tcW w:w="3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2017 Consumer Loan Assignment Period</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Initial Forecast</w:t>
            </w: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2017 through March 31, 2017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1, 2017 through June 30, 2017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Consumer Loans assigned in 2009 through 2013 and 2017 have yielded forecasted collection results materially better than our initial estimates, while Consumer Loans assigned in 2015 have yielded forecasted collection results materially worse than our initial estimates. For Consumer Loans assigned in 2008, 2014 and 2016, actual results have been close to our initial estimates. For the three months ended June 30, 2017, forecasted collection rates improved for Consumer Loans assigned in 2017, declined for Consumer Loans assigned in 2016 and were generally consistent with expectations at the start of the period for all other assignment years presented. For the six months ended June 30, 2017, forecasted collection rates improved for Consumer Loans assigned in 2017, declined for Consumer Loans assigned in 2015 and were generally consistent with expectations at the start of the period for all other assignment years presented.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changes in forecasted collection rates for the three and six months ended June 30, 2017 and 2016 impacted forecasted net cash flows (forecasted collections less forecasted Dealer Holdback payments)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6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0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 in forecasted net cash flows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Dealer Loans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84"/>
        </w:trPr>
        <w:tc>
          <w:tcPr>
            <w:tcW w:w="5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Purchased Loans</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13.3</w:t>
            </w:r>
          </w:p>
        </w:tc>
      </w:tr>
      <w:tr>
        <w:trPr>
          <w:trHeight w:val="257"/>
        </w:trPr>
        <w:tc>
          <w:tcPr>
            <w:tcW w:w="51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Loans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on the average Consumer Loan assignment for each of the last 10 years: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74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200" w:type="dxa"/>
            <w:vAlign w:val="bottom"/>
          </w:tcPr>
          <w:p>
            <w:pPr>
              <w:spacing w:after="0"/>
              <w:rPr>
                <w:sz w:val="13"/>
                <w:szCs w:val="13"/>
                <w:color w:val="auto"/>
              </w:rPr>
            </w:pP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Consumer Loan (1)</w:t>
            </w:r>
          </w:p>
        </w:tc>
        <w:tc>
          <w:tcPr>
            <w:tcW w:w="340" w:type="dxa"/>
            <w:vAlign w:val="bottom"/>
          </w:tcPr>
          <w:p>
            <w:pPr>
              <w:spacing w:after="0"/>
              <w:rPr>
                <w:sz w:val="13"/>
                <w:szCs w:val="13"/>
                <w:color w:val="auto"/>
              </w:rPr>
            </w:pPr>
          </w:p>
        </w:tc>
        <w:tc>
          <w:tcPr>
            <w:tcW w:w="16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Advance (2)</w:t>
            </w:r>
          </w:p>
        </w:tc>
        <w:tc>
          <w:tcPr>
            <w:tcW w:w="1820" w:type="dxa"/>
            <w:vAlign w:val="bottom"/>
          </w:tcPr>
          <w:p>
            <w:pPr>
              <w:jc w:val="right"/>
              <w:ind w:right="173"/>
              <w:spacing w:after="0" w:line="151" w:lineRule="exact"/>
              <w:rPr>
                <w:sz w:val="20"/>
                <w:szCs w:val="20"/>
                <w:color w:val="auto"/>
              </w:rPr>
            </w:pPr>
            <w:r>
              <w:rPr>
                <w:rFonts w:ascii="Times New Roman" w:cs="Times New Roman" w:eastAsia="Times New Roman" w:hAnsi="Times New Roman"/>
                <w:sz w:val="14"/>
                <w:szCs w:val="14"/>
                <w:b w:val="1"/>
                <w:bCs w:val="1"/>
                <w:color w:val="auto"/>
              </w:rPr>
              <w:t>Initial Loan Term (in</w:t>
            </w:r>
          </w:p>
        </w:tc>
        <w:tc>
          <w:tcPr>
            <w:tcW w:w="0" w:type="dxa"/>
            <w:vAlign w:val="bottom"/>
          </w:tcPr>
          <w:p>
            <w:pPr>
              <w:spacing w:after="0"/>
              <w:rPr>
                <w:sz w:val="1"/>
                <w:szCs w:val="1"/>
                <w:color w:val="auto"/>
              </w:rPr>
            </w:pPr>
          </w:p>
        </w:tc>
      </w:tr>
      <w:tr>
        <w:trPr>
          <w:trHeight w:val="207"/>
        </w:trPr>
        <w:tc>
          <w:tcPr>
            <w:tcW w:w="5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8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6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5,565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6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7,137</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7,344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7,492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56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2017 (3)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8,496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hanging="330"/>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repayments that we were contractually owed on Consumer Loans at the time of assignment, which include both principal and interest.</w:t>
      </w:r>
    </w:p>
    <w:p>
      <w:pPr>
        <w:spacing w:after="0" w:line="17" w:lineRule="exact"/>
        <w:rPr>
          <w:rFonts w:ascii="Times New Roman" w:cs="Times New Roman" w:eastAsia="Times New Roman" w:hAnsi="Times New Roman"/>
          <w:sz w:val="14"/>
          <w:szCs w:val="14"/>
          <w:color w:val="auto"/>
        </w:rPr>
      </w:pPr>
    </w:p>
    <w:p>
      <w:pPr>
        <w:ind w:left="500" w:right="20" w:hanging="330"/>
        <w:spacing w:after="0" w:line="241" w:lineRule="auto"/>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500" w:hanging="330"/>
        <w:spacing w:after="0" w:line="258" w:lineRule="auto"/>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averages for 2017 Consumer Loans include both Consumer Loans that were in our portfolio as of March 31, 2017 and Consumer Loans assigned during the most recent quarter. The following table provides averages for each of these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2017 Consumer Loan Assignment Period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Consumer Loan</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Advance</w:t>
            </w:r>
          </w:p>
        </w:tc>
        <w:tc>
          <w:tcPr>
            <w:tcW w:w="120" w:type="dxa"/>
            <w:vAlign w:val="bottom"/>
            <w:vMerge w:val="restart"/>
          </w:tcPr>
          <w:p>
            <w:pPr>
              <w:spacing w:after="0"/>
              <w:rPr>
                <w:sz w:val="13"/>
                <w:szCs w:val="13"/>
                <w:color w:val="auto"/>
              </w:rPr>
            </w:pPr>
          </w:p>
        </w:tc>
        <w:tc>
          <w:tcPr>
            <w:tcW w:w="1820" w:type="dxa"/>
            <w:vAlign w:val="bottom"/>
          </w:tcPr>
          <w:p>
            <w:pPr>
              <w:jc w:val="right"/>
              <w:ind w:right="179"/>
              <w:spacing w:after="0" w:line="151" w:lineRule="exact"/>
              <w:rPr>
                <w:sz w:val="20"/>
                <w:szCs w:val="20"/>
                <w:color w:val="auto"/>
              </w:rPr>
            </w:pPr>
            <w:r>
              <w:rPr>
                <w:rFonts w:ascii="Times New Roman" w:cs="Times New Roman" w:eastAsia="Times New Roman" w:hAnsi="Times New Roman"/>
                <w:sz w:val="14"/>
                <w:szCs w:val="14"/>
                <w:b w:val="1"/>
                <w:bCs w:val="1"/>
                <w:color w:val="auto"/>
              </w:rPr>
              <w:t>Initial Loan Term (in</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2017 through March 31, 2017</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19,416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8,337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1, 2017 through June 30, 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8,691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702"/>
        </w:trPr>
        <w:tc>
          <w:tcPr>
            <w:tcW w:w="562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37</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forecasted Consumer Loan collection rates, advance rates, the spread (the forecasted collection rate less the advance rate), and the percentage of the forecasted collections that had been realized as of June 30, 2017. All amounts, unless otherwise noted, are presented as a percentage of the initial balance of the Consumer Loan (principal + interest). The table includes both Dealer Loans and Purchased Loans.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84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Advance % (1)</w:t>
            </w:r>
          </w:p>
        </w:tc>
        <w:tc>
          <w:tcPr>
            <w:tcW w:w="1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1320" w:type="dxa"/>
            <w:vAlign w:val="bottom"/>
          </w:tcPr>
          <w:p>
            <w:pPr>
              <w:jc w:val="right"/>
              <w:ind w:right="153"/>
              <w:spacing w:after="0" w:line="151" w:lineRule="exact"/>
              <w:rPr>
                <w:sz w:val="20"/>
                <w:szCs w:val="20"/>
                <w:color w:val="auto"/>
              </w:rPr>
            </w:pPr>
            <w:r>
              <w:rPr>
                <w:rFonts w:ascii="Times New Roman" w:cs="Times New Roman" w:eastAsia="Times New Roman" w:hAnsi="Times New Roman"/>
                <w:sz w:val="14"/>
                <w:szCs w:val="14"/>
                <w:b w:val="1"/>
                <w:bCs w:val="1"/>
                <w:color w:val="auto"/>
              </w:rPr>
              <w:t>% of Forecast</w:t>
            </w:r>
          </w:p>
        </w:tc>
        <w:tc>
          <w:tcPr>
            <w:tcW w:w="0" w:type="dxa"/>
            <w:vAlign w:val="bottom"/>
          </w:tcPr>
          <w:p>
            <w:pPr>
              <w:spacing w:after="0"/>
              <w:rPr>
                <w:sz w:val="1"/>
                <w:szCs w:val="1"/>
                <w:color w:val="auto"/>
              </w:rPr>
            </w:pPr>
          </w:p>
        </w:tc>
      </w:tr>
      <w:tr>
        <w:trPr>
          <w:trHeight w:val="207"/>
        </w:trPr>
        <w:tc>
          <w:tcPr>
            <w:tcW w:w="5840" w:type="dxa"/>
            <w:vAlign w:val="bottom"/>
            <w:gridSpan w:val="2"/>
            <w:vMerge w:val="continue"/>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Collection %</w:t>
            </w:r>
          </w:p>
        </w:tc>
        <w:tc>
          <w:tcPr>
            <w:tcW w:w="14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Realized (2)</w:t>
            </w:r>
          </w:p>
        </w:tc>
        <w:tc>
          <w:tcPr>
            <w:tcW w:w="0" w:type="dxa"/>
            <w:vAlign w:val="bottom"/>
          </w:tcPr>
          <w:p>
            <w:pPr>
              <w:spacing w:after="0"/>
              <w:rPr>
                <w:sz w:val="1"/>
                <w:szCs w:val="1"/>
                <w:color w:val="auto"/>
              </w:rPr>
            </w:pPr>
          </w:p>
        </w:tc>
      </w:tr>
      <w:tr>
        <w:trPr>
          <w:trHeight w:val="250"/>
        </w:trPr>
        <w:tc>
          <w:tcPr>
            <w:tcW w:w="5740" w:type="dxa"/>
            <w:vAlign w:val="bottom"/>
            <w:tcBorders>
              <w:top w:val="single" w:sz="8" w:color="auto"/>
              <w:bottom w:val="single" w:sz="8" w:color="CCEEFF"/>
            </w:tcBorders>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57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2017 (3)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right="20" w:hanging="330"/>
        <w:spacing w:after="0" w:line="253" w:lineRule="auto"/>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ind w:left="500" w:hanging="330"/>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a percentage of total forecasted collections.</w:t>
      </w:r>
    </w:p>
    <w:p>
      <w:pPr>
        <w:spacing w:after="0" w:line="1" w:lineRule="exact"/>
        <w:rPr>
          <w:rFonts w:ascii="Times New Roman" w:cs="Times New Roman" w:eastAsia="Times New Roman" w:hAnsi="Times New Roman"/>
          <w:sz w:val="14"/>
          <w:szCs w:val="14"/>
          <w:color w:val="auto"/>
        </w:rPr>
      </w:pPr>
    </w:p>
    <w:p>
      <w:pPr>
        <w:ind w:left="500" w:hanging="330"/>
        <w:spacing w:after="0" w:line="258" w:lineRule="auto"/>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 advance rate and spread for 2017 Consumer Loans as of June 30, 2017 include both Consumer Loans that were in our portfolio as of March 31, 2017 and Consumer Loans assigned during the most recent quarter. The following table provides forecasted collection rates, advance rates and spreads for each of these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2017 Consumer Loan Assignment Period</w:t>
            </w:r>
          </w:p>
        </w:tc>
        <w:tc>
          <w:tcPr>
            <w:tcW w:w="100" w:type="dxa"/>
            <w:vAlign w:val="bottom"/>
            <w:vMerge w:val="restart"/>
          </w:tcPr>
          <w:p>
            <w:pPr>
              <w:spacing w:after="0"/>
              <w:rPr>
                <w:sz w:val="13"/>
                <w:szCs w:val="13"/>
                <w:color w:val="auto"/>
              </w:rPr>
            </w:pPr>
          </w:p>
        </w:tc>
        <w:tc>
          <w:tcPr>
            <w:tcW w:w="1760" w:type="dxa"/>
            <w:vAlign w:val="bottom"/>
            <w:gridSpan w:val="2"/>
          </w:tcPr>
          <w:p>
            <w:pPr>
              <w:ind w:left="500"/>
              <w:spacing w:after="0" w:line="151"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64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Advance %</w:t>
            </w:r>
          </w:p>
        </w:tc>
        <w:tc>
          <w:tcPr>
            <w:tcW w:w="120" w:type="dxa"/>
            <w:vAlign w:val="bottom"/>
            <w:vMerge w:val="restart"/>
          </w:tcPr>
          <w:p>
            <w:pPr>
              <w:spacing w:after="0"/>
              <w:rPr>
                <w:sz w:val="13"/>
                <w:szCs w:val="13"/>
                <w:color w:val="auto"/>
              </w:rPr>
            </w:pPr>
          </w:p>
        </w:tc>
        <w:tc>
          <w:tcPr>
            <w:tcW w:w="16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0" w:type="dxa"/>
            <w:vAlign w:val="bottom"/>
          </w:tcPr>
          <w:p>
            <w:pPr>
              <w:spacing w:after="0"/>
              <w:rPr>
                <w:sz w:val="1"/>
                <w:szCs w:val="1"/>
                <w:color w:val="auto"/>
              </w:rPr>
            </w:pPr>
          </w:p>
        </w:tc>
      </w:tr>
      <w:tr>
        <w:trPr>
          <w:trHeight w:val="207"/>
        </w:trPr>
        <w:tc>
          <w:tcPr>
            <w:tcW w:w="6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Collection %</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2017 through March 31, 2017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1, 2017 through June 30, 2017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of a material change in our forecasted collection rate declines as the Consumer Loans age. For 2013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spread between the forecasted collection rate and the advance rate has ranged from 21.2% to 35.6% over the last 10 years. The spread was at the high end of this range in 2009 and 2010, when the competitive environment was unusually favorable, and much lower during other years (2014 through 2017) when competition was more intense. The decline in the advance rate from 2016 to 2017 reflects the lower initial forecast on Consumer Loan assignments received in 2017, partially offset by an increase in Purchased Loans as a percentage of total unit volume. The increase in the spread from 2016 to 2017 was the result of the performance of 2017 Consumer Loans, which has materially exceeded our initial estimates, partially offset by a change in the mix of Consumer Loan assignments received during 2017, including an increase in Purchased Loans as a percentage of total unit volume.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the advance rate from the first quarter of 2017 to the second quarter of 2017 reflects the higher initial forecast on Consumer Loan assignments received during the second quarter of 2017 and an increase in Purchased Loans as a percentage of total unit volume. The decline in the spread from the first quarter of 2017 to the second quarter of 2017 was the result of the performance of Consumer Loans assigned during the first quarter of 2017, which has exceeded our initial estimates by a greater margin than those assigned to us during the second quarter of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compares our forecast of Consumer Loan collection rates as of June 30, 2017 with the forecasts at the time of assignment, for Dealer Loans and Purchased Loans separately:</w:t>
      </w:r>
    </w:p>
    <w:p>
      <w:pPr>
        <w:sectPr>
          <w:pgSz w:w="11900" w:h="16838" w:orient="portrait"/>
          <w:cols w:equalWidth="0" w:num="1">
            <w:col w:w="11420"/>
          </w:cols>
          <w:pgMar w:left="240" w:top="121" w:right="239" w:bottom="1440" w:gutter="0" w:footer="0" w:header="0"/>
        </w:sectPr>
      </w:pPr>
    </w:p>
    <w:p>
      <w:pPr>
        <w:spacing w:after="0" w:line="15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24765</wp:posOffset>
            </wp:positionV>
            <wp:extent cx="25984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0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24765</wp:posOffset>
            </wp:positionV>
            <wp:extent cx="1689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24765</wp:posOffset>
            </wp:positionV>
            <wp:extent cx="25984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03"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24765</wp:posOffset>
            </wp:positionV>
            <wp:extent cx="17068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6780" w:space="720"/>
            <w:col w:w="39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3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07"/>
        </w:trPr>
        <w:tc>
          <w:tcPr>
            <w:tcW w:w="312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4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forecasted Consumer Loan collection rates, advance rates, and the spread (the forecasted collection rate less the advance rate) as of June 30, 2017 for Dealer Loans and Purchased Loans separately. All amounts are presented as a percentage of the initial balance of the Consumer Loan (principal + interest).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14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2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0" w:type="dxa"/>
            <w:vAlign w:val="bottom"/>
          </w:tcPr>
          <w:p>
            <w:pPr>
              <w:spacing w:after="0"/>
              <w:rPr>
                <w:sz w:val="1"/>
                <w:szCs w:val="1"/>
                <w:color w:val="auto"/>
              </w:rPr>
            </w:pPr>
          </w:p>
        </w:tc>
      </w:tr>
      <w:tr>
        <w:trPr>
          <w:trHeight w:val="207"/>
        </w:trPr>
        <w:tc>
          <w:tcPr>
            <w:tcW w:w="3120" w:type="dxa"/>
            <w:vAlign w:val="bottom"/>
            <w:gridSpan w:val="2"/>
            <w:vMerge w:val="continue"/>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Collection % (1)</w:t>
            </w:r>
          </w:p>
        </w:tc>
        <w:tc>
          <w:tcPr>
            <w:tcW w:w="14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Collection % (1)</w:t>
            </w:r>
          </w:p>
        </w:tc>
        <w:tc>
          <w:tcPr>
            <w:tcW w:w="140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00" w:hanging="316"/>
        <w:spacing w:after="0" w:line="249" w:lineRule="auto"/>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rates and advance rates presented for each Consumer Loan assignment year change over time due to the impact of transfers between Dealer and Purchased Loans. Under our Portfolio Program, certain events may result in Dealers forfeiting their rights to Dealer Holdback. We transfer the Dealer’s Consumer Loans from the Dealer Loan portfolio to the Purchased Loan portfolio in the period this forfeiture occurs.</w:t>
      </w:r>
    </w:p>
    <w:p>
      <w:pPr>
        <w:spacing w:after="0" w:line="1" w:lineRule="exact"/>
        <w:rPr>
          <w:rFonts w:ascii="Times New Roman" w:cs="Times New Roman" w:eastAsia="Times New Roman" w:hAnsi="Times New Roman"/>
          <w:sz w:val="14"/>
          <w:szCs w:val="14"/>
          <w:color w:val="auto"/>
        </w:rPr>
      </w:pPr>
    </w:p>
    <w:p>
      <w:pPr>
        <w:ind w:left="500" w:right="20" w:hanging="316"/>
        <w:spacing w:after="0" w:line="258" w:lineRule="auto"/>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the advance rate on Purchased Loans is higher as compared to the advance rate on Dealer Loans, Purchased Loans do not require us to pay Dealer Holdback.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spread on Dealer Loans increased from 22.0% in 2016 to 23.0% in 2017 as a result of the performance of 2017 Consumer Loans in our Dealer Loan portfolio, which has exceeded our initial estimates, while those assigned to us in 2016 have declined from our initial estimates, partially offset by a change in the mix of Consumer Loan assignments.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spread on Purchased Loans increased from 19.3% in 2016 to 20.6% in 2017 primarily as a result of the performance of 2017 Consumer Loans in our Purchased Loan portfolio, which has exceeded our initial estimates by a greater margin than those assigned to us in 2016, partially offset by a change in the mix of Consumer Loan assignments.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Capital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2.4 to 1 as of June 30, 2017. We currently utilize the following primary forms of debt financing: (1) a revolving secured line of credit; (2) Warehouse facilities; (3) Term ABS financings; and (4)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Loan Volume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Consumer Loan assignment volume in each of the last six quarters as compared to the same period in the previous year:</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Year over Year Percent Change</w:t>
            </w:r>
          </w:p>
        </w:tc>
      </w:tr>
      <w:tr>
        <w:trPr>
          <w:trHeight w:val="264"/>
        </w:trPr>
        <w:tc>
          <w:tcPr>
            <w:tcW w:w="760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1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Dollar Volume (1)</w:t>
            </w: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166" w:lineRule="exact"/>
        <w:rPr>
          <w:sz w:val="20"/>
          <w:szCs w:val="20"/>
          <w:color w:val="auto"/>
        </w:rPr>
      </w:pPr>
    </w:p>
    <w:p>
      <w:pPr>
        <w:ind w:left="500" w:right="20" w:hanging="330"/>
        <w:spacing w:after="0" w:line="282" w:lineRule="auto"/>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Unit and dollar volumes grew 1.0% and 7.1%, respectively, during the second quarter of 2017 as the number of active Dealers grew 6.3% while average volume per active Dealer declined 5.6%. Dollar volume grew faster than unit volume during the second quarter of 2017 due to an increase in the average advance paid per unit. This increase was the result of an increase in the average size of the Consumer Loans assigned primarily due to an increase in the average initial loan term and an increase in Purchased Loans as a percentage of total unit volume, partially offset by a decrease in the average advance rate due to a decrease in the average initial forecast of the Consumer Loans assigned.</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were able to grow unit volume modestly during the most recent quarter after two quarters of declines, our overall progress in growing unit volumes has slowed considerably over the last six quarters. This trend reflects the difficulty of growing the number of active dealers fast enough to offset the impact of the competitive environment on attrition and per dealer volumes. In addition, in response to the decline in forecasted collection rates experienced in 2016, we adjusted our initial collection forecasts downward during 2016. While the adjustments have been modest, we believe these adjustments have had an adverse impact on unit volumes.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Consumer Loan unit volume and active Dealers: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tcBorders>
              <w:bottom w:val="single" w:sz="8" w:color="auto"/>
            </w:tcBorders>
            <w:gridSpan w:val="5"/>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8"/>
                <w:szCs w:val="18"/>
                <w:color w:val="auto"/>
              </w:rPr>
            </w:pPr>
          </w:p>
        </w:tc>
        <w:tc>
          <w:tcPr>
            <w:tcW w:w="4040" w:type="dxa"/>
            <w:vAlign w:val="bottom"/>
            <w:tcBorders>
              <w:bottom w:val="single" w:sz="8" w:color="auto"/>
            </w:tcBorders>
            <w:gridSpan w:val="5"/>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32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Loan unit volume</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77,317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76,520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172,126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178,071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84"/>
        </w:trPr>
        <w:tc>
          <w:tcPr>
            <w:tcW w:w="3220" w:type="dxa"/>
            <w:vAlign w:val="bottom"/>
            <w:tcBorders>
              <w:bottom w:val="single" w:sz="8" w:color="CCEEFF"/>
            </w:tcBorders>
            <w:gridSpan w:val="7"/>
          </w:tcPr>
          <w:p>
            <w:pPr>
              <w:ind w:left="40"/>
              <w:spacing w:after="0"/>
              <w:rPr>
                <w:sz w:val="20"/>
                <w:szCs w:val="20"/>
                <w:color w:val="auto"/>
              </w:rPr>
            </w:pPr>
            <w:r>
              <w:rPr>
                <w:rFonts w:ascii="Times New Roman" w:cs="Times New Roman" w:eastAsia="Times New Roman" w:hAnsi="Times New Roman"/>
                <w:sz w:val="18"/>
                <w:szCs w:val="18"/>
                <w:color w:val="auto"/>
              </w:rPr>
              <w:t>Active Dealers (1)</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7,181</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9,282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8,679</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44"/>
        </w:trPr>
        <w:tc>
          <w:tcPr>
            <w:tcW w:w="32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volume per active Dealer</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5"/>
        </w:trPr>
        <w:tc>
          <w:tcPr>
            <w:tcW w:w="322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1"/>
        </w:trPr>
        <w:tc>
          <w:tcPr>
            <w:tcW w:w="3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both periods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57,839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60,080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136,761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150,929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84"/>
        </w:trPr>
        <w:tc>
          <w:tcPr>
            <w:tcW w:w="3220" w:type="dxa"/>
            <w:vAlign w:val="bottom"/>
            <w:tcBorders>
              <w:bottom w:val="single" w:sz="8" w:color="CCEEFF"/>
            </w:tcBorders>
            <w:gridSpan w:val="7"/>
          </w:tcPr>
          <w:p>
            <w:pPr>
              <w:ind w:left="40"/>
              <w:spacing w:after="0"/>
              <w:rPr>
                <w:sz w:val="20"/>
                <w:szCs w:val="20"/>
                <w:color w:val="auto"/>
              </w:rPr>
            </w:pPr>
            <w:r>
              <w:rPr>
                <w:rFonts w:ascii="Times New Roman" w:cs="Times New Roman" w:eastAsia="Times New Roman" w:hAnsi="Times New Roman"/>
                <w:sz w:val="18"/>
                <w:szCs w:val="18"/>
                <w:color w:val="auto"/>
              </w:rPr>
              <w:t>Dealers active both periods</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4,554</w:t>
            </w:r>
          </w:p>
        </w:tc>
        <w:tc>
          <w:tcPr>
            <w:tcW w:w="146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5,908</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5,908</w:t>
            </w:r>
          </w:p>
        </w:tc>
        <w:tc>
          <w:tcPr>
            <w:tcW w:w="1460" w:type="dxa"/>
            <w:vAlign w:val="bottom"/>
            <w:tcBorders>
              <w:bottom w:val="single" w:sz="8" w:color="CCEEFF"/>
            </w:tcBorders>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220" w:type="dxa"/>
            <w:vAlign w:val="bottom"/>
            <w:gridSpan w:val="7"/>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Average volume per Dealers active</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41"/>
        </w:trPr>
        <w:tc>
          <w:tcPr>
            <w:tcW w:w="3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both periods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5"/>
        </w:trPr>
        <w:tc>
          <w:tcPr>
            <w:tcW w:w="322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194"/>
        </w:trPr>
        <w:tc>
          <w:tcPr>
            <w:tcW w:w="360" w:type="dxa"/>
            <w:vAlign w:val="bottom"/>
            <w:shd w:val="clear" w:color="auto" w:fill="CCEEFF"/>
          </w:tcPr>
          <w:p>
            <w:pPr>
              <w:spacing w:after="0"/>
              <w:rPr>
                <w:sz w:val="16"/>
                <w:szCs w:val="16"/>
                <w:color w:val="auto"/>
              </w:rPr>
            </w:pPr>
          </w:p>
        </w:tc>
        <w:tc>
          <w:tcPr>
            <w:tcW w:w="286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not active both periods</w:t>
            </w:r>
          </w:p>
        </w:tc>
        <w:tc>
          <w:tcPr>
            <w:tcW w:w="1240" w:type="dxa"/>
            <w:vAlign w:val="bottom"/>
            <w:shd w:val="clear" w:color="auto" w:fill="CCEEFF"/>
          </w:tcPr>
          <w:p>
            <w:pPr>
              <w:jc w:val="right"/>
              <w:ind w:right="33"/>
              <w:spacing w:after="0" w:line="194" w:lineRule="exact"/>
              <w:rPr>
                <w:sz w:val="20"/>
                <w:szCs w:val="20"/>
                <w:color w:val="auto"/>
              </w:rPr>
            </w:pPr>
            <w:r>
              <w:rPr>
                <w:rFonts w:ascii="Times New Roman" w:cs="Times New Roman" w:eastAsia="Times New Roman" w:hAnsi="Times New Roman"/>
                <w:sz w:val="18"/>
                <w:szCs w:val="18"/>
                <w:color w:val="auto"/>
              </w:rPr>
              <w:t>19,478</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2"/>
              <w:spacing w:after="0" w:line="194" w:lineRule="exact"/>
              <w:rPr>
                <w:sz w:val="20"/>
                <w:szCs w:val="20"/>
                <w:color w:val="auto"/>
              </w:rPr>
            </w:pPr>
            <w:r>
              <w:rPr>
                <w:rFonts w:ascii="Times New Roman" w:cs="Times New Roman" w:eastAsia="Times New Roman" w:hAnsi="Times New Roman"/>
                <w:sz w:val="18"/>
                <w:szCs w:val="18"/>
                <w:color w:val="auto"/>
              </w:rPr>
              <w:t>16,440</w:t>
            </w:r>
          </w:p>
        </w:tc>
        <w:tc>
          <w:tcPr>
            <w:tcW w:w="146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18.5 %</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3"/>
              <w:spacing w:after="0" w:line="194" w:lineRule="exact"/>
              <w:rPr>
                <w:sz w:val="20"/>
                <w:szCs w:val="20"/>
                <w:color w:val="auto"/>
              </w:rPr>
            </w:pPr>
            <w:r>
              <w:rPr>
                <w:rFonts w:ascii="Times New Roman" w:cs="Times New Roman" w:eastAsia="Times New Roman" w:hAnsi="Times New Roman"/>
                <w:sz w:val="18"/>
                <w:szCs w:val="18"/>
                <w:color w:val="auto"/>
              </w:rPr>
              <w:t>35,365</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2"/>
              <w:spacing w:after="0" w:line="194" w:lineRule="exact"/>
              <w:rPr>
                <w:sz w:val="20"/>
                <w:szCs w:val="20"/>
                <w:color w:val="auto"/>
              </w:rPr>
            </w:pPr>
            <w:r>
              <w:rPr>
                <w:rFonts w:ascii="Times New Roman" w:cs="Times New Roman" w:eastAsia="Times New Roman" w:hAnsi="Times New Roman"/>
                <w:sz w:val="18"/>
                <w:szCs w:val="18"/>
                <w:color w:val="auto"/>
              </w:rPr>
              <w:t>27,142</w:t>
            </w:r>
          </w:p>
        </w:tc>
        <w:tc>
          <w:tcPr>
            <w:tcW w:w="146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30.3 %</w:t>
            </w: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16"/>
        </w:trPr>
        <w:tc>
          <w:tcPr>
            <w:tcW w:w="32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Dealers not active both periods</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41"/>
        </w:trPr>
        <w:tc>
          <w:tcPr>
            <w:tcW w:w="3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r>
      <w:tr>
        <w:trPr>
          <w:trHeight w:val="189"/>
        </w:trPr>
        <w:tc>
          <w:tcPr>
            <w:tcW w:w="3220" w:type="dxa"/>
            <w:vAlign w:val="bottom"/>
            <w:gridSpan w:val="7"/>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Average volume per Dealers not active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7"/>
        </w:trPr>
        <w:tc>
          <w:tcPr>
            <w:tcW w:w="36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both periods</w:t>
            </w: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7"/>
        </w:trPr>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500" w:hanging="330"/>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Dealers are Dealers who have received funding for at least one Consumer Loan during the period.</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changes in Consumer Loan unit volume and active Dealers: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4080" w:type="dxa"/>
            <w:vAlign w:val="bottom"/>
            <w:tcBorders>
              <w:bottom w:val="single" w:sz="8" w:color="auto"/>
            </w:tcBorders>
            <w:gridSpan w:val="5"/>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8"/>
                <w:szCs w:val="18"/>
                <w:color w:val="auto"/>
              </w:rPr>
            </w:pPr>
          </w:p>
        </w:tc>
        <w:tc>
          <w:tcPr>
            <w:tcW w:w="4140" w:type="dxa"/>
            <w:vAlign w:val="bottom"/>
            <w:tcBorders>
              <w:bottom w:val="single" w:sz="8" w:color="auto"/>
            </w:tcBorders>
            <w:gridSpan w:val="5"/>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3080" w:type="dxa"/>
            <w:vAlign w:val="bottom"/>
          </w:tcPr>
          <w:p>
            <w:pPr>
              <w:spacing w:after="0"/>
              <w:rPr>
                <w:sz w:val="22"/>
                <w:szCs w:val="22"/>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3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3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Loan unit volume from new</w:t>
            </w: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41"/>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Dealers</w:t>
            </w:r>
          </w:p>
        </w:tc>
        <w:tc>
          <w:tcPr>
            <w:tcW w:w="1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3,294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14,712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15,234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84"/>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New active Dealers (1)</w:t>
            </w: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799</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1,842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volume per new active Dealers</w:t>
            </w:r>
          </w:p>
        </w:tc>
        <w:tc>
          <w:tcPr>
            <w:tcW w:w="1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97"/>
        </w:trPr>
        <w:tc>
          <w:tcPr>
            <w:tcW w:w="3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Attrition (2)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7"/>
        </w:trPr>
        <w:tc>
          <w:tcPr>
            <w:tcW w:w="30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500" w:hanging="316"/>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active Dealers are Dealers who enrolled in our program and have received funding for their first Loan from us during the period.</w:t>
      </w:r>
    </w:p>
    <w:p>
      <w:pPr>
        <w:spacing w:after="0" w:line="17" w:lineRule="exact"/>
        <w:rPr>
          <w:rFonts w:ascii="Times New Roman" w:cs="Times New Roman" w:eastAsia="Times New Roman" w:hAnsi="Times New Roman"/>
          <w:sz w:val="14"/>
          <w:szCs w:val="14"/>
          <w:color w:val="auto"/>
        </w:rPr>
      </w:pPr>
    </w:p>
    <w:p>
      <w:pPr>
        <w:ind w:left="500" w:hanging="316"/>
        <w:spacing w:after="0" w:line="258" w:lineRule="auto"/>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percentage of Consumer Loans assigned to us as Dealer Loans and Purchased Loans for each of the last six quarters: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Borders>
              <w:bottom w:val="single" w:sz="8" w:color="auto"/>
            </w:tcBorders>
            <w:gridSpan w:val="3"/>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120" w:type="dxa"/>
            <w:vAlign w:val="bottom"/>
          </w:tcPr>
          <w:p>
            <w:pPr>
              <w:spacing w:after="0"/>
              <w:rPr>
                <w:sz w:val="18"/>
                <w:szCs w:val="18"/>
                <w:color w:val="auto"/>
              </w:rPr>
            </w:pPr>
          </w:p>
        </w:tc>
        <w:tc>
          <w:tcPr>
            <w:tcW w:w="28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Dollar Volume (1)</w:t>
            </w:r>
          </w:p>
        </w:tc>
      </w:tr>
      <w:tr>
        <w:trPr>
          <w:trHeight w:val="264"/>
        </w:trPr>
        <w:tc>
          <w:tcPr>
            <w:tcW w:w="3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Purchased Loans</w:t>
            </w: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1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3"/>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1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1"/>
                <w:szCs w:val="21"/>
                <w:color w:val="auto"/>
              </w:rPr>
            </w:pPr>
          </w:p>
        </w:tc>
        <w:tc>
          <w:tcPr>
            <w:tcW w:w="1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bl>
    <w:p>
      <w:pPr>
        <w:spacing w:after="0" w:line="126" w:lineRule="exact"/>
        <w:rPr>
          <w:sz w:val="20"/>
          <w:szCs w:val="20"/>
          <w:color w:val="auto"/>
        </w:rPr>
      </w:pPr>
    </w:p>
    <w:p>
      <w:pPr>
        <w:ind w:left="500" w:right="20" w:hanging="316"/>
        <w:spacing w:after="0" w:line="282" w:lineRule="auto"/>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net Dealer Loans receivable balance was 71.2% and 74.6%, respectively, of the total net Loans receivable balance.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Three Months Ended June 30, 2017 Compared to Three Months Ended June 30, 2016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and income statement data on a consolidated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charges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 earned</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wages (1)</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 (1)</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claims</w:t>
            </w: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19,458,155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20,379,557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(921,402)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19,463,521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20,382,804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(919,283)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 Operating expenses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783"/>
        </w:trPr>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Finance Charges. </w:t>
      </w:r>
      <w:r>
        <w:rPr>
          <w:rFonts w:ascii="Times New Roman" w:cs="Times New Roman" w:eastAsia="Times New Roman" w:hAnsi="Times New Roman"/>
          <w:sz w:val="18"/>
          <w:szCs w:val="18"/>
          <w:color w:val="auto"/>
        </w:rPr>
        <w:t>The increase of $36.6 million, or 17.0%, was primarily the result of an increase in the average net Loans receivable balance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a decrease in the average yield on our Loan portfolio,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0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340" w:type="dxa"/>
            <w:vAlign w:val="bottom"/>
            <w:tcBorders>
              <w:bottom w:val="single" w:sz="8" w:color="auto"/>
            </w:tcBorders>
          </w:tcPr>
          <w:p>
            <w:pPr>
              <w:spacing w:after="0"/>
              <w:rPr>
                <w:sz w:val="18"/>
                <w:szCs w:val="18"/>
                <w:color w:val="auto"/>
              </w:rPr>
            </w:pPr>
          </w:p>
        </w:tc>
      </w:tr>
      <w:tr>
        <w:trPr>
          <w:trHeight w:val="264"/>
        </w:trPr>
        <w:tc>
          <w:tcPr>
            <w:tcW w:w="58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net Loans receivable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6"/>
              </w:rPr>
              <w:t>4,206.9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3,445.0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761.9</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yield on our Loan portfolio</w:t>
            </w: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the impact each component had on the overall increase in finance charges for the three months ended June 30,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Pr>
          <w:p>
            <w:pPr>
              <w:spacing w:after="0"/>
              <w:rPr>
                <w:sz w:val="16"/>
                <w:szCs w:val="16"/>
                <w:color w:val="auto"/>
              </w:rPr>
            </w:pPr>
          </w:p>
        </w:tc>
        <w:tc>
          <w:tcPr>
            <w:tcW w:w="21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r>
      <w:tr>
        <w:trPr>
          <w:trHeight w:val="161"/>
        </w:trPr>
        <w:tc>
          <w:tcPr>
            <w:tcW w:w="8900" w:type="dxa"/>
            <w:vAlign w:val="bottom"/>
          </w:tcPr>
          <w:p>
            <w:pPr>
              <w:spacing w:after="0"/>
              <w:rPr>
                <w:sz w:val="13"/>
                <w:szCs w:val="13"/>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r>
      <w:tr>
        <w:trPr>
          <w:trHeight w:val="207"/>
        </w:trPr>
        <w:tc>
          <w:tcPr>
            <w:tcW w:w="8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Impact on finance charges:</w:t>
            </w: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to an increase in the average net Loans receivable balance</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47.6</w:t>
            </w:r>
          </w:p>
        </w:tc>
      </w:tr>
      <w:tr>
        <w:trPr>
          <w:trHeight w:val="284"/>
        </w:trPr>
        <w:tc>
          <w:tcPr>
            <w:tcW w:w="8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Due to a decrease in the average yield</w:t>
            </w: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57"/>
        </w:trPr>
        <w:tc>
          <w:tcPr>
            <w:tcW w:w="8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increase in finance charges</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8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the average net Loans receivable balance was primarily due to the year-over-year growth in Consumer Loan assignment volume in recent years. The average yield on our Loan portfolio for the three months ended June 30, 2017 decreased as compared to the same period in 2016 due to lower yields on more recent Consumer Loan assignments.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The increase of $6.5 million, or 11.9%, was primarily due to the following:</w:t>
      </w:r>
    </w:p>
    <w:p>
      <w:pPr>
        <w:spacing w:after="0" w:line="227" w:lineRule="exact"/>
        <w:rPr>
          <w:sz w:val="20"/>
          <w:szCs w:val="20"/>
          <w:color w:val="auto"/>
        </w:rPr>
      </w:pPr>
    </w:p>
    <w:p>
      <w:pPr>
        <w:ind w:left="980" w:hanging="324"/>
        <w:spacing w:after="0" w:line="261"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salaries and wages expense of $2.6 million, or 8.6%, primarily related to our servicing function as a result of an increase in the number of team members.</w:t>
      </w: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$2.5 million, or 21.0%, primarily due to an increase in the size of our sales force.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$1.4 million, or 11.1%, primarily as a result of an increase in legal fees.</w:t>
      </w: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 Under GAAP, when the present value of forecasted future cash flows declines relative to our expectations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assignment, a provision for credit losses is recorded immediately as a current period expense and a corresponding allowance for credit losses is established. For purposes of calculating the required allowance, Dealer Loans are grouped by Dealer and Purchased Loans are grouped by month of purchase. As a result, regardless of the overall performance of the portfolio of Consumer Loans, a provision can be required if any individual Loan pool performs worse than expected. Conversely, a previously recorded provision can be reversed if any previously impaired individual Loan pool experiences an improvement in performance.</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2017, overall Consumer Loan performance exceeded our expectations at the start of the period. However, the performance of certain Loan pools declined from our expectations during the period, resulting in a provision for credit losses of $21.8 million for the three months ended June 30, 2017, of which $18.2 million related to Dealer Loans and $3.6 million related to Purchased Loans. During the three months ended June 30, 2016, overall Consumer Loan performance declined from our expectations at the start of the period, resulting in a provision for credit losses of $17.9 million for the three months ended June 30, 2016, all of which related to Dealer Loans.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The increase of $5.6 million, or 23.0%, as compared to the same period in 2016 was primarily due to an increase in the average outstanding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due to debt proceeds used to fund the growth in Consumer Loan assignment volume and stock repurchases. The following table shows interest expense, the average outstanding debt balance, and the average cost of debt for the three months ended June 30, 2017 and 2016:</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340" w:type="dxa"/>
            <w:vAlign w:val="bottom"/>
            <w:tcBorders>
              <w:bottom w:val="single" w:sz="8" w:color="auto"/>
            </w:tcBorders>
          </w:tcPr>
          <w:p>
            <w:pPr>
              <w:spacing w:after="0"/>
              <w:rPr>
                <w:sz w:val="18"/>
                <w:szCs w:val="18"/>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outstanding debt principal balance (1)</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2,924.8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2,461.6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463.2</w:t>
            </w:r>
          </w:p>
        </w:tc>
      </w:tr>
      <w:tr>
        <w:trPr>
          <w:trHeight w:val="27"/>
        </w:trPr>
        <w:tc>
          <w:tcPr>
            <w:tcW w:w="5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cost of debt</w:t>
            </w:r>
          </w:p>
        </w:tc>
        <w:tc>
          <w:tcPr>
            <w:tcW w:w="10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9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500" w:hanging="330"/>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unamortized debt discount and excludes deferred debt issuance costs.</w:t>
      </w:r>
    </w:p>
    <w:p>
      <w:pPr>
        <w:spacing w:after="0" w:line="220"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For the three months ended June 30, 2017, the effective tax rate of 36.9% was generally consistent with the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37.0% in the same period in 2016.</w:t>
      </w: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Six Months Ended June 30, 2017 Compared to Six Months Ended June 30, 2016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and income statement data on a consolidated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charges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 earned</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wages (1)</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 (1)</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claims</w:t>
            </w: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19,589,593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20,407,379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(817,786)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19,615,849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20,433,524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(817,675)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 Operating expenses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Finance Charges. </w:t>
      </w:r>
      <w:r>
        <w:rPr>
          <w:rFonts w:ascii="Times New Roman" w:cs="Times New Roman" w:eastAsia="Times New Roman" w:hAnsi="Times New Roman"/>
          <w:sz w:val="18"/>
          <w:szCs w:val="18"/>
          <w:color w:val="auto"/>
        </w:rPr>
        <w:t>The increase of $71.8 million, or 17.2%, was primarily the result of an increase in the average net Loans receivable balance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a decrease in the average yield on our Loan portfolio,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0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400" w:type="dxa"/>
            <w:vAlign w:val="bottom"/>
            <w:tcBorders>
              <w:bottom w:val="single" w:sz="8" w:color="auto"/>
            </w:tcBorders>
          </w:tcPr>
          <w:p>
            <w:pPr>
              <w:spacing w:after="0"/>
              <w:rPr>
                <w:sz w:val="18"/>
                <w:szCs w:val="18"/>
                <w:color w:val="auto"/>
              </w:rPr>
            </w:pPr>
          </w:p>
        </w:tc>
      </w:tr>
      <w:tr>
        <w:trPr>
          <w:trHeight w:val="264"/>
        </w:trPr>
        <w:tc>
          <w:tcPr>
            <w:tcW w:w="58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net Loans receivable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6"/>
              </w:rPr>
              <w:t>4,093.6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3,327.5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766.1</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yield on our Loan portfolio</w:t>
            </w: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impact each component had on the overall increase in finance charges for the six months ended June 30,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6"/>
                <w:szCs w:val="16"/>
                <w:color w:val="auto"/>
              </w:rPr>
            </w:pPr>
          </w:p>
        </w:tc>
        <w:tc>
          <w:tcPr>
            <w:tcW w:w="2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r>
      <w:tr>
        <w:trPr>
          <w:trHeight w:val="161"/>
        </w:trPr>
        <w:tc>
          <w:tcPr>
            <w:tcW w:w="8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07"/>
        </w:trPr>
        <w:tc>
          <w:tcPr>
            <w:tcW w:w="8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Impact on finance charges:</w:t>
            </w: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to an increase in the average net Loans receivable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96.2</w:t>
            </w:r>
          </w:p>
        </w:tc>
      </w:tr>
      <w:tr>
        <w:trPr>
          <w:trHeight w:val="284"/>
        </w:trPr>
        <w:tc>
          <w:tcPr>
            <w:tcW w:w="8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Due to a decrease in the average yield</w:t>
            </w: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57"/>
        </w:trPr>
        <w:tc>
          <w:tcPr>
            <w:tcW w:w="8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increase in finance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the average net Loans receivable balance was primarily due to the year-over-year growth in Consumer Loan assignment volume in recent years. The average yield on our Loan portfolio for the six months ended June 30, 2017 decreased as compared to the same period in 2016 due to lower yields on more recent Consumer Loan assignments.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The increase of $12.5 million, or 11.1%, was primarily due to the following:</w:t>
      </w:r>
    </w:p>
    <w:p>
      <w:pPr>
        <w:spacing w:after="0" w:line="227" w:lineRule="exact"/>
        <w:rPr>
          <w:sz w:val="20"/>
          <w:szCs w:val="20"/>
          <w:color w:val="auto"/>
        </w:rPr>
      </w:pPr>
    </w:p>
    <w:p>
      <w:pPr>
        <w:ind w:left="980" w:hanging="324"/>
        <w:spacing w:after="0" w:line="26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salaries and wages expense of $5.4 million, or 8.6%, primarily related to our servicing function as a result of an increase in the number of team members.</w:t>
      </w: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$3.9 million, or 15.2%, primarily due to an increase in the size of our sales force.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$3.2 million, or 13.0%, primarily as a result of an increase in legal fees.</w:t>
      </w: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 During the six months ended June 30, 2017, overall Consumer Loan performance exceeded our expectations at the start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However, the performance of certain Loan pools declined from our expectations during the period, resulting in a provision for credit losses of $42.3 million for the six months ended June 30, 2017, of which $35.4 million related to Dealer Loans and $6.9 million related to Purchased Loans. During the six months ended June 30, 2016, overall Consumer Loan performance declined from our expectations at the start of the period, resulting in a provision for credit losses of $40.0 million for the six months ended June 30, 2016, of which $39.7 million related to Dealer Loans and $0.3 million related to Purchased Loans.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The increase of $11.1 million, or 23.9%, as compared to the same period in 2016 was primarily due to an increase in the average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principal balance due to debt proceeds used to fund the growth in Consumer Loan assignment volume and stock repurchases. The following table shows interest expense, the average outstanding debt balance, and the average cost of debt for the six months ended June 30, 2017 and 2016:</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360" w:type="dxa"/>
            <w:vAlign w:val="bottom"/>
            <w:tcBorders>
              <w:bottom w:val="single" w:sz="8" w:color="auto"/>
            </w:tcBorders>
          </w:tcPr>
          <w:p>
            <w:pPr>
              <w:spacing w:after="0"/>
              <w:rPr>
                <w:sz w:val="18"/>
                <w:szCs w:val="18"/>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outstanding debt principal balance (1)</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2,837.4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2,336.2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501.2</w:t>
            </w:r>
          </w:p>
        </w:tc>
      </w:tr>
      <w:tr>
        <w:trPr>
          <w:trHeight w:val="27"/>
        </w:trPr>
        <w:tc>
          <w:tcPr>
            <w:tcW w:w="5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cost of debt</w:t>
            </w:r>
          </w:p>
        </w:tc>
        <w:tc>
          <w:tcPr>
            <w:tcW w:w="10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9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500" w:hanging="330"/>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unamortized debt discount and excludes deferred debt issuance costs.</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For the six months ended June 30, 2017, the effective tax rate decreased to 36.1% from 37.1% in the same period in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was primarily due to the adoption of new accounting guidance on January 1, 2017, which reduced our current year provision for income taxes by $2.5 million for tax benefits related to our stock-based compensation plans. For additional information, see Note 3 and Note 11 to the consolidated financial statements contained in Item 1 of this Form 10-Q,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June 30, 2017. For information regarding these financings and the covenants included in the related documents, see Note 8 to the consolidated financial statements contained in Item 1 of this Form 10-Q, which is incorporated herein by reference.</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23, 2017, we completed a $350.0 million Term ABS financing, which was used to repay outstanding indebtedness. The financing has an expected annualized cost of approximately 3.1% (including the initial purchaser’s fees and other costs), and it will revolve for 24 months, after which it will amortize based upon the cash flows on the contributed Loans.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28, 2017, we increased the financing amount on Warehouse Facility IV from $75.0 million to $100.0 million and extended the date on which the facility will cease to revolve from April 30, 2018 to April 30, 2020. The interest rate on borrowings under the facility increased from LIBOR plus 200 basis points to LIBOR plus 225 basis points. There were no other material changes to the terms of the facility.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28, 2017, we extended the maturity of our revolving secured line of credit facility with a commercial bank syndicate from June 22, 2019 to June 22, 2020. We also increased the amount of the facility from $310.0 million to $345.0 million until June 22, 2019, when the amount of the facility will decrease to $300.0 million. There were no other material changes to the terms of the facility.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29, 2017, we completed a $450.0 million Term ABS financing, which was used to repay outstanding indebtedness. The financing has an expected annualized cost of approximately 3.0% (including the initial purchaser’s fees and other costs), and it will revolve for 24 months, after which it will amortize based upon the cash flows on the contributed Loans.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18, 2017, we extended the date on which Warehouse Facility VI will cease to revolve from September 30, 2018 to September 30, 2020. There were no other material changes to the terms of the facility.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as of June 30, 2017 and December 31, 2016 was $27.2 million and $14.6 million, respectively. As of June 30, 2017 and December 31, 2016, we had $1,020.0 million and $948.0 million in unused and available lines of credit, respectively. Our total balance sheet indebtedness increased $410.7 million to $3,014.4 million as of June 30, 2017 from $2,603.7 million as of December 31, 2016 primarily due to the growth in new Consumer Loan assignments.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scheduled principal debt maturities as of June 30, 2017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vMerge w:val="restart"/>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Principal Debt</w:t>
            </w:r>
          </w:p>
        </w:tc>
        <w:tc>
          <w:tcPr>
            <w:tcW w:w="0" w:type="dxa"/>
            <w:vAlign w:val="bottom"/>
          </w:tcPr>
          <w:p>
            <w:pPr>
              <w:spacing w:after="0"/>
              <w:rPr>
                <w:sz w:val="1"/>
                <w:szCs w:val="1"/>
                <w:color w:val="auto"/>
              </w:rPr>
            </w:pPr>
          </w:p>
        </w:tc>
      </w:tr>
      <w:tr>
        <w:trPr>
          <w:trHeight w:val="207"/>
        </w:trPr>
        <w:tc>
          <w:tcPr>
            <w:tcW w:w="96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Remainder of 2017</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2018</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2019</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2021</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Over five years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ind w:left="1160" w:hanging="1155"/>
        <w:spacing w:after="0"/>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358.1</w:t>
      </w:r>
    </w:p>
    <w:p>
      <w:pPr>
        <w:spacing w:after="0" w:line="6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34290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1,018.4</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34290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300.0</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34290</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0" w:lineRule="exact"/>
        <w:rPr>
          <w:sz w:val="20"/>
          <w:szCs w:val="20"/>
          <w:color w:val="auto"/>
        </w:rPr>
      </w:pPr>
    </w:p>
    <w:p>
      <w:pPr>
        <w:ind w:left="1040" w:hanging="103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1080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020" w:space="720"/>
            <w:col w:w="1680"/>
          </w:cols>
          <w:pgMar w:left="240" w:top="121" w:right="239" w:bottom="1440" w:gutter="0" w:footer="0" w:header="0"/>
          <w:type w:val="continuous"/>
        </w:sectPr>
      </w:pPr>
    </w:p>
    <w:p>
      <w:pPr>
        <w:spacing w:after="0" w:line="75" w:lineRule="exact"/>
        <w:rPr>
          <w:sz w:val="20"/>
          <w:szCs w:val="20"/>
          <w:color w:val="auto"/>
        </w:rPr>
      </w:pPr>
    </w:p>
    <w:p>
      <w:pPr>
        <w:ind w:left="500" w:hanging="316"/>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maturities of certain financings are estimated based on forecasted collections.</w:t>
      </w:r>
    </w:p>
    <w:p>
      <w:pPr>
        <w:spacing w:after="0" w:line="1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upon anticipated cash flows, management believes that cash flows from operations and its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 Item 7 of our Annual Report on Form 10-K for the year ended December 31, 2016 discusses several critical accounting estimates, which we believe involve a high degree of judgment and complexity. There have been no material changes to the estimates and assumptions associated with these accounting estimates from those discussed in our Annual Report on Form 10-K for the year ended December 31,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report and may make such statements in future filings with the Securities and Exchange Commission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2016, other risk factors discussed herein or listed from time to time in our reports filed with the SEC and the following:</w:t>
      </w:r>
    </w:p>
    <w:p>
      <w:pPr>
        <w:spacing w:after="0" w:line="184" w:lineRule="exact"/>
        <w:rPr>
          <w:sz w:val="20"/>
          <w:szCs w:val="20"/>
          <w:color w:val="auto"/>
        </w:rPr>
      </w:pPr>
    </w:p>
    <w:p>
      <w:pPr>
        <w:ind w:left="5620" w:right="1960" w:hanging="5288"/>
        <w:spacing w:after="0" w:line="564" w:lineRule="auto"/>
        <w:tabs>
          <w:tab w:leader="none" w:pos="6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accurately forecast and estimate the amount and timing of future collections could have a material adverse 47</w:t>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 on results of operations.</w:t>
      </w:r>
    </w:p>
    <w:p>
      <w:pPr>
        <w:spacing w:after="0" w:line="23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business strategy due to current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to access or renew funding sources and obtain capital needed to maintain and grow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debt limit how we conduct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the terms of our Term ABS facilities or Warehouse facilities could have a material adverse impact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negatively impact our business, prevent us from satisfying our debt obligations and adversely affect our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competition from traditional financing sources and non-traditional lenders, we may not be able to compete successfully.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flows to service our outstanding debt and fund operations and may be forced to take other actions to satisfy our obligations under such debt.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adversely affect our borrowing costs, profitability and liquidity.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substantially more debt and other liabilities. This could exacerbate further the risks associated with our current debt levels.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to which we are or may become subject could result in a material adverse effect on our business.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we are involved in from time to time may adversely affect our financial condition, results of operations and cash flows.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uncertain income tax matters could have a material adverse effect on our results of operations and cash flows from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technology could have a material adverse effect on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electronic contracts could impact our ability to perfect our ownership or security interest in Consumer Loans.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administer our ancillary product offerings could adversely affect our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senior management and the loss of any of these individuals or an inability to hire additional team members could adversely affect our ability to operate profitably.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is a key asset to our business, and our business may be affected by how we are perceived in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Dealers in several states could adversely affect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safeguard confidential consumer and team member information could subject us to liability, decrease our profitability and damage our reputation.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our outsourced business functions could adversely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foreign information technology personnel could be hindered by immigration restrictions.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2016 for a complete discussion of our market risk. There have been no material changes to the market risk information included in our 2016 Annual Report on Form 10-K.</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7" w:lineRule="exact"/>
        <w:rPr>
          <w:sz w:val="20"/>
          <w:szCs w:val="20"/>
          <w:color w:val="auto"/>
        </w:rPr>
      </w:pPr>
    </w:p>
    <w:p>
      <w:pPr>
        <w:jc w:val="both"/>
        <w:ind w:firstLine="332"/>
        <w:spacing w:after="0" w:line="255" w:lineRule="auto"/>
        <w:tabs>
          <w:tab w:leader="none" w:pos="5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 Officer,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5" w:lineRule="exact"/>
        <w:rPr>
          <w:rFonts w:ascii="Times New Roman" w:cs="Times New Roman" w:eastAsia="Times New Roman" w:hAnsi="Times New Roman"/>
          <w:sz w:val="18"/>
          <w:szCs w:val="18"/>
          <w:color w:val="auto"/>
        </w:rPr>
      </w:pPr>
    </w:p>
    <w:p>
      <w:pPr>
        <w:jc w:val="both"/>
        <w:ind w:firstLine="332"/>
        <w:spacing w:after="0" w:line="267" w:lineRule="auto"/>
        <w:tabs>
          <w:tab w:leader="none" w:pos="5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physical and mental damages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The damages, fines and penalties that may be claimed by consumers, regulatory agencies or Dealers in these types of matters can be substantial. The relief requested by plaintiffs varies but may include requests for compensatory, statutory and punitive damages and injunctive relief, and plaintiffs may seek treatment as purported class actions. An adverse ultimate disposition in any action to which we are a party or otherwise subject could have a material adverse impact on our financial position, liquidity and results of operations.</w:t>
      </w:r>
    </w:p>
    <w:p>
      <w:pPr>
        <w:spacing w:after="0" w:line="19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significant litigation to which we are a party, see Note 15 to the consolidated financial statements contained in Part I - Item 1 of this Form 10-Q, which is incorporated herein by reference.</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repurchases for the three months ended June 30,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vMerge w:val="restart"/>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 (1)</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to April 30, 2017</w:t>
            </w:r>
          </w:p>
        </w:tc>
        <w:tc>
          <w:tcPr>
            <w:tcW w:w="25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857,945</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to May 31, 2017</w:t>
            </w:r>
          </w:p>
        </w:tc>
        <w:tc>
          <w:tcPr>
            <w:tcW w:w="2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53,811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214.25</w:t>
            </w:r>
          </w:p>
        </w:tc>
        <w:tc>
          <w:tcPr>
            <w:tcW w:w="100" w:type="dxa"/>
            <w:vAlign w:val="bottom"/>
          </w:tcPr>
          <w:p>
            <w:pPr>
              <w:spacing w:after="0"/>
              <w:rPr>
                <w:sz w:val="21"/>
                <w:szCs w:val="21"/>
                <w:color w:val="auto"/>
              </w:rPr>
            </w:pPr>
          </w:p>
        </w:tc>
        <w:tc>
          <w:tcPr>
            <w:tcW w:w="2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53,811</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804,134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to June 30, 2017</w:t>
            </w:r>
          </w:p>
        </w:tc>
        <w:tc>
          <w:tcPr>
            <w:tcW w:w="20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27,926</w:t>
            </w: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218.78</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27,926</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776,208</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81,737</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215.80</w:t>
            </w:r>
          </w:p>
        </w:tc>
        <w:tc>
          <w:tcPr>
            <w:tcW w:w="100" w:type="dxa"/>
            <w:vAlign w:val="bottom"/>
          </w:tcPr>
          <w:p>
            <w:pPr>
              <w:spacing w:after="0"/>
              <w:rPr>
                <w:sz w:val="21"/>
                <w:szCs w:val="21"/>
                <w:color w:val="auto"/>
              </w:rPr>
            </w:pPr>
          </w:p>
        </w:tc>
        <w:tc>
          <w:tcPr>
            <w:tcW w:w="2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81,737</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right="20" w:hanging="330"/>
        <w:spacing w:after="0" w:line="282" w:lineRule="auto"/>
        <w:tabs>
          <w:tab w:leader="none" w:pos="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13, 2017, our board of directors authorized the repurchase by us from time to time in the open market or in privately negotiated transactions of up to one million shares of our common stock (the "February 2017 Authorization"). The February 2017 Authorization, which was announced on February 17, 2017, does not have a specified expiration date.</w:t>
      </w:r>
    </w:p>
    <w:p>
      <w:pPr>
        <w:spacing w:after="0" w:line="200" w:lineRule="exact"/>
        <w:rPr>
          <w:sz w:val="20"/>
          <w:szCs w:val="20"/>
          <w:color w:val="auto"/>
        </w:rPr>
      </w:pPr>
    </w:p>
    <w:p>
      <w:pPr>
        <w:spacing w:after="0" w:line="23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Index of Exhibits following the signature page, which is incorporated herein by reference.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CREDIT ACCEPTANCE CORPORATION</w:t>
      </w:r>
    </w:p>
    <w:p>
      <w:pPr>
        <w:spacing w:after="0" w:line="6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(Registrant)</w:t>
      </w:r>
    </w:p>
    <w:p>
      <w:pPr>
        <w:spacing w:after="0" w:line="266" w:lineRule="exact"/>
        <w:rPr>
          <w:sz w:val="20"/>
          <w:szCs w:val="20"/>
          <w:color w:val="auto"/>
        </w:rPr>
      </w:pPr>
    </w:p>
    <w:p>
      <w:pPr>
        <w:ind w:left="2540"/>
        <w:spacing w:after="0"/>
        <w:tabs>
          <w:tab w:leader="none" w:pos="4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32499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7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Kenneth S. Booth</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63" w:lineRule="exact"/>
        <w:rPr>
          <w:sz w:val="20"/>
          <w:szCs w:val="20"/>
          <w:color w:val="auto"/>
        </w:rPr>
      </w:pPr>
    </w:p>
    <w:p>
      <w:pPr>
        <w:ind w:left="2540"/>
        <w:spacing w:after="0"/>
        <w:tabs>
          <w:tab w:leader="none" w:pos="4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2017</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documents are filed as part of this report. Those exhibits previously filed and incorporated herein by reference are identified below. Exhibits not required for this report have been omitted. Unless otherwise noted, the Company’s commission file number for all exhibits incorporated by reference herein is 000-20202.</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4.73</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4.74</w:t>
      </w: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4.75</w:t>
      </w: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4.76</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36830</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Indenture dated as of February 23, 2017, between Credit Acceptance Auto Loan Trust 2017-1 and Wells Fargo Bank, National Association (incorporated by reference to an exhibit to the Company’s Current Report on Form 8-K, dated February 23, 2017).</w:t>
      </w:r>
    </w:p>
    <w:p>
      <w:pPr>
        <w:spacing w:after="0" w:line="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Sale and Servicing Agreement dated as of February 23, 2017 among the Company, Credit Acceptance Auto Loan Trust 2017-1, Credit Acceptance Funding LLC 2017-1, and Wells Fargo Bank, National Association (incorporated by reference to an exhibit to the Company’s Current Report on Form 8-K, dated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wp:posOffset>
            </wp:positionV>
            <wp:extent cx="72466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Backup Servicing Agreement dated as of February 23, 2017, among the Company, Credit Acceptance Funding LLC 2017-1, Credit Acceptance Auto Loan Trust 2017-1, and Wells Fargo Bank, National Association (incorporated by reference to an exhibit to the Company’s Current Report on Form 8-K, dated February 23, 2017).</w:t>
      </w:r>
    </w:p>
    <w:p>
      <w:pPr>
        <w:spacing w:after="0" w:line="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Amended and Restated Trust Agreement dated as of February 23, 2017, between Credit Acceptance Funding LLC 2017-1 and U.S. Bank Trust National Association (incorporated by reference to an exhibit to the Company’s Current Report on Form 8-K, dated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Sale and Contribution Agreement dated as of February 23, 2017, between the Company and Credit Acceptance Funding LLC 2017-1(incorporated by reference to an exhibit to the Company’s Current Report on Form 8-K, dated February 23, 2017).</w:t>
      </w:r>
    </w:p>
    <w:p>
      <w:pPr>
        <w:spacing w:after="0" w:line="2" w:lineRule="exact"/>
        <w:rPr>
          <w:sz w:val="20"/>
          <w:szCs w:val="20"/>
          <w:color w:val="auto"/>
        </w:rPr>
      </w:pPr>
    </w:p>
    <w:p>
      <w:pPr>
        <w:sectPr>
          <w:pgSz w:w="11900" w:h="16838" w:orient="portrait"/>
          <w:cols w:equalWidth="0" w:num="2">
            <w:col w:w="820" w:space="600"/>
            <w:col w:w="9980"/>
          </w:cols>
          <w:pgMar w:left="240" w:top="121" w:right="259" w:bottom="1440" w:gutter="0" w:footer="0" w:header="0"/>
          <w:type w:val="continuous"/>
        </w:sectPr>
      </w:pPr>
    </w:p>
    <w:p>
      <w:pPr>
        <w:jc w:val="both"/>
        <w:ind w:left="1420"/>
        <w:spacing w:after="0" w:line="255" w:lineRule="auto"/>
        <w:rPr>
          <w:sz w:val="20"/>
          <w:szCs w:val="20"/>
          <w:color w:val="auto"/>
        </w:rPr>
      </w:pPr>
      <w:r>
        <w:rPr>
          <w:rFonts w:ascii="Times New Roman" w:cs="Times New Roman" w:eastAsia="Times New Roman" w:hAnsi="Times New Roman"/>
          <w:sz w:val="18"/>
          <w:szCs w:val="18"/>
          <w:color w:val="auto"/>
        </w:rPr>
        <w:t>Amended and Restated Intercreditor Agreement dated February 23, 2017, among the Company, CAC Warehouse Funding Corporation II, CAC Warehouse Funding LLC IV, CAC Warehouse Funding LLC V, CAC Warehouse Funding LLC VI, Credit Acceptance Funding LLC 2017-1, Credit Acceptance Funding LLC 2016-3, Credit Acceptance Funding LLC 2016-2, Credit Acceptance Funding LLC 2016-1, Credit Acceptance Funding LLC 2015-2, Credit Acceptance Funding LLC 2015-1, Credit Acceptance Funding LLC 2014-2, Credit</w:t>
      </w:r>
    </w:p>
    <w:p>
      <w:pPr>
        <w:spacing w:after="0" w:line="3" w:lineRule="exact"/>
        <w:rPr>
          <w:sz w:val="20"/>
          <w:szCs w:val="20"/>
          <w:color w:val="auto"/>
        </w:rPr>
      </w:pPr>
    </w:p>
    <w:p>
      <w:pPr>
        <w:jc w:val="both"/>
        <w:ind w:left="1420" w:hanging="1041"/>
        <w:spacing w:after="0" w:line="253" w:lineRule="auto"/>
        <w:tabs>
          <w:tab w:leader="none" w:pos="1400" w:val="left"/>
        </w:tabs>
        <w:rPr>
          <w:sz w:val="20"/>
          <w:szCs w:val="20"/>
          <w:color w:val="auto"/>
        </w:rPr>
      </w:pPr>
      <w:r>
        <w:rPr>
          <w:rFonts w:ascii="Times New Roman" w:cs="Times New Roman" w:eastAsia="Times New Roman" w:hAnsi="Times New Roman"/>
          <w:sz w:val="18"/>
          <w:szCs w:val="18"/>
          <w:color w:val="auto"/>
        </w:rPr>
        <w:t>4.78</w:t>
      </w:r>
      <w:r>
        <w:rPr>
          <w:sz w:val="20"/>
          <w:szCs w:val="20"/>
          <w:color w:val="auto"/>
        </w:rPr>
        <w:tab/>
      </w:r>
      <w:r>
        <w:rPr>
          <w:rFonts w:ascii="Times New Roman" w:cs="Times New Roman" w:eastAsia="Times New Roman" w:hAnsi="Times New Roman"/>
          <w:sz w:val="18"/>
          <w:szCs w:val="18"/>
          <w:color w:val="auto"/>
        </w:rPr>
        <w:t>Acceptance Funding LLC 2014-1, Credit Acceptance Auto Loan Trust 2017-1, Credit Acceptance Auto Loan Trust 2016-3, Credit Acceptance Auto Loan Trust 2016-2, Credit Acceptance Auto Loan Trust 2015-2, Credit Acceptance Auto Loan Trust 2015-1, Credit Acceptance Auto Loan Trust 2014-2, Credit Acceptance Auto Loan Trust 2014-1, Wells Fargo Bank, National Association, as agent, Fifth Third Bank, as agent, Bank of Montreal, as agent, Flagstar Bank, FSB, as agent and Comerica Bank, as agent (incorporated by reference to an exhibit to the Company’s Current Report on Form 8-K, dated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4.79</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4.80</w:t>
      </w:r>
    </w:p>
    <w:p>
      <w:pPr>
        <w:spacing w:after="0" w:line="3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4.81</w:t>
      </w:r>
    </w:p>
    <w:p>
      <w:pPr>
        <w:spacing w:after="0" w:line="3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4.82</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4.83</w:t>
      </w:r>
    </w:p>
    <w:p>
      <w:pPr>
        <w:spacing w:after="0" w:line="3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4.84</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4.85</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Fourth Amendment to Loan and Security Agreement dated as of April 28, 2017 among the Company, CAC Warehouse Funding LLC IV, Bank of Montreal, BMO Capital Markets Corp., and Wells Fargo Bank, National Association (incorporated by reference to an exhibit to the Company’s Current Report on Form 8-K, dated April 28, 2017).</w:t>
      </w:r>
    </w:p>
    <w:p>
      <w:pPr>
        <w:spacing w:after="0" w:line="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Amendment to Sixth Amended and Restated Credit Agreement and Extension Agreement dated as of June 28, 2017 among the Company, the Banks which are parties thereto from time to time, and Comerica Bank as Administrative Agent and Collateral Agent for the Banks (incorporated by reference to an exhibit to the Company’s Current Report on Form 8-K, dated June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320"/>
        <w:spacing w:after="0" w:line="281" w:lineRule="auto"/>
        <w:rPr>
          <w:sz w:val="20"/>
          <w:szCs w:val="20"/>
          <w:color w:val="auto"/>
        </w:rPr>
      </w:pPr>
      <w:r>
        <w:rPr>
          <w:rFonts w:ascii="Times New Roman" w:cs="Times New Roman" w:eastAsia="Times New Roman" w:hAnsi="Times New Roman"/>
          <w:sz w:val="18"/>
          <w:szCs w:val="18"/>
          <w:color w:val="auto"/>
        </w:rPr>
        <w:t>Indenture dated as of June 29, 2017, between Credit Acceptance Auto Loan Trust 2017-2 and Wells Fargo Bank, National Association (incorporated by reference to an exhibit to the Company’s Current Report on Form 8-K, dated June 29, 2017).</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Sale and Servicing Agreement dated as of June 29, 2017 among the Company, Credit Acceptance Auto Loan Trust 2017-2, Credit Acceptance Funding LLC 2017-2, and Wells Fargo Bank, National Association (incorporated by reference to an exhibit to the Company’s Current Report on Form 8-K, dated June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right="720"/>
        <w:spacing w:after="0" w:line="266" w:lineRule="auto"/>
        <w:rPr>
          <w:sz w:val="20"/>
          <w:szCs w:val="20"/>
          <w:color w:val="auto"/>
        </w:rPr>
      </w:pPr>
      <w:r>
        <w:rPr>
          <w:rFonts w:ascii="Times New Roman" w:cs="Times New Roman" w:eastAsia="Times New Roman" w:hAnsi="Times New Roman"/>
          <w:sz w:val="18"/>
          <w:szCs w:val="18"/>
          <w:color w:val="auto"/>
        </w:rPr>
        <w:t>Backup Servicing Agreement dated as of June 29, 2017, among the Company, Credit Acceptance Funding LLC 2017-2, Credit Acceptance Auto Loan Trust 2017-2, and Wells Fargo Bank, National Association (incorporated by reference to an exhibit to the Company’s Current Report on Form 8-K, dated June 29, 2017).</w:t>
      </w:r>
    </w:p>
    <w:p>
      <w:pPr>
        <w:spacing w:after="0" w:line="1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Amended and Restated Trust Agreement dated as of June 29, 2017, between Credit Acceptance Funding LLC 2017-2 and U.S. Bank Trust National Association (incorporated by reference to an exhibit to the Company’s Current Report on Form 8-K, dated June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-3810</wp:posOffset>
            </wp:positionV>
            <wp:extent cx="72466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720"/>
        <w:spacing w:after="0" w:line="282" w:lineRule="auto"/>
        <w:rPr>
          <w:sz w:val="20"/>
          <w:szCs w:val="20"/>
          <w:color w:val="auto"/>
        </w:rPr>
      </w:pPr>
      <w:r>
        <w:rPr>
          <w:rFonts w:ascii="Times New Roman" w:cs="Times New Roman" w:eastAsia="Times New Roman" w:hAnsi="Times New Roman"/>
          <w:sz w:val="18"/>
          <w:szCs w:val="18"/>
          <w:color w:val="auto"/>
        </w:rPr>
        <w:t>Sale and Contribution Agreement dated as of June 29, 2017, between the Company and Credit Acceptance Funding LLC 2017-2 (incorporated by reference to an exhibit to the Company’s Current Report on Form 8-K, dated June 29, 2017).</w:t>
      </w:r>
    </w:p>
    <w:p>
      <w:pPr>
        <w:spacing w:after="0" w:line="200" w:lineRule="exact"/>
        <w:rPr>
          <w:sz w:val="20"/>
          <w:szCs w:val="20"/>
          <w:color w:val="auto"/>
        </w:rPr>
      </w:pPr>
    </w:p>
    <w:p>
      <w:pPr>
        <w:sectPr>
          <w:pgSz w:w="11900" w:h="16838" w:orient="portrait"/>
          <w:cols w:equalWidth="0" w:num="2">
            <w:col w:w="700" w:space="720"/>
            <w:col w:w="9980"/>
          </w:cols>
          <w:pgMar w:left="240" w:top="121" w:right="259" w:bottom="1440" w:gutter="0" w:footer="0" w:header="0"/>
          <w:type w:val="continuous"/>
        </w:sectPr>
      </w:pP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21" w:right="25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Intercreditor Agreement dated June 29, 2017, among the Company, CAC Warehouse Funding Corporation II,</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CAC Warehouse Funding LLC IV, CAC Warehouse Funding LLC V, CAC Warehouse Funding LLC VI, Credit Acceptance Funding LLC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2017-2, Credit Acceptance Funding LLC 2017-1, Credit Acceptance Funding LLC 2016-3, Credit Acceptance Funding LLC 2016-2,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 Acceptance Funding LLC 2016-1, Credit Acceptance Funding LLC 2015-2, Credit Acceptance Funding LLC 2015-1, Credit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4.86</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Funding LLC 2014-2, Credit Acceptance Auto Loan Trust 2017-2, Credit Acceptance Auto Loan Trust 2017-1, Credit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Auto Loan Trust 2016-3, Credit Acceptance Auto Loan Trust 2016-2, Credit Acceptance Auto Loan Trust 2015-2, Credit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Acceptance Auto Loan Trust 2015-1, Credit Acceptance Auto Loan Trust 2014-2, Wells Fargo Bank, National Association, as agent, Fifth</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Bank, as agent, Bank of Montreal, as agent, Flagstar Bank, FSB, as agent and Comerica Bank, as agent (incorporated by reference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an exhibit to the Company’s Current Report on Form 8-K, dated June 29, 2017).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4.87</w:t>
            </w:r>
          </w:p>
        </w:tc>
        <w:tc>
          <w:tcPr>
            <w:tcW w:w="10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First Amendment to Loan and Security Agreement dated as of July 18, 2017 among the Company, CAC Warehouse Funding LLC VI and</w:t>
            </w:r>
          </w:p>
        </w:tc>
        <w:tc>
          <w:tcPr>
            <w:tcW w:w="0" w:type="dxa"/>
            <w:vAlign w:val="bottom"/>
          </w:tcPr>
          <w:p>
            <w:pPr>
              <w:spacing w:after="0"/>
              <w:rPr>
                <w:sz w:val="1"/>
                <w:szCs w:val="1"/>
                <w:color w:val="auto"/>
              </w:rPr>
            </w:pPr>
          </w:p>
        </w:tc>
      </w:tr>
      <w:tr>
        <w:trPr>
          <w:trHeight w:val="126"/>
        </w:trPr>
        <w:tc>
          <w:tcPr>
            <w:tcW w:w="1160" w:type="dxa"/>
            <w:vAlign w:val="bottom"/>
            <w:vMerge w:val="continue"/>
            <w:shd w:val="clear" w:color="auto" w:fill="CCEEFF"/>
          </w:tcPr>
          <w:p>
            <w:pPr>
              <w:spacing w:after="0"/>
              <w:rPr>
                <w:sz w:val="10"/>
                <w:szCs w:val="10"/>
                <w:color w:val="auto"/>
              </w:rPr>
            </w:pPr>
          </w:p>
        </w:tc>
        <w:tc>
          <w:tcPr>
            <w:tcW w:w="102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Flagstar Bank, FSB (incorporated by reference to an exhibit to the Company’s Current Report on Form 8-K, dated July 18, 2017).</w:t>
            </w:r>
          </w:p>
        </w:tc>
        <w:tc>
          <w:tcPr>
            <w:tcW w:w="0" w:type="dxa"/>
            <w:vAlign w:val="bottom"/>
          </w:tcPr>
          <w:p>
            <w:pPr>
              <w:spacing w:after="0"/>
              <w:rPr>
                <w:sz w:val="1"/>
                <w:szCs w:val="1"/>
                <w:color w:val="auto"/>
              </w:rPr>
            </w:pPr>
          </w:p>
        </w:tc>
      </w:tr>
      <w:tr>
        <w:trPr>
          <w:trHeight w:val="115"/>
        </w:trPr>
        <w:tc>
          <w:tcPr>
            <w:tcW w:w="1160" w:type="dxa"/>
            <w:vAlign w:val="bottom"/>
            <w:tcBorders>
              <w:bottom w:val="single" w:sz="8" w:color="CCEEFF"/>
            </w:tcBorders>
            <w:shd w:val="clear" w:color="auto" w:fill="CCEEFF"/>
          </w:tcPr>
          <w:p>
            <w:pPr>
              <w:spacing w:after="0"/>
              <w:rPr>
                <w:sz w:val="10"/>
                <w:szCs w:val="10"/>
                <w:color w:val="auto"/>
              </w:rPr>
            </w:pPr>
          </w:p>
        </w:tc>
        <w:tc>
          <w:tcPr>
            <w:tcW w:w="102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31.1</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31.2</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25"/>
        </w:trPr>
        <w:tc>
          <w:tcPr>
            <w:tcW w:w="11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5"/>
              </w:rPr>
              <w:t>32.1</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26"/>
        </w:trPr>
        <w:tc>
          <w:tcPr>
            <w:tcW w:w="1160" w:type="dxa"/>
            <w:vAlign w:val="bottom"/>
            <w:vMerge w:val="continue"/>
          </w:tcPr>
          <w:p>
            <w:pPr>
              <w:spacing w:after="0"/>
              <w:rPr>
                <w:sz w:val="10"/>
                <w:szCs w:val="10"/>
                <w:color w:val="auto"/>
              </w:rPr>
            </w:pPr>
          </w:p>
        </w:tc>
        <w:tc>
          <w:tcPr>
            <w:tcW w:w="102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0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32.2</w:t>
            </w:r>
          </w:p>
        </w:tc>
        <w:tc>
          <w:tcPr>
            <w:tcW w:w="10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26"/>
        </w:trPr>
        <w:tc>
          <w:tcPr>
            <w:tcW w:w="1160" w:type="dxa"/>
            <w:vAlign w:val="bottom"/>
            <w:vMerge w:val="continue"/>
            <w:shd w:val="clear" w:color="auto" w:fill="CCEEFF"/>
          </w:tcPr>
          <w:p>
            <w:pPr>
              <w:spacing w:after="0"/>
              <w:rPr>
                <w:sz w:val="10"/>
                <w:szCs w:val="10"/>
                <w:color w:val="auto"/>
              </w:rPr>
            </w:pPr>
          </w:p>
        </w:tc>
        <w:tc>
          <w:tcPr>
            <w:tcW w:w="102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15"/>
        </w:trPr>
        <w:tc>
          <w:tcPr>
            <w:tcW w:w="1160" w:type="dxa"/>
            <w:vAlign w:val="bottom"/>
            <w:tcBorders>
              <w:bottom w:val="single" w:sz="8" w:color="CCEEFF"/>
            </w:tcBorders>
            <w:shd w:val="clear" w:color="auto" w:fill="CCEEFF"/>
          </w:tcPr>
          <w:p>
            <w:pPr>
              <w:spacing w:after="0"/>
              <w:rPr>
                <w:sz w:val="10"/>
                <w:szCs w:val="10"/>
                <w:color w:val="auto"/>
              </w:rPr>
            </w:pPr>
          </w:p>
        </w:tc>
        <w:tc>
          <w:tcPr>
            <w:tcW w:w="102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101(SCH)</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43"/>
        </w:trPr>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101(CAL)</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43"/>
        </w:trPr>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101(LAB)</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891"/>
        </w:trPr>
        <w:tc>
          <w:tcPr>
            <w:tcW w:w="116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Roberts, certify that:</w:t>
      </w:r>
    </w:p>
    <w:p>
      <w:pPr>
        <w:spacing w:after="0" w:line="225" w:lineRule="exact"/>
        <w:rPr>
          <w:sz w:val="20"/>
          <w:szCs w:val="20"/>
          <w:color w:val="auto"/>
        </w:rPr>
      </w:pPr>
    </w:p>
    <w:p>
      <w:pPr>
        <w:ind w:left="840" w:hanging="184"/>
        <w:spacing w:after="0"/>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Credit Acceptance Corporation;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980"/>
        <w:spacing w:after="0" w:line="282" w:lineRule="auto"/>
        <w:tabs>
          <w:tab w:leader="none" w:pos="124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8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5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5840" w:val="left"/>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34290</wp:posOffset>
            </wp:positionV>
            <wp:extent cx="23837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Brett A. Roberts</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S. Booth, certify that:</w:t>
      </w:r>
    </w:p>
    <w:p>
      <w:pPr>
        <w:spacing w:after="0" w:line="225" w:lineRule="exact"/>
        <w:rPr>
          <w:sz w:val="20"/>
          <w:szCs w:val="20"/>
          <w:color w:val="auto"/>
        </w:rPr>
      </w:pPr>
    </w:p>
    <w:p>
      <w:pPr>
        <w:ind w:left="840" w:hanging="184"/>
        <w:spacing w:after="0"/>
        <w:tabs>
          <w:tab w:leader="none" w:pos="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Credit Acceptance Corporation;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980"/>
        <w:spacing w:after="0" w:line="282" w:lineRule="auto"/>
        <w:tabs>
          <w:tab w:leader="none" w:pos="124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8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4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5840" w:val="left"/>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34290</wp:posOffset>
            </wp:positionV>
            <wp:extent cx="23837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Kenneth S. Booth</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Credit Acceptance Corporation (the "Company") for the quarterly period ending June 30, 2017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940" w:val="left"/>
          <w:tab w:leader="none" w:pos="5840" w:val="left"/>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34290</wp:posOffset>
            </wp:positionV>
            <wp:extent cx="23837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Brett A. Roberts</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Credit Acceptance Corporation (the "Company") for the quarterly period ending June 30, 2017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176" w:lineRule="exact"/>
        <w:rPr>
          <w:sz w:val="20"/>
          <w:szCs w:val="20"/>
          <w:color w:val="auto"/>
        </w:rPr>
      </w:pPr>
    </w:p>
    <w:p>
      <w:pPr>
        <w:ind w:left="920" w:hanging="264"/>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tabs>
          <w:tab w:leader="none" w:pos="940" w:val="left"/>
          <w:tab w:leader="none" w:pos="5840" w:val="left"/>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34290</wp:posOffset>
            </wp:positionV>
            <wp:extent cx="23837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Kenneth S. Booth</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2"/>
    </w:lvl>
    <w:lvl w:ilvl="1">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4"/>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5"/>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7"/>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8"/>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9"/>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0"/>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2"/>
    </w:lvl>
  </w:abstractNum>
  <w:abstractNum w:abstractNumId="33">
    <w:nsid w:val="38437FDB"/>
    <w:multiLevelType w:val="hybridMultilevel"/>
    <w:lvl w:ilvl="0">
      <w:lvlJc w:val="left"/>
      <w:lvlText w:val="%1."/>
      <w:numFmt w:val="decimal"/>
      <w:start w:val="13"/>
    </w:lvl>
  </w:abstractNum>
  <w:abstractNum w:abstractNumId="34">
    <w:nsid w:val="7644A45C"/>
    <w:multiLevelType w:val="hybridMultilevel"/>
    <w:lvl w:ilvl="0">
      <w:lvlJc w:val="left"/>
      <w:lvlText w:val="%1"/>
      <w:numFmt w:val="decimal"/>
      <w:start w:val="1"/>
    </w:lvl>
    <w:lvl w:ilvl="1">
      <w:lvlJc w:val="left"/>
      <w:lvlText w:val="(%2)"/>
      <w:numFmt w:val="decimal"/>
      <w:start w:val="1"/>
    </w:lvl>
  </w:abstractNum>
  <w:abstractNum w:abstractNumId="35">
    <w:nsid w:val="32FFF902"/>
    <w:multiLevelType w:val="hybridMultilevel"/>
    <w:lvl w:ilvl="0">
      <w:lvlJc w:val="left"/>
      <w:lvlText w:val="%1."/>
      <w:numFmt w:val="decimal"/>
      <w:start w:val="14"/>
    </w:lvl>
    <w:lvl w:ilvl="1">
      <w:lvlJc w:val="left"/>
      <w:lvlText w:val="%2"/>
      <w:numFmt w:val="decimal"/>
      <w:start w:val="1"/>
    </w:lvl>
  </w:abstractNum>
  <w:abstractNum w:abstractNumId="36">
    <w:nsid w:val="684A481A"/>
    <w:multiLevelType w:val="hybridMultilevel"/>
    <w:lvl w:ilvl="0">
      <w:lvlJc w:val="left"/>
      <w:lvlText w:val="%1."/>
      <w:numFmt w:val="decimal"/>
      <w:start w:val="15"/>
    </w:lvl>
  </w:abstractNum>
  <w:abstractNum w:abstractNumId="37">
    <w:nsid w:val="579478FE"/>
    <w:multiLevelType w:val="hybridMultilevel"/>
    <w:lvl w:ilvl="0">
      <w:lvlJc w:val="left"/>
      <w:lvlText w:val="%1."/>
      <w:numFmt w:val="decimal"/>
      <w:start w:val="16"/>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2019-12-29T06:00:57Z</dcterms:created>
  <dcterms:modified xsi:type="dcterms:W3CDTF">2019-12-29T06:00:57Z</dcterms:modified>
</cp:coreProperties>
</file>