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FORM 8-K</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31, 2024</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CREDIT ACCEPTANCE CORPORATION</w:t>
      </w:r>
    </w:p>
    <w:p>
      <w:pPr>
        <w:spacing w:after="0" w:line="64"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2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236"/>
        </w:trPr>
        <w:tc>
          <w:tcPr>
            <w:tcW w:w="336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Michigan</w:t>
            </w:r>
          </w:p>
        </w:tc>
        <w:tc>
          <w:tcPr>
            <w:tcW w:w="34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9"/>
              </w:rPr>
              <w:t>000-20202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w w:val="98"/>
              </w:rPr>
              <w:t>38-1999511</w:t>
            </w:r>
          </w:p>
        </w:tc>
      </w:tr>
      <w:tr>
        <w:trPr>
          <w:trHeight w:val="41"/>
        </w:trPr>
        <w:tc>
          <w:tcPr>
            <w:tcW w:w="3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r>
      <w:tr>
        <w:trPr>
          <w:trHeight w:val="182"/>
        </w:trPr>
        <w:tc>
          <w:tcPr>
            <w:tcW w:w="3360" w:type="dxa"/>
            <w:vAlign w:val="bottom"/>
            <w:tcBorders>
              <w:top w:val="single" w:sz="8" w:color="auto"/>
            </w:tcBorders>
          </w:tcPr>
          <w:p>
            <w:pPr>
              <w:jc w:val="center"/>
              <w:ind w:left="33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jc w:val="center"/>
              <w:ind w:right="45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27"/>
        </w:trPr>
        <w:tc>
          <w:tcPr>
            <w:tcW w:w="336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w w:val="99"/>
              </w:rPr>
              <w:t>25505 West Twelve Mile Road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0"/>
        </w:trPr>
        <w:tc>
          <w:tcPr>
            <w:tcW w:w="336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rPr>
              <w:t>Southfield,  Michigan</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4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w w:val="98"/>
              </w:rPr>
              <w:t>48034-8339</w:t>
            </w:r>
          </w:p>
        </w:tc>
      </w:tr>
      <w:tr>
        <w:trPr>
          <w:trHeight w:val="40"/>
        </w:trPr>
        <w:tc>
          <w:tcPr>
            <w:tcW w:w="3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r>
        <w:trPr>
          <w:trHeight w:val="182"/>
        </w:trPr>
        <w:tc>
          <w:tcPr>
            <w:tcW w:w="3360" w:type="dxa"/>
            <w:vAlign w:val="bottom"/>
          </w:tcPr>
          <w:p>
            <w:pPr>
              <w:jc w:val="center"/>
              <w:ind w:left="4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jc w:val="center"/>
              <w:ind w:right="45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(248) 353-2700</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-127635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40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CACC</w:t>
            </w:r>
          </w:p>
        </w:tc>
        <w:tc>
          <w:tcPr>
            <w:tcW w:w="120" w:type="dxa"/>
            <w:vAlign w:val="bottom"/>
          </w:tcPr>
          <w:p>
            <w:pPr>
              <w:spacing w:after="0"/>
              <w:rPr>
                <w:sz w:val="20"/>
                <w:szCs w:val="20"/>
                <w:color w:val="auto"/>
              </w:rPr>
            </w:pPr>
          </w:p>
        </w:tc>
        <w:tc>
          <w:tcPr>
            <w:tcW w:w="440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3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4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2024, Credit Acceptance Corporation (the “Company”) issued a press release announcing its financial results for the three months and year ended December 31, 2023 and details for the related January 31, 2024 webcast. The press release is attached as Exhibit 99.1 to this Form 8-K and incorporated herein by reference.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of that section and shall not be deemed to be incorporated by reference into any filing of the Company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r>
      <w:tr>
        <w:trPr>
          <w:trHeight w:val="203"/>
        </w:trPr>
        <w:tc>
          <w:tcPr>
            <w:tcW w:w="1540" w:type="dxa"/>
            <w:vAlign w:val="bottom"/>
            <w:gridSpan w:val="3"/>
            <w:shd w:val="clear" w:color="auto" w:fill="CCEEFF"/>
          </w:tcPr>
          <w:p>
            <w:pPr>
              <w:jc w:val="right"/>
              <w:ind w:right="640"/>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00" w:type="dxa"/>
            <w:vAlign w:val="bottom"/>
            <w:shd w:val="clear" w:color="auto" w:fill="CCEEFF"/>
          </w:tcPr>
          <w:p>
            <w:pPr>
              <w:spacing w:after="0"/>
              <w:rPr>
                <w:sz w:val="17"/>
                <w:szCs w:val="17"/>
                <w:color w:val="auto"/>
              </w:rPr>
            </w:pPr>
          </w:p>
        </w:tc>
        <w:tc>
          <w:tcPr>
            <w:tcW w:w="92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dated January 31, 2024.</w:t>
            </w:r>
          </w:p>
        </w:tc>
      </w:tr>
      <w:tr>
        <w:trPr>
          <w:trHeight w:val="234"/>
        </w:trPr>
        <w:tc>
          <w:tcPr>
            <w:tcW w:w="580" w:type="dxa"/>
            <w:vAlign w:val="bottom"/>
            <w:tcBorders>
              <w:top w:val="single" w:sz="8" w:color="CCEEFF"/>
            </w:tcBorders>
          </w:tcPr>
          <w:p>
            <w:pPr>
              <w:spacing w:after="0"/>
              <w:rPr>
                <w:sz w:val="20"/>
                <w:szCs w:val="20"/>
                <w:color w:val="auto"/>
              </w:rPr>
            </w:pPr>
          </w:p>
        </w:tc>
        <w:tc>
          <w:tcPr>
            <w:tcW w:w="3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9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730"/>
        </w:trPr>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5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CREDIT ACCEPTANCE CORPORATION</w:t>
            </w:r>
          </w:p>
        </w:tc>
      </w:tr>
      <w:tr>
        <w:trPr>
          <w:trHeight w:val="48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2024</w:t>
            </w:r>
          </w:p>
        </w:tc>
        <w:tc>
          <w:tcPr>
            <w:tcW w:w="65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Jay D. Martin</w:t>
            </w:r>
          </w:p>
        </w:tc>
      </w:tr>
      <w:tr>
        <w:trPr>
          <w:trHeight w:val="218"/>
        </w:trPr>
        <w:tc>
          <w:tcPr>
            <w:tcW w:w="3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Jay D. Martin</w:t>
            </w:r>
          </w:p>
        </w:tc>
      </w:tr>
      <w:tr>
        <w:trPr>
          <w:trHeight w:val="234"/>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Credit Acceptance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creditacceptance.com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January 31, 2024</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 Douglas W. Busk</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Chief Treasury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IR@creditacceptance.com</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Nasdaq Symbol: CACC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CREDIT ACCEPTANCE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AND FULL YEAR 2023 RESULTS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Southfield, Michigan – January 31, 2024 – Credit Acceptance Corporation (Nasdaq: CACC) </w:t>
      </w:r>
      <w:r>
        <w:rPr>
          <w:rFonts w:ascii="Times New Roman" w:cs="Times New Roman" w:eastAsia="Times New Roman" w:hAnsi="Times New Roman"/>
          <w:sz w:val="18"/>
          <w:szCs w:val="18"/>
          <w:color w:val="auto"/>
        </w:rPr>
        <w:t>(referred to as the “Company”, “Credit Acceptance”,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“our”, or “us”) today announced consolidated net income of $93.6 million, or $7.29 per diluted share, for the three months ended December 31, 2023 compared to consolidated net income of $127.3 million, or $9.58 per diluted share, for the same period in 2022. Adjusted net income, a non-GAAP financial measure, for the three months ended December 31, 2023 was $129.1 million, or $10.06 per diluted share, compared to $156.1 million, or $11.74 per diluted share, for the same period in 2022. The following table summarizes our financial results: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36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per diluted share</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70"/>
        </w:trPr>
        <w:tc>
          <w:tcPr>
            <w:tcW w:w="37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(1)</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per diluted share (1)</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r>
    </w:tbl>
    <w:p>
      <w:pPr>
        <w:spacing w:after="0" w:line="72" w:lineRule="exact"/>
        <w:rPr>
          <w:sz w:val="20"/>
          <w:szCs w:val="20"/>
          <w:color w:val="auto"/>
        </w:rPr>
      </w:pPr>
    </w:p>
    <w:p>
      <w:pPr>
        <w:ind w:left="180"/>
        <w:spacing w:after="0"/>
        <w:tabs>
          <w:tab w:leader="none" w:pos="460" w:val="left"/>
        </w:tabs>
        <w:rPr>
          <w:sz w:val="20"/>
          <w:szCs w:val="20"/>
          <w:color w:val="auto"/>
        </w:rPr>
      </w:pPr>
      <w:r>
        <w:rPr>
          <w:rFonts w:ascii="Times New Roman" w:cs="Times New Roman" w:eastAsia="Times New Roman" w:hAnsi="Times New Roman"/>
          <w:sz w:val="14"/>
          <w:szCs w:val="14"/>
          <w:color w:val="auto"/>
        </w:rPr>
        <w:t>(1)</w:t>
        <w:tab/>
        <w:t>Represents a non-GAAP financial measure.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the fourth quarter of 2023 in comparison to the fourth quarter of 2022 included:</w:t>
      </w:r>
    </w:p>
    <w:p>
      <w:pPr>
        <w:spacing w:after="0" w:line="27" w:lineRule="exact"/>
        <w:rPr>
          <w:sz w:val="20"/>
          <w:szCs w:val="20"/>
          <w:color w:val="auto"/>
        </w:rPr>
      </w:pPr>
    </w:p>
    <w:p>
      <w:pPr>
        <w:ind w:left="480" w:hanging="310"/>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larger decrease in forecasted collection rates</w:t>
      </w:r>
    </w:p>
    <w:p>
      <w:pPr>
        <w:spacing w:after="0" w:line="9" w:lineRule="exact"/>
        <w:rPr>
          <w:rFonts w:ascii="Times New Roman" w:cs="Times New Roman" w:eastAsia="Times New Roman" w:hAnsi="Times New Roman"/>
          <w:sz w:val="18"/>
          <w:szCs w:val="18"/>
          <w:color w:val="auto"/>
        </w:rPr>
      </w:pPr>
    </w:p>
    <w:p>
      <w:pPr>
        <w:jc w:val="both"/>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forecasted collection rates decreased forecasted net cash flows from our loan portfolio by $57.0 million, or 0.6%, compared to a decrease in forecasted collection rates during the fourth quarter of 2022 that decreased forecasted net cash flows from our loan portfolio by $41.1 million, or 0.5%.</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decrease in forecasted profitability for Consumer Loans assigned in 2020 through 2022</w:t>
      </w:r>
    </w:p>
    <w:p>
      <w:pPr>
        <w:spacing w:after="0" w:line="9" w:lineRule="exact"/>
        <w:rPr>
          <w:rFonts w:ascii="Times New Roman" w:cs="Times New Roman" w:eastAsia="Times New Roman" w:hAnsi="Times New Roman"/>
          <w:sz w:val="18"/>
          <w:szCs w:val="18"/>
          <w:color w:val="auto"/>
        </w:rPr>
      </w:pPr>
    </w:p>
    <w:p>
      <w:pPr>
        <w:jc w:val="both"/>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profitability was lower than our estimates at December 31, 2022, due to a decline in forecasted collection rates since the fourth quarter of 2022 and slower forecasted net cash flow timing during 2023, primarily as a result of a decrease in Consumer Loan prepayments to below-average levels.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Growth in Consumer Loan assignment volume and the average balance of our loan portfolio</w:t>
      </w:r>
    </w:p>
    <w:p>
      <w:pPr>
        <w:spacing w:after="0" w:line="9" w:lineRule="exact"/>
        <w:rPr>
          <w:rFonts w:ascii="Times New Roman" w:cs="Times New Roman" w:eastAsia="Times New Roman" w:hAnsi="Times New Roman"/>
          <w:sz w:val="18"/>
          <w:szCs w:val="18"/>
          <w:color w:val="auto"/>
        </w:rPr>
      </w:pPr>
    </w:p>
    <w:p>
      <w:pPr>
        <w:ind w:left="50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and dollar volumes grew 26.7% and 21.3%, respectively, as compared to the fourth quarter of 2022. The average balance of our loan portfolio, which is our largest-ever, increased 9.1% and 13.4% on a GAAP and adjusted basis, respectively, as compared to the fourth quarter of 2022.</w:t>
      </w:r>
    </w:p>
    <w:p>
      <w:pPr>
        <w:ind w:left="480" w:hanging="310"/>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 increase in the initial spread on Consumer Loan assignments</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spread increased to 21.7% compared to 20.9% on Consumer Loans assigned in the fourth quarter of 2022.</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 increase in our average cost of debt</w:t>
      </w:r>
    </w:p>
    <w:p>
      <w:pPr>
        <w:spacing w:after="0" w:line="9" w:lineRule="exact"/>
        <w:rPr>
          <w:rFonts w:ascii="Times New Roman" w:cs="Times New Roman" w:eastAsia="Times New Roman" w:hAnsi="Times New Roman"/>
          <w:sz w:val="18"/>
          <w:szCs w:val="18"/>
          <w:color w:val="auto"/>
        </w:rPr>
      </w:pPr>
    </w:p>
    <w:p>
      <w:pPr>
        <w:ind w:left="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our average cost of debt was primarily a result of higher interest rates on recently-completed or extended secured financings and the repayment of older secured financings with lower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Our results for the fourth quarter of 2023 in comparison to the third quarter of 2023 included:</w:t>
      </w:r>
    </w:p>
    <w:p>
      <w:pPr>
        <w:spacing w:after="0" w:line="27"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smaller decrease in forecasted collection rates</w:t>
      </w:r>
    </w:p>
    <w:p>
      <w:pPr>
        <w:spacing w:after="0" w:line="9" w:lineRule="exact"/>
        <w:rPr>
          <w:rFonts w:ascii="Times New Roman" w:cs="Times New Roman" w:eastAsia="Times New Roman" w:hAnsi="Times New Roman"/>
          <w:sz w:val="18"/>
          <w:szCs w:val="18"/>
          <w:color w:val="auto"/>
        </w:rPr>
      </w:pPr>
    </w:p>
    <w:p>
      <w:pPr>
        <w:jc w:val="both"/>
        <w:ind w:left="50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forecasted collection rates decreased forecasted net cash flows from our loan portfolio by $57.0 million, or 0.6%, compared to a decrease in forecasted collection rates during the third quarter of 2023 that decreased forecasted net cash flows from our loan portfolio by $69.4 million, or 0.7%.</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decrease in forecasted profitability for Consumer Loans assigned in 2021 through 2023</w:t>
      </w:r>
    </w:p>
    <w:p>
      <w:pPr>
        <w:spacing w:after="0" w:line="9" w:lineRule="exact"/>
        <w:rPr>
          <w:rFonts w:ascii="Times New Roman" w:cs="Times New Roman" w:eastAsia="Times New Roman" w:hAnsi="Times New Roman"/>
          <w:sz w:val="18"/>
          <w:szCs w:val="18"/>
          <w:color w:val="auto"/>
        </w:rPr>
      </w:pPr>
    </w:p>
    <w:p>
      <w:pPr>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profitability was lower than our estimates at September 30, 2023, due to the decline in forecasted collection rates during the fourth quarter of 2023 and the slower forecasted net cash flow timing discussed above.</w:t>
      </w: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Growth in the average balance of our loan portfolio</w:t>
      </w:r>
    </w:p>
    <w:p>
      <w:pPr>
        <w:spacing w:after="0" w:line="9" w:lineRule="exact"/>
        <w:rPr>
          <w:rFonts w:ascii="Times New Roman" w:cs="Times New Roman" w:eastAsia="Times New Roman" w:hAnsi="Times New Roman"/>
          <w:sz w:val="18"/>
          <w:szCs w:val="18"/>
          <w:color w:val="auto"/>
        </w:rPr>
      </w:pPr>
    </w:p>
    <w:p>
      <w:pPr>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balance of our loan portfolio, which is our largest-ever, increased 2.6% and 3.4% on a GAAP and adjusted basis, respectively, as compared to the third quarter of 2023.</w:t>
      </w: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 increase in the initial spread on Consumer Loan assignments</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spread increased to 21.7% compared to 21.4% on Consumer Loans assigned in the third quarter of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Consumer Loan Metrics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Dealers assign retail installment contracts (referred to as “Consumer Loans”) to Credit Acceptance. 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 a non-GAAP financial measure that considers our return on capital, our cost of capital, and the amount of capital invested.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statistical model to estimate the expected collection rate for each Consumer Loan at the time of assignment. We continue to evaluate the expected collection rate for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aggregated forecast of Consumer Loan collection rates as of December 31, 2023, with the aggregated forecasts as of September 30, 2023, as of December 31, 2022, and at the time of assignment, segmented by year of assignment: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5"/>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Consumer Loan</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0" w:type="dxa"/>
            <w:vAlign w:val="bottom"/>
          </w:tcPr>
          <w:p>
            <w:pPr>
              <w:spacing w:after="0"/>
              <w:rPr>
                <w:sz w:val="1"/>
                <w:szCs w:val="1"/>
                <w:color w:val="auto"/>
              </w:rPr>
            </w:pPr>
          </w:p>
        </w:tc>
      </w:tr>
      <w:tr>
        <w:trPr>
          <w:trHeight w:val="27"/>
        </w:trPr>
        <w:tc>
          <w:tcPr>
            <w:tcW w:w="1500" w:type="dxa"/>
            <w:vAlign w:val="bottom"/>
            <w:gridSpan w:val="2"/>
            <w:vMerge w:val="continue"/>
          </w:tcPr>
          <w:p>
            <w:pPr>
              <w:spacing w:after="0"/>
              <w:rPr>
                <w:sz w:val="2"/>
                <w:szCs w:val="2"/>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7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0" w:type="dxa"/>
            <w:vAlign w:val="bottom"/>
          </w:tcPr>
          <w:p>
            <w:pPr>
              <w:spacing w:after="0" w:line="20" w:lineRule="exact"/>
              <w:rPr>
                <w:sz w:val="1"/>
                <w:szCs w:val="1"/>
                <w:color w:val="auto"/>
              </w:rPr>
            </w:pPr>
          </w:p>
        </w:tc>
      </w:tr>
      <w:tr>
        <w:trPr>
          <w:trHeight w:val="195"/>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Assignment Year</w:t>
            </w:r>
          </w:p>
        </w:tc>
        <w:tc>
          <w:tcPr>
            <w:tcW w:w="14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4"/>
        </w:trPr>
        <w:tc>
          <w:tcPr>
            <w:tcW w:w="14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2023 (2)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0"/>
                <w:szCs w:val="20"/>
                <w:color w:val="auto"/>
              </w:rPr>
            </w:pPr>
          </w:p>
        </w:tc>
        <w:tc>
          <w:tcPr>
            <w:tcW w:w="17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500" w:right="20" w:hanging="330"/>
        <w:spacing w:after="0" w:line="261" w:lineRule="auto"/>
        <w:tabs>
          <w:tab w:leader="none" w:pos="49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w:t>
      </w:r>
    </w:p>
    <w:p>
      <w:pPr>
        <w:ind w:left="500" w:hanging="330"/>
        <w:spacing w:after="0" w:line="280" w:lineRule="auto"/>
        <w:tabs>
          <w:tab w:leader="none" w:pos="52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 for 2023 Consumer Loans as of December 31, 2023 includes both Consumer Loans that were in our portfolio as of September 30, 2023 and Consumer Loans assigned during the most recent quarter. The following table provides forecasted collection rates for each of these segments.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w:t>
            </w:r>
          </w:p>
        </w:tc>
        <w:tc>
          <w:tcPr>
            <w:tcW w:w="262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2023 Consumer Loan Assignment Period</w:t>
            </w:r>
          </w:p>
        </w:tc>
        <w:tc>
          <w:tcPr>
            <w:tcW w:w="13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00" w:type="dxa"/>
            <w:vAlign w:val="bottom"/>
          </w:tcPr>
          <w:p>
            <w:pPr>
              <w:spacing w:after="0"/>
              <w:rPr>
                <w:sz w:val="11"/>
                <w:szCs w:val="11"/>
                <w:color w:val="auto"/>
              </w:rPr>
            </w:pPr>
          </w:p>
        </w:tc>
        <w:tc>
          <w:tcPr>
            <w:tcW w:w="13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40" w:type="dxa"/>
            <w:vAlign w:val="bottom"/>
            <w:tcBorders>
              <w:top w:val="single" w:sz="8" w:color="auto"/>
            </w:tcBorders>
          </w:tcPr>
          <w:p>
            <w:pPr>
              <w:jc w:val="right"/>
              <w:ind w:right="368"/>
              <w:spacing w:after="0" w:line="12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0" w:type="dxa"/>
            <w:vAlign w:val="bottom"/>
          </w:tcPr>
          <w:p>
            <w:pPr>
              <w:spacing w:after="0"/>
              <w:rPr>
                <w:sz w:val="1"/>
                <w:szCs w:val="1"/>
                <w:color w:val="auto"/>
              </w:rPr>
            </w:pPr>
          </w:p>
        </w:tc>
      </w:tr>
      <w:tr>
        <w:trPr>
          <w:trHeight w:val="196"/>
        </w:trPr>
        <w:tc>
          <w:tcPr>
            <w:tcW w:w="34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80" w:type="dxa"/>
            <w:vAlign w:val="bottom"/>
            <w:gridSpan w:val="2"/>
            <w:vMerge w:val="continue"/>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0" w:type="dxa"/>
            <w:vAlign w:val="bottom"/>
          </w:tcPr>
          <w:p>
            <w:pPr>
              <w:spacing w:after="0"/>
              <w:rPr>
                <w:sz w:val="1"/>
                <w:szCs w:val="1"/>
                <w:color w:val="auto"/>
              </w:rPr>
            </w:pPr>
          </w:p>
        </w:tc>
      </w:tr>
      <w:tr>
        <w:trPr>
          <w:trHeight w:val="202"/>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2023 through September 30, 2023</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67.4 %</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8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October 1, 2023 through December 31, 2023</w:t>
            </w:r>
          </w:p>
        </w:tc>
        <w:tc>
          <w:tcPr>
            <w:tcW w:w="12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67.4 %</w:t>
            </w:r>
          </w:p>
        </w:tc>
        <w:tc>
          <w:tcPr>
            <w:tcW w:w="120" w:type="dxa"/>
            <w:vAlign w:val="bottom"/>
          </w:tcPr>
          <w:p>
            <w:pPr>
              <w:spacing w:after="0"/>
              <w:rPr>
                <w:sz w:val="16"/>
                <w:szCs w:val="16"/>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10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Loans assigned in 2018 through 2020 have yielded forecasted collection results significantly better than our initial estimates, while Consumer Loans assigned in 2015, 2016, 2021, and 2022 have yielded forecasted collection results significantly worse than our initial estimates. For all other assignment years presented, actual results have been close to our initial estimates. For the three months ended December 31, 2023, forecasted collection rates declined for Consumer Loans assigned in 2021 through 2023 and were generally consistent with expectations at the start of the period for all other assignment years presented. For the year ended December 31, 2023, forecasted collection rates improved for Consumer Loans assigned in 2018 and 2019,</w:t>
      </w:r>
    </w:p>
    <w:p>
      <w:pPr>
        <w:sectPr>
          <w:pgSz w:w="11900" w:h="16838" w:orient="portrait"/>
          <w:cols w:equalWidth="0" w:num="1">
            <w:col w:w="11240"/>
          </w:cols>
          <w:pgMar w:left="320" w:top="769"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769" w:right="339" w:bottom="1440" w:gutter="0" w:footer="0" w:header="0"/>
          <w:type w:val="continuous"/>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declined for Consumer Loans assigned in 2020 through 2022, and were generally consistent with expectations at the start of the period for all other assignment years presented.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forecasted collection rates for the three months and year ended December 31, 2023 and 2022 impacted forecasted net cash flows (forecasted collections less forecasted dealer holdback payments)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8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220" w:type="dxa"/>
            <w:vAlign w:val="bottom"/>
          </w:tcPr>
          <w:p>
            <w:pPr>
              <w:spacing w:after="0"/>
              <w:rPr>
                <w:sz w:val="16"/>
                <w:szCs w:val="16"/>
                <w:color w:val="auto"/>
              </w:rPr>
            </w:pPr>
          </w:p>
        </w:tc>
        <w:tc>
          <w:tcPr>
            <w:tcW w:w="256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3"/>
        </w:trPr>
        <w:tc>
          <w:tcPr>
            <w:tcW w:w="55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Decrease in Forecasted Net Cash Flows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loans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Purchased loans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 change from forecast at beginning of period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2023, we adjusted our methodology for forecasting the amount and timing of future net cash flows from our loan portfolio through the utilization of more recent Consumer Loan performance and Consumer Loan prepayment data. During the first half of 2023, we experienced a decrease in Consumer Loan prepayments to below-average levels and, as a result, slowed our forecasted net cash flow timing. The below-average levels of Consumer Loan prepayments continued through the fourth quarter of 2023. Historically, Consumer Loan prepayments have been lower in periods with less availability of consumer credit. Changes in the amount and timing of forecasted net cash flows are recognized in our GAAP results in the period of change through provision for credit losses and in our adjusted results prospectively over the remaining forecast period of the loans through finance charges. The implementation of the adjustment to our forecasting methodology during the second quarter of 2023 reduced forecasted net cash flows by $44.5 million, or 0.5%, and increased provision for credit losses by $71.3 million.</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experienced increased levels of uncertainty associated with our estimate of the amount and timing of future net cash flows from our loan portfolio since the beginning of 2020, with realized collections underperforming our expectations during the early stages of the COVID-19 pandemic, outperforming our expectations following the distribution of federal stimulus payments and enhanced unemployment benefits, and underperforming our expectations during the current economic environment. For the period from January 1, 2020 through December 31, 2023, the cumulative change to our forecast of future net cash flows from our loan portfolio has been an increase of $13.8 million, or 0.2%. Forecasting collection rates accurately is challenging, so we have designed our business model to produce acceptable levels of profitability across our portfolio, even if loan performance is less than forecasted in the aggregate.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Consumer Loan assignments for each of the last 10 years:</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Total Assignment Volume</w:t>
            </w:r>
          </w:p>
        </w:tc>
        <w:tc>
          <w:tcPr>
            <w:tcW w:w="0" w:type="dxa"/>
            <w:vAlign w:val="bottom"/>
          </w:tcPr>
          <w:p>
            <w:pPr>
              <w:spacing w:after="0"/>
              <w:rPr>
                <w:sz w:val="1"/>
                <w:szCs w:val="1"/>
                <w:color w:val="auto"/>
              </w:rPr>
            </w:pPr>
          </w:p>
        </w:tc>
      </w:tr>
      <w:tr>
        <w:trPr>
          <w:trHeight w:val="23"/>
        </w:trPr>
        <w:tc>
          <w:tcPr>
            <w:tcW w:w="2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Consumer Loan</w:t>
            </w: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8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Consumer Loan (1)</w:t>
            </w:r>
          </w:p>
        </w:tc>
        <w:tc>
          <w:tcPr>
            <w:tcW w:w="2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Advance (2)</w:t>
            </w:r>
          </w:p>
        </w:tc>
        <w:tc>
          <w:tcPr>
            <w:tcW w:w="16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Initial Loan Term (in</w:t>
            </w:r>
          </w:p>
        </w:tc>
        <w:tc>
          <w:tcPr>
            <w:tcW w:w="100" w:type="dxa"/>
            <w:vAlign w:val="bottom"/>
          </w:tcPr>
          <w:p>
            <w:pPr>
              <w:spacing w:after="0"/>
              <w:rPr>
                <w:sz w:val="11"/>
                <w:szCs w:val="11"/>
                <w:color w:val="auto"/>
              </w:rPr>
            </w:pPr>
          </w:p>
        </w:tc>
        <w:tc>
          <w:tcPr>
            <w:tcW w:w="1780" w:type="dxa"/>
            <w:vAlign w:val="bottom"/>
            <w:tcBorders>
              <w:top w:val="single" w:sz="8" w:color="auto"/>
            </w:tcBorders>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rPr>
              <w:t>Dollar Volume (2)</w:t>
            </w:r>
          </w:p>
        </w:tc>
        <w:tc>
          <w:tcPr>
            <w:tcW w:w="0" w:type="dxa"/>
            <w:vAlign w:val="bottom"/>
          </w:tcPr>
          <w:p>
            <w:pPr>
              <w:spacing w:after="0"/>
              <w:rPr>
                <w:sz w:val="1"/>
                <w:szCs w:val="1"/>
                <w:color w:val="auto"/>
              </w:rPr>
            </w:pPr>
          </w:p>
        </w:tc>
      </w:tr>
      <w:tr>
        <w:trPr>
          <w:trHeight w:val="196"/>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Assignment Year</w:t>
            </w:r>
          </w:p>
        </w:tc>
        <w:tc>
          <w:tcPr>
            <w:tcW w:w="1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0" w:type="dxa"/>
            <w:vAlign w:val="bottom"/>
          </w:tcPr>
          <w:p>
            <w:pPr>
              <w:spacing w:after="0"/>
              <w:rPr>
                <w:sz w:val="1"/>
                <w:szCs w:val="1"/>
                <w:color w:val="auto"/>
              </w:rPr>
            </w:pP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0" w:type="dxa"/>
            <w:vAlign w:val="bottom"/>
          </w:tcPr>
          <w:p>
            <w:pPr>
              <w:spacing w:after="0"/>
              <w:rPr>
                <w:sz w:val="1"/>
                <w:szCs w:val="1"/>
                <w:color w:val="auto"/>
              </w:rPr>
            </w:pP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3,772.2</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0" w:type="dxa"/>
            <w:vAlign w:val="bottom"/>
          </w:tcPr>
          <w:p>
            <w:pPr>
              <w:spacing w:after="0"/>
              <w:rPr>
                <w:sz w:val="1"/>
                <w:szCs w:val="1"/>
                <w:color w:val="auto"/>
              </w:rPr>
            </w:pP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34"/>
        </w:trPr>
        <w:tc>
          <w:tcPr>
            <w:tcW w:w="22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2023 (3)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repayments that we were contractually owed on Consumer Loans at the time of assignment, which include both principal and interest.</w:t>
      </w:r>
    </w:p>
    <w:p>
      <w:pPr>
        <w:spacing w:after="0" w:line="27" w:lineRule="exact"/>
        <w:rPr>
          <w:rFonts w:ascii="Times New Roman" w:cs="Times New Roman" w:eastAsia="Times New Roman" w:hAnsi="Times New Roman"/>
          <w:sz w:val="14"/>
          <w:szCs w:val="14"/>
          <w:color w:val="auto"/>
        </w:rPr>
      </w:pPr>
    </w:p>
    <w:p>
      <w:pPr>
        <w:ind w:left="500" w:hanging="330"/>
        <w:spacing w:after="0" w:line="254"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500" w:hanging="330"/>
        <w:spacing w:after="0" w:line="278" w:lineRule="auto"/>
        <w:tabs>
          <w:tab w:leader="none" w:pos="4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averages for 2023 Consumer Loans include both Consumer Loans that were in our portfolio as of September 30, 2023 and Consumer Loans assigned during the most recent quarter. The following table provides averages for each of these segments: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2023 Consumer Loan Assignment Period</w:t>
            </w:r>
          </w:p>
        </w:tc>
        <w:tc>
          <w:tcPr>
            <w:tcW w:w="16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Consumer Loan</w:t>
            </w:r>
          </w:p>
        </w:tc>
        <w:tc>
          <w:tcPr>
            <w:tcW w:w="280" w:type="dxa"/>
            <w:vAlign w:val="bottom"/>
          </w:tcPr>
          <w:p>
            <w:pPr>
              <w:spacing w:after="0"/>
              <w:rPr>
                <w:sz w:val="11"/>
                <w:szCs w:val="11"/>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Advance</w:t>
            </w:r>
          </w:p>
        </w:tc>
        <w:tc>
          <w:tcPr>
            <w:tcW w:w="1540" w:type="dxa"/>
            <w:vAlign w:val="bottom"/>
          </w:tcPr>
          <w:p>
            <w:pPr>
              <w:jc w:val="right"/>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Initial Loan Term (in</w:t>
            </w:r>
          </w:p>
        </w:tc>
        <w:tc>
          <w:tcPr>
            <w:tcW w:w="0" w:type="dxa"/>
            <w:vAlign w:val="bottom"/>
          </w:tcPr>
          <w:p>
            <w:pPr>
              <w:spacing w:after="0"/>
              <w:rPr>
                <w:sz w:val="1"/>
                <w:szCs w:val="1"/>
                <w:color w:val="auto"/>
              </w:rPr>
            </w:pPr>
          </w:p>
        </w:tc>
      </w:tr>
      <w:tr>
        <w:trPr>
          <w:trHeight w:val="195"/>
        </w:trPr>
        <w:tc>
          <w:tcPr>
            <w:tcW w:w="5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01"/>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2023 through September 30, 2023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8"/>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October 1, 2023 through December 31, 2023</w:t>
            </w: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769" w:right="339" w:bottom="1440" w:gutter="0" w:footer="0" w:header="0"/>
          <w:type w:val="continuous"/>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The profitability of our loans is primarily driven by the amount and timing of the net cash flows we receive from the spread between the forecasted collection rate and the advance rate, less operating expenses and the cost of capital. Forecasting collection rates accurately at loan inception is difficult. With this in mind, we establish advance rates that are intended to allow us to achieve acceptable levels of profitability across our portfolio, even if collection rates are less than we initially forecast.</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aggregate forecasted Consumer Loan collection rates, advance rates, and spreads (the forecasted collection rate less the advance rate), and the percentage of the forecasted collections that had been realized as of December 31, 2023, as well as forecasted collection rates and spreads at the time of assignment. All amounts, unless otherwise noted, are presented as a percentage of the initial balance of the Consumer Loan (principal + interest). The table includes both dealer loans and purchased loans.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Forecasted Collection % as of</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Spread % as of</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of Forecast</w:t>
            </w:r>
          </w:p>
        </w:tc>
        <w:tc>
          <w:tcPr>
            <w:tcW w:w="0" w:type="dxa"/>
            <w:vAlign w:val="bottom"/>
          </w:tcPr>
          <w:p>
            <w:pPr>
              <w:spacing w:after="0"/>
              <w:rPr>
                <w:sz w:val="1"/>
                <w:szCs w:val="1"/>
                <w:color w:val="auto"/>
              </w:rPr>
            </w:pPr>
          </w:p>
        </w:tc>
      </w:tr>
      <w:tr>
        <w:trPr>
          <w:trHeight w:val="117"/>
        </w:trPr>
        <w:tc>
          <w:tcPr>
            <w:tcW w:w="2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Advance % (1)</w:t>
            </w: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Realized (2)</w:t>
            </w:r>
          </w:p>
        </w:tc>
        <w:tc>
          <w:tcPr>
            <w:tcW w:w="0" w:type="dxa"/>
            <w:vAlign w:val="bottom"/>
          </w:tcPr>
          <w:p>
            <w:pPr>
              <w:spacing w:after="0"/>
              <w:rPr>
                <w:sz w:val="1"/>
                <w:szCs w:val="1"/>
                <w:color w:val="auto"/>
              </w:rPr>
            </w:pPr>
          </w:p>
        </w:tc>
      </w:tr>
      <w:tr>
        <w:trPr>
          <w:trHeight w:val="228"/>
        </w:trPr>
        <w:tc>
          <w:tcPr>
            <w:tcW w:w="25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0" w:type="dxa"/>
            <w:vAlign w:val="bottom"/>
          </w:tcPr>
          <w:p>
            <w:pPr>
              <w:spacing w:after="0"/>
              <w:rPr>
                <w:sz w:val="1"/>
                <w:szCs w:val="1"/>
                <w:color w:val="auto"/>
              </w:rPr>
            </w:pPr>
          </w:p>
        </w:tc>
      </w:tr>
      <w:tr>
        <w:trPr>
          <w:trHeight w:val="229"/>
        </w:trPr>
        <w:tc>
          <w:tcPr>
            <w:tcW w:w="2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99.1 %</w:t>
            </w:r>
          </w:p>
        </w:tc>
        <w:tc>
          <w:tcPr>
            <w:tcW w:w="0" w:type="dxa"/>
            <w:vAlign w:val="bottom"/>
          </w:tcPr>
          <w:p>
            <w:pPr>
              <w:spacing w:after="0"/>
              <w:rPr>
                <w:sz w:val="1"/>
                <w:szCs w:val="1"/>
                <w:color w:val="auto"/>
              </w:rPr>
            </w:pPr>
          </w:p>
        </w:tc>
      </w:tr>
      <w:tr>
        <w:trPr>
          <w:trHeight w:val="229"/>
        </w:trPr>
        <w:tc>
          <w:tcPr>
            <w:tcW w:w="2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0" w:type="dxa"/>
            <w:vAlign w:val="bottom"/>
          </w:tcPr>
          <w:p>
            <w:pPr>
              <w:spacing w:after="0"/>
              <w:rPr>
                <w:sz w:val="1"/>
                <w:szCs w:val="1"/>
                <w:color w:val="auto"/>
              </w:rPr>
            </w:pPr>
          </w:p>
        </w:tc>
      </w:tr>
      <w:tr>
        <w:trPr>
          <w:trHeight w:val="230"/>
        </w:trPr>
        <w:tc>
          <w:tcPr>
            <w:tcW w:w="2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0" w:type="dxa"/>
            <w:vAlign w:val="bottom"/>
          </w:tcPr>
          <w:p>
            <w:pPr>
              <w:spacing w:after="0"/>
              <w:rPr>
                <w:sz w:val="1"/>
                <w:szCs w:val="1"/>
                <w:color w:val="auto"/>
              </w:rPr>
            </w:pPr>
          </w:p>
        </w:tc>
      </w:tr>
      <w:tr>
        <w:trPr>
          <w:trHeight w:val="230"/>
        </w:trPr>
        <w:tc>
          <w:tcPr>
            <w:tcW w:w="25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34"/>
        </w:trPr>
        <w:tc>
          <w:tcPr>
            <w:tcW w:w="2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2023 (3)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right="20" w:hanging="330"/>
        <w:spacing w:after="0" w:line="261" w:lineRule="auto"/>
        <w:tabs>
          <w:tab w:leader="none" w:pos="5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ind w:left="480" w:hanging="310"/>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a percentage of total forecasted collections.</w:t>
      </w:r>
    </w:p>
    <w:p>
      <w:pPr>
        <w:spacing w:after="0" w:line="14"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 advance rate and spread for 2023 Consumer Loans as of December 31, 2023 include both Consumer Loans that were in our portfolio as of September 30,</w:t>
      </w:r>
    </w:p>
    <w:p>
      <w:pPr>
        <w:spacing w:after="0" w:line="1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and Consumer Loans assigned during the most recent quarter. The following table provides forecasted collection rates, advance rates, and spreads for each of these segments:</w:t>
      </w:r>
    </w:p>
    <w:p>
      <w:pPr>
        <w:spacing w:after="0" w:line="40"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Forecasted Collection % as of</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Spread % as of</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2023 Consumer Loan Assignment Period</w:t>
            </w:r>
          </w:p>
        </w:tc>
        <w:tc>
          <w:tcPr>
            <w:tcW w:w="13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Advance %</w:t>
            </w: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0" w:type="dxa"/>
            <w:vAlign w:val="bottom"/>
          </w:tcPr>
          <w:p>
            <w:pPr>
              <w:spacing w:after="0"/>
              <w:rPr>
                <w:sz w:val="1"/>
                <w:szCs w:val="1"/>
                <w:color w:val="auto"/>
              </w:rPr>
            </w:pPr>
          </w:p>
        </w:tc>
      </w:tr>
      <w:tr>
        <w:trPr>
          <w:trHeight w:val="196"/>
        </w:trPr>
        <w:tc>
          <w:tcPr>
            <w:tcW w:w="3680" w:type="dxa"/>
            <w:vAlign w:val="bottom"/>
            <w:gridSpan w:val="2"/>
            <w:vMerge w:val="continue"/>
          </w:tcPr>
          <w:p>
            <w:pPr>
              <w:spacing w:after="0"/>
              <w:rPr>
                <w:sz w:val="17"/>
                <w:szCs w:val="17"/>
                <w:color w:val="auto"/>
              </w:rPr>
            </w:pPr>
          </w:p>
        </w:tc>
        <w:tc>
          <w:tcPr>
            <w:tcW w:w="11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 2023 through September 30, 2023</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67.6 %</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46.4 %</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0" w:type="dxa"/>
            <w:vAlign w:val="bottom"/>
          </w:tcPr>
          <w:p>
            <w:pPr>
              <w:spacing w:after="0"/>
              <w:rPr>
                <w:sz w:val="1"/>
                <w:szCs w:val="1"/>
                <w:color w:val="auto"/>
              </w:rPr>
            </w:pPr>
          </w:p>
        </w:tc>
      </w:tr>
      <w:tr>
        <w:trPr>
          <w:trHeight w:val="18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October 1, 2023 through 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risk of a material change in our forecasted collection rate declines as the Consumer Loans age. For 2019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spread between the forecasted collection rate as of December 31, 2023 and the advance rate ranges from 15.3% to 24.0%, on an annual basis, for Consumer Loans assigned over the last 10 years. The spreads with respect to 2019 and 2020 Consumer Loans have been positively impacted by Consumer Loan performance, which has exceeded our initial estimates by a greater margin than the other years presented. The spread with respect to 2022 Consumer Loans has been negatively impacted by Consumer Loan performance, which has been lower than our initial estimates by a greater margin than the other years presented. The higher spread for 2023 Consumer Loans relative to 2022 Consumer Loans as of December 31, 2023 is primarily due to the underperformance of the 2022 Consumer Loans. Additionally, 2023 Consumer Loans had a higher initial spread due to a decrease in the advance rate.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69" w:right="339" w:bottom="1440" w:gutter="0" w:footer="0" w:header="0"/>
        </w:sectPr>
      </w:pPr>
    </w:p>
    <w:bookmarkStart w:id="7" w:name="page8"/>
    <w:bookmarkEnd w:id="7"/>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compares our forecast of aggregate Consumer Loan collection rates as of December 31, 2023 with the forecasts at the time of assignment, for dealer loans and purchased loans separately:</w:t>
      </w:r>
    </w:p>
    <w:p>
      <w:pPr>
        <w:sectPr>
          <w:pgSz w:w="11900" w:h="16838" w:orient="portrait"/>
          <w:cols w:equalWidth="0" w:num="1">
            <w:col w:w="11240"/>
          </w:cols>
          <w:pgMar w:left="320" w:top="769" w:right="339" w:bottom="1440" w:gutter="0" w:footer="0" w:header="0"/>
        </w:sectPr>
      </w:pPr>
    </w:p>
    <w:p>
      <w:pPr>
        <w:spacing w:after="0" w:line="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33655</wp:posOffset>
            </wp:positionV>
            <wp:extent cx="274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33655</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5"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p>
      <w:pPr>
        <w:spacing w:after="0" w:line="33" w:lineRule="exact"/>
        <w:rPr>
          <w:sz w:val="20"/>
          <w:szCs w:val="20"/>
          <w:color w:val="auto"/>
        </w:rPr>
      </w:pPr>
    </w:p>
    <w:p>
      <w:pPr>
        <w:sectPr>
          <w:pgSz w:w="11900" w:h="16838" w:orient="portrait"/>
          <w:cols w:equalWidth="0" w:num="2">
            <w:col w:w="6300" w:space="720"/>
            <w:col w:w="4220"/>
          </w:cols>
          <w:pgMar w:left="320" w:top="769" w:right="339" w:bottom="1440" w:gutter="0" w:footer="0" w:header="0"/>
          <w:type w:val="continuous"/>
        </w:sectPr>
      </w:pPr>
    </w:p>
    <w:tbl>
      <w:tblPr>
        <w:tblLayout w:type="fixed"/>
        <w:tblInd w:w="40" w:type="dxa"/>
        <w:tblCellMar>
          <w:top w:w="0" w:type="dxa"/>
          <w:left w:w="0" w:type="dxa"/>
          <w:bottom w:w="0" w:type="dxa"/>
          <w:right w:w="0" w:type="dxa"/>
        </w:tblCellMar>
      </w:tblPr>
      <w:tr>
        <w:trPr>
          <w:trHeight w:val="149"/>
        </w:trPr>
        <w:tc>
          <w:tcPr>
            <w:tcW w:w="2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480" w:type="dxa"/>
            <w:vAlign w:val="bottom"/>
            <w:tcBorders>
              <w:top w:val="single" w:sz="8" w:color="auto"/>
            </w:tcBorders>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2"/>
                <w:szCs w:val="12"/>
                <w:color w:val="auto"/>
              </w:rPr>
            </w:pP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500" w:type="dxa"/>
            <w:vAlign w:val="bottom"/>
            <w:tcBorders>
              <w:top w:val="single" w:sz="8" w:color="auto"/>
            </w:tcBorders>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2"/>
                <w:szCs w:val="12"/>
                <w:color w:val="auto"/>
              </w:rPr>
            </w:pPr>
          </w:p>
        </w:tc>
        <w:tc>
          <w:tcPr>
            <w:tcW w:w="13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2400" w:type="dxa"/>
            <w:vAlign w:val="bottom"/>
            <w:gridSpan w:val="2"/>
            <w:vMerge w:val="continue"/>
          </w:tcPr>
          <w:p>
            <w:pPr>
              <w:spacing w:after="0"/>
              <w:rPr>
                <w:sz w:val="17"/>
                <w:szCs w:val="17"/>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460" w:type="dxa"/>
            <w:vAlign w:val="bottom"/>
            <w:gridSpan w:val="2"/>
            <w:vMerge w:val="continue"/>
          </w:tcPr>
          <w:p>
            <w:pPr>
              <w:spacing w:after="0"/>
              <w:rPr>
                <w:sz w:val="17"/>
                <w:szCs w:val="17"/>
                <w:color w:val="auto"/>
              </w:rPr>
            </w:pPr>
          </w:p>
        </w:tc>
        <w:tc>
          <w:tcPr>
            <w:tcW w:w="14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500" w:hanging="330"/>
        <w:spacing w:after="0" w:line="275" w:lineRule="auto"/>
        <w:tabs>
          <w:tab w:leader="none" w:pos="48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rates presented for dealer loans and purchased loans reflect the Consumer Loan classification at the time of assignment. The forecasted collection rates represent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aggregate forecasted Consumer Loan collection rates, advance rates, and spreads (the forecasted collection rate less the advance rate) as of December 31, 2023 for dealer loans and purchased loans separately. All amounts are presented as a percentage of the initial balance of the Consumer Loan (principal + interest).</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5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Forecasted Collection</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Advance % (1)(2)</w:t>
            </w:r>
          </w:p>
        </w:tc>
        <w:tc>
          <w:tcPr>
            <w:tcW w:w="14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15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Forecasted Collection</w:t>
            </w: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Advance % (1)(2)</w:t>
            </w:r>
          </w:p>
        </w:tc>
        <w:tc>
          <w:tcPr>
            <w:tcW w:w="13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 (1)</w:t>
            </w: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4"/>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hanging="310"/>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rates and advance rates presented for dealer loans and purchased loans reflect the Consumer Loan classification at the time of assignment.</w:t>
      </w:r>
    </w:p>
    <w:p>
      <w:pPr>
        <w:spacing w:after="0" w:line="27" w:lineRule="exact"/>
        <w:rPr>
          <w:rFonts w:ascii="Times New Roman" w:cs="Times New Roman" w:eastAsia="Times New Roman" w:hAnsi="Times New Roman"/>
          <w:sz w:val="14"/>
          <w:szCs w:val="14"/>
          <w:color w:val="auto"/>
        </w:rPr>
      </w:pPr>
    </w:p>
    <w:p>
      <w:pPr>
        <w:ind w:left="500" w:right="20" w:hanging="330"/>
        <w:spacing w:after="0" w:line="263" w:lineRule="auto"/>
        <w:tabs>
          <w:tab w:leader="none" w:pos="50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advance rate on purchased loans is higher as compared to the advance rate on dealer loans, purchased loans do not require us to pay dealer holdback.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spread as of December 31, 2023 on 2023 dealer loans was 21.6%, as compared to a spread of 15.6% on 2022 dealer loans. The increase was primarily as a result of Consumer Loan performance, as the performance of 2022 dealer loans has been significantly lower than our initial estimates. Additionally, 2023 dealer loans had a higher initial spread, due to the advance rate decreasing by a greater margin than the initial forecast.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spread as of December 31, 2023 on 2023 purchased loans was 20.3%, as compared to a spread of 14.2% on 2022 purchased loans. The increase was primarily as a result of Consumer Loan performance, as the performance of 2022 purchased loans has been significantly lower than our initial estimates while the performance of 2023 purchased loans has exceeded our initial estimates. Additionally, 2023 purchased loans had a higher initial spread, due to a higher initial forecast and a lower advance rate.</w:t>
      </w:r>
    </w:p>
    <w:p>
      <w:pPr>
        <w:sectPr>
          <w:pgSz w:w="11900" w:h="16838" w:orient="portrait"/>
          <w:cols w:equalWidth="0" w:num="1">
            <w:col w:w="11240"/>
          </w:cols>
          <w:pgMar w:left="320" w:top="7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7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Consumer Loan Volume</w:t>
      </w:r>
    </w:p>
    <w:p>
      <w:pPr>
        <w:spacing w:after="0" w:line="3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following table summarizes changes in Consumer Loan assignment volume in each of the last eight quarters as compared to the same period in the previous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gridSpan w:val="3"/>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Year over Year Percent Change</w:t>
            </w:r>
          </w:p>
        </w:tc>
        <w:tc>
          <w:tcPr>
            <w:tcW w:w="0" w:type="dxa"/>
            <w:vAlign w:val="bottom"/>
          </w:tcPr>
          <w:p>
            <w:pPr>
              <w:spacing w:after="0"/>
              <w:rPr>
                <w:sz w:val="1"/>
                <w:szCs w:val="1"/>
                <w:color w:val="auto"/>
              </w:rPr>
            </w:pPr>
          </w:p>
        </w:tc>
      </w:tr>
      <w:tr>
        <w:trPr>
          <w:trHeight w:val="23"/>
        </w:trPr>
        <w:tc>
          <w:tcPr>
            <w:tcW w:w="7040" w:type="dxa"/>
            <w:vAlign w:val="bottom"/>
            <w:gridSpan w:val="2"/>
            <w:vMerge w:val="restart"/>
          </w:tcPr>
          <w:p>
            <w:pPr>
              <w:ind w:left="2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40" w:type="dxa"/>
            <w:vAlign w:val="bottom"/>
            <w:gridSpan w:val="2"/>
            <w:vMerge w:val="continue"/>
          </w:tcPr>
          <w:p>
            <w:pPr>
              <w:spacing w:after="0"/>
              <w:rPr>
                <w:sz w:val="16"/>
                <w:szCs w:val="16"/>
                <w:color w:val="auto"/>
              </w:rPr>
            </w:pPr>
          </w:p>
        </w:tc>
        <w:tc>
          <w:tcPr>
            <w:tcW w:w="22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1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0" w:type="dxa"/>
            <w:vAlign w:val="bottom"/>
          </w:tcPr>
          <w:p>
            <w:pPr>
              <w:spacing w:after="0"/>
              <w:rPr>
                <w:sz w:val="1"/>
                <w:szCs w:val="1"/>
                <w:color w:val="auto"/>
              </w:rPr>
            </w:pPr>
          </w:p>
        </w:tc>
      </w:tr>
      <w:tr>
        <w:trPr>
          <w:trHeight w:val="229"/>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2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2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right="20" w:hanging="330"/>
        <w:spacing w:after="0" w:line="282" w:lineRule="auto"/>
        <w:tabs>
          <w:tab w:leader="none" w:pos="5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 and dollar volumes grew 26.7% and 21.3%, respectively, during the fourth quarter of 2023 as the number of active dealers grew 12.6% and the average unit volume per active dealer increased 12.5%. Dollar volume increased less than unit volume during the fourth quarter of 2023 due to a decrease in the average advance paid, due to decreases in the average advance rate and the average size of Consumer Loans assigned. Unit volume for the 30-day period ended January 30, 2024 grew 21.5%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summarizes the changes in Consumer Loan unit volume and active dealers: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96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900" w:type="dxa"/>
            <w:vAlign w:val="bottom"/>
            <w:gridSpan w:val="5"/>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3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336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Loan unit volume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332,499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Active dealers (1)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volume per active dealer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65" w:lineRule="exact"/>
        <w:rPr>
          <w:sz w:val="20"/>
          <w:szCs w:val="20"/>
          <w:color w:val="auto"/>
        </w:rPr>
      </w:pPr>
    </w:p>
    <w:p>
      <w:pPr>
        <w:ind w:left="360" w:hanging="323"/>
        <w:spacing w:after="0" w:line="237" w:lineRule="auto"/>
        <w:rPr>
          <w:sz w:val="20"/>
          <w:szCs w:val="20"/>
          <w:color w:val="auto"/>
        </w:rPr>
      </w:pPr>
      <w:r>
        <w:rPr>
          <w:rFonts w:ascii="Times New Roman" w:cs="Times New Roman" w:eastAsia="Times New Roman" w:hAnsi="Times New Roman"/>
          <w:sz w:val="18"/>
          <w:szCs w:val="18"/>
          <w:color w:val="auto"/>
        </w:rPr>
        <w:t>Consumer Loan unit volume from dealers active both periods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Dealers active both periods</w:t>
      </w:r>
    </w:p>
    <w:p>
      <w:pPr>
        <w:spacing w:after="0" w:line="27" w:lineRule="exact"/>
        <w:rPr>
          <w:sz w:val="20"/>
          <w:szCs w:val="20"/>
          <w:color w:val="auto"/>
        </w:rPr>
      </w:pPr>
    </w:p>
    <w:p>
      <w:pPr>
        <w:ind w:left="360" w:right="600" w:hanging="323"/>
        <w:spacing w:after="0" w:line="234" w:lineRule="auto"/>
        <w:rPr>
          <w:sz w:val="20"/>
          <w:szCs w:val="20"/>
          <w:color w:val="auto"/>
        </w:rPr>
      </w:pPr>
      <w:r>
        <w:rPr>
          <w:rFonts w:ascii="Times New Roman" w:cs="Times New Roman" w:eastAsia="Times New Roman" w:hAnsi="Times New Roman"/>
          <w:sz w:val="18"/>
          <w:szCs w:val="18"/>
          <w:color w:val="auto"/>
        </w:rPr>
        <w:t>Average volume per dealer active both periods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51,246</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4"/>
        </w:trPr>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399"/>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-676910</wp:posOffset>
            </wp:positionV>
            <wp:extent cx="712343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26543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-265430</wp:posOffset>
            </wp:positionV>
            <wp:extent cx="712343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320"/>
            <w:col w:w="7880"/>
          </w:cols>
          <w:pgMar w:left="320" w:top="769" w:right="339" w:bottom="1440" w:gutter="0" w:footer="0" w:header="0"/>
          <w:type w:val="continuous"/>
        </w:sectPr>
      </w:pPr>
    </w:p>
    <w:p>
      <w:pPr>
        <w:spacing w:after="0" w:line="65" w:lineRule="exact"/>
        <w:rPr>
          <w:sz w:val="20"/>
          <w:szCs w:val="20"/>
          <w:color w:val="auto"/>
        </w:rPr>
      </w:pPr>
    </w:p>
    <w:p>
      <w:pPr>
        <w:ind w:left="360" w:hanging="323"/>
        <w:spacing w:after="0" w:line="237" w:lineRule="auto"/>
        <w:rPr>
          <w:sz w:val="20"/>
          <w:szCs w:val="20"/>
          <w:color w:val="auto"/>
        </w:rPr>
      </w:pPr>
      <w:r>
        <w:rPr>
          <w:rFonts w:ascii="Times New Roman" w:cs="Times New Roman" w:eastAsia="Times New Roman" w:hAnsi="Times New Roman"/>
          <w:sz w:val="18"/>
          <w:szCs w:val="18"/>
          <w:color w:val="auto"/>
        </w:rPr>
        <w:t xml:space="preserve">Consumer loan unit volume from dealers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active both periods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Dealers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active both periods</w:t>
      </w:r>
    </w:p>
    <w:p>
      <w:pPr>
        <w:spacing w:after="0" w:line="27" w:lineRule="exact"/>
        <w:rPr>
          <w:sz w:val="20"/>
          <w:szCs w:val="20"/>
          <w:color w:val="auto"/>
        </w:rPr>
      </w:pPr>
    </w:p>
    <w:p>
      <w:pPr>
        <w:ind w:left="360" w:right="180" w:hanging="323"/>
        <w:spacing w:after="0" w:line="234" w:lineRule="auto"/>
        <w:rPr>
          <w:sz w:val="20"/>
          <w:szCs w:val="20"/>
          <w:color w:val="auto"/>
        </w:rPr>
      </w:pPr>
      <w:r>
        <w:rPr>
          <w:rFonts w:ascii="Times New Roman" w:cs="Times New Roman" w:eastAsia="Times New Roman" w:hAnsi="Times New Roman"/>
          <w:sz w:val="18"/>
          <w:szCs w:val="18"/>
          <w:color w:val="auto"/>
        </w:rPr>
        <w:t xml:space="preserve">Average volume per dealer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active both periods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98.9 %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146.7 %</w:t>
            </w:r>
          </w:p>
        </w:tc>
      </w:tr>
      <w:tr>
        <w:trPr>
          <w:trHeight w:val="234"/>
        </w:trPr>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94.9 %</w:t>
            </w:r>
          </w:p>
        </w:tc>
      </w:tr>
      <w:tr>
        <w:trPr>
          <w:trHeight w:val="399"/>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-676910</wp:posOffset>
            </wp:positionV>
            <wp:extent cx="712343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26543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-265430</wp:posOffset>
            </wp:positionV>
            <wp:extent cx="712343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26543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260" w:space="100"/>
            <w:col w:w="7880"/>
          </w:cols>
          <w:pgMar w:left="320" w:top="769" w:right="339" w:bottom="1440" w:gutter="0" w:footer="0" w:header="0"/>
          <w:type w:val="continuous"/>
        </w:sectPr>
      </w:pPr>
    </w:p>
    <w:p>
      <w:pPr>
        <w:ind w:left="180"/>
        <w:spacing w:after="0"/>
        <w:tabs>
          <w:tab w:leader="none" w:pos="460" w:val="left"/>
        </w:tabs>
        <w:rPr>
          <w:sz w:val="20"/>
          <w:szCs w:val="20"/>
          <w:color w:val="auto"/>
        </w:rPr>
      </w:pPr>
      <w:r>
        <w:rPr>
          <w:rFonts w:ascii="Times New Roman" w:cs="Times New Roman" w:eastAsia="Times New Roman" w:hAnsi="Times New Roman"/>
          <w:sz w:val="14"/>
          <w:szCs w:val="14"/>
          <w:color w:val="auto"/>
        </w:rPr>
        <w:t>(1)</w:t>
        <w:tab/>
        <w:t>Active dealers are dealers who have received funding for at least one Consumer Loan during the period.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on the changes in Consumer Loan unit volume and active dealers: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40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4040" w:type="dxa"/>
            <w:vAlign w:val="bottom"/>
            <w:gridSpan w:val="5"/>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3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3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3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Consumer Loan unit volume from new</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43"/>
        </w:trPr>
        <w:tc>
          <w:tcPr>
            <w:tcW w:w="3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active dealers</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2,652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46,741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28,223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r>
      <w:tr>
        <w:trPr>
          <w:trHeight w:val="23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New active dealers (1)</w:t>
            </w: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775</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2,819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volume per new active dealer</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56"/>
        </w:trPr>
        <w:tc>
          <w:tcPr>
            <w:tcW w:w="3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Attrition (2)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ind w:left="480" w:hanging="310"/>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active dealers are dealers who enrolled in our program and have received funding for their first dealer loan or purchased loan from us during the period.</w:t>
      </w:r>
    </w:p>
    <w:p>
      <w:pPr>
        <w:spacing w:after="0" w:line="27" w:lineRule="exact"/>
        <w:rPr>
          <w:rFonts w:ascii="Times New Roman" w:cs="Times New Roman" w:eastAsia="Times New Roman" w:hAnsi="Times New Roman"/>
          <w:sz w:val="14"/>
          <w:szCs w:val="14"/>
          <w:color w:val="auto"/>
        </w:rPr>
      </w:pPr>
    </w:p>
    <w:p>
      <w:pPr>
        <w:jc w:val="both"/>
        <w:ind w:left="500" w:hanging="330"/>
        <w:spacing w:after="0" w:line="262" w:lineRule="auto"/>
        <w:tabs>
          <w:tab w:leader="none" w:pos="48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Attrition is measured according to the following formula: decrease in Consumer Loan unit volume from dealers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percentage of Consumer Loans assigned to us as dealer loans and purchased loans for each of the last eight quarters: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3360" w:type="dxa"/>
            <w:vAlign w:val="bottom"/>
            <w:gridSpan w:val="3"/>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0" w:type="dxa"/>
            <w:vAlign w:val="bottom"/>
          </w:tcPr>
          <w:p>
            <w:pPr>
              <w:spacing w:after="0"/>
              <w:rPr>
                <w:sz w:val="1"/>
                <w:szCs w:val="1"/>
                <w:color w:val="auto"/>
              </w:rPr>
            </w:pPr>
          </w:p>
        </w:tc>
      </w:tr>
      <w:tr>
        <w:trPr>
          <w:trHeight w:val="23"/>
        </w:trPr>
        <w:tc>
          <w:tcPr>
            <w:tcW w:w="44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170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6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00" w:type="dxa"/>
            <w:vAlign w:val="bottom"/>
          </w:tcPr>
          <w:p>
            <w:pPr>
              <w:spacing w:after="0"/>
              <w:rPr>
                <w:sz w:val="16"/>
                <w:szCs w:val="16"/>
                <w:color w:val="auto"/>
              </w:rPr>
            </w:pPr>
          </w:p>
        </w:tc>
        <w:tc>
          <w:tcPr>
            <w:tcW w:w="172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64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2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34"/>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right="20" w:hanging="330"/>
        <w:spacing w:after="0" w:line="282" w:lineRule="auto"/>
        <w:tabs>
          <w:tab w:leader="none" w:pos="5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the net dealer loans receivable balance was 67.7% and 64.7%, respectively, of the total net loans receivable balance.</w:t>
      </w:r>
    </w:p>
    <w:p>
      <w:pPr>
        <w:sectPr>
          <w:pgSz w:w="11900" w:h="16838" w:orient="portrait"/>
          <w:cols w:equalWidth="0" w:num="1">
            <w:col w:w="11240"/>
          </w:cols>
          <w:pgMar w:left="320" w:top="7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7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220" w:type="dxa"/>
            <w:vAlign w:val="bottom"/>
          </w:tcPr>
          <w:p>
            <w:pPr>
              <w:spacing w:after="0"/>
              <w:rPr>
                <w:sz w:val="16"/>
                <w:szCs w:val="16"/>
                <w:color w:val="auto"/>
              </w:rPr>
            </w:pPr>
          </w:p>
        </w:tc>
        <w:tc>
          <w:tcPr>
            <w:tcW w:w="364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200" w:type="dxa"/>
            <w:vAlign w:val="bottom"/>
          </w:tcPr>
          <w:p>
            <w:pPr>
              <w:spacing w:after="0"/>
              <w:rPr>
                <w:sz w:val="16"/>
                <w:szCs w:val="16"/>
                <w:color w:val="auto"/>
              </w:rPr>
            </w:pPr>
          </w:p>
        </w:tc>
        <w:tc>
          <w:tcPr>
            <w:tcW w:w="3560" w:type="dxa"/>
            <w:vAlign w:val="bottom"/>
            <w:gridSpan w:val="6"/>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36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average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GAAP average shareholders' equity</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3"/>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capital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-46.6 %</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13,294,506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13,625,081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 per diluted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-44.1 %</w:t>
            </w: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GAAP net income for the three months ended December 31, 2023, as compared to the same period in 2022, was primarily a result of the following:</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provision for credit losses of 25.6% ($33.4 million), due to:</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provision for credit losses on forecast changes of $24.2 million, primarily due to a greater decline in Consumer Loan performance during the fourth quarter of 2023 compared to the same period in 2022. During the fourth quarter of 2023, we decreased our estimate of future net cash flows by $57.0 million, or 0.6%, to reflect a decline in forecasted collection rates during the period and slowed our forecasted net cash flow timing to reflect a decrease in Consumer Loan prepayments to below-average levels. Historically, Consumer Loan prepayments have been lower in periods with less availability of consumer credit. During the fourth quarter of 2022, we decreased our estimate of future net cash flows by $41.1 million, or 0.5%, to reflect a decline in Consumer Loan performance during the period.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provision for credit losses on new Consumer Loan assignments of $9.2 million, primarily due to an increase of 26.7% in Consumer Loan assignment unit volume, partially offset by a 9.0% decrease in the average provision per Consumer Loan assignment. The decrease in average provision per new Consumer Loan assignment was primarily due to a decrease in the average advance rate for 2023 Consumer Loans. The following table summarizes each component of provision for credit losses:</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16"/>
                <w:szCs w:val="16"/>
                <w:color w:val="auto"/>
              </w:rPr>
            </w:pPr>
          </w:p>
        </w:tc>
        <w:tc>
          <w:tcPr>
            <w:tcW w:w="33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Forecast changes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New Consumer Loan assignments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20" w:hanging="332"/>
        <w:spacing w:after="0" w:line="26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expense of 59.5% ($29.4 million), primarily due to an increase in our average cost of debt, which was primarily a result of higher interest rates on recently-completed or extended secured financings and the repayment of older secured financings with lower interest rates.</w:t>
      </w: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expenses of 10.0% ($10.4 million), primarily due to: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31.1% ($6.5 million), primarily due to an increase in legal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17.5% ($3.1 million), primarily due an increase in the size of our sales force and an increase in sales commissions related to growth in Consumer Loan assignment volume.</w:t>
      </w:r>
    </w:p>
    <w:p>
      <w:pPr>
        <w:ind w:left="340" w:hanging="332"/>
        <w:spacing w:after="0" w:line="250"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income of 29.0% ($7.5 million), primarily due to a $9.6 million decrease in ancillary product profit sharing income primarily due to:</w:t>
      </w:r>
    </w:p>
    <w:p>
      <w:pPr>
        <w:ind w:left="660" w:hanging="328"/>
        <w:spacing w:after="0" w:line="250"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of income recognized in 2022 related to an inception-to-date adjustment to premium recognition timing based on our historical claims experience on Guaranteed Asset Protection (“GAP”) contracts.</w:t>
      </w: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average claim rates and volume of claims on GAP contracts.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provision for income taxes of 36.1% ($12.9 million), primarily due to a decrease in taxable income.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finance charges of 8.6% ($35.6 million), primarily due to an increase in the average balance of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decrease in GAAP net income for the year ended December 31, 2023, as compared to the same period in 2022, was primarily a result of the following:</w:t>
      </w:r>
    </w:p>
    <w:p>
      <w:pPr>
        <w:spacing w:after="0" w:line="2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provision for credit losses of 52.9% ($254.8 million), primarily due to an increase in provision for credit losses on forecast changes of</w:t>
      </w:r>
    </w:p>
    <w:p>
      <w:pPr>
        <w:spacing w:after="0" w:line="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$276.0 million, primarily due to a greater decline in Consumer Loan performance during 2023 compared to 2022. During 2023, we decreased our estimate of future net cash flows by $206.3 million, or 2.3%, to reflect a decline in forecasted collection rates during the period and slowed our forecasted net cash flow timing to reflect a decrease in Consumer Loan prepayments to below-average levels. During 2022, we decreased our estimate of future net cash flows by $59.7 million, or 0.7%, to reflect a decline in Consumer Loan performance during the period. The following table summarizes each component of provision for credit losses:</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Pr>
          <w:p>
            <w:pPr>
              <w:spacing w:after="0"/>
              <w:rPr>
                <w:sz w:val="16"/>
                <w:szCs w:val="16"/>
                <w:color w:val="auto"/>
              </w:rPr>
            </w:pPr>
          </w:p>
        </w:tc>
        <w:tc>
          <w:tcPr>
            <w:tcW w:w="33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Forecast changes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New Consumer Loan assignments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2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expense of 60.0% ($99.9 million), primarily due to an increase in our average cost of debt, which was primarily a result of higher interest rates on recently-completed or extended secured financings and the repayment of older secured financings with lower interest rates.</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expenses of 7.7% ($32.8 million), primarily due to:</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salaries and wages expense of 6.9% ($18.2 million), primarily due to our engineering department as we are investing in our business to enhance our product and transform our technology systems to be more dealer- and customer-focused and an increase in fringe benefits primarily due to higher medical claims.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expense of 21.3% ($16.1 million), primarily due to investments in our business to enhance our sales and marketing strategy, an increase in the size of our sales force, and an increase in sales commissions related to growth in Consumer Loan assignment volume.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provision for claims of 52.4% ($24.3 million), due to increases in the size of our reinsurance portfolio and the average claim paid per reinsured vehicle service contract.</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finance charges of 4.1% ($69.1 million), primarily due to an increase in the average balance of our loan portfolio.</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provision for income taxes of 53.7% ($94.4 million), primarily due to a decrease in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69"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certain incentive compensation. We also use economic profit as a framework to evaluate business decisions and strategies, with the objective to maximize economic profit over the long term. In addition, certain debt facilities utilize adjusted financial information for the determination of loan collateral values. The table below shows our results following adjustments to reflect non-GAAP accounting methods. Material adjustments are explained in the table footnotes and the subsequent “Floating Yield Adjustment” and “Senior Notes Adjustment” sections. Measures such as adjusted average capital, adjusted net income, adjusted net income per diluted share, adjusted interest expense (after-tax), adjusted net income plus adjusted interest expense (after-tax), adjusted return on capital, adjusted revenue, operating expenses, adjusted loans receivable, economic profit, and economic profit per diluted share are non-GAAP financial measures. Non-GAAP financial measures should be viewed in addition to, and not as an alternative for, our reported results prepared in accordance with GAAP.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financial results for the three months and year ended December 31, 2023, compared to the same periods in 2022, include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280" w:type="dxa"/>
            <w:vAlign w:val="bottom"/>
          </w:tcPr>
          <w:p>
            <w:pPr>
              <w:spacing w:after="0"/>
              <w:rPr>
                <w:sz w:val="16"/>
                <w:szCs w:val="16"/>
                <w:color w:val="auto"/>
              </w:rPr>
            </w:pPr>
          </w:p>
        </w:tc>
        <w:tc>
          <w:tcPr>
            <w:tcW w:w="384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00" w:type="dxa"/>
            <w:vAlign w:val="bottom"/>
          </w:tcPr>
          <w:p>
            <w:pPr>
              <w:spacing w:after="0"/>
              <w:rPr>
                <w:sz w:val="16"/>
                <w:szCs w:val="16"/>
                <w:color w:val="auto"/>
              </w:rPr>
            </w:pPr>
          </w:p>
        </w:tc>
        <w:tc>
          <w:tcPr>
            <w:tcW w:w="28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6"/>
                <w:szCs w:val="16"/>
                <w:color w:val="auto"/>
              </w:rPr>
            </w:pPr>
          </w:p>
        </w:tc>
      </w:tr>
      <w:tr>
        <w:trPr>
          <w:trHeight w:val="23"/>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0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average capital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7,234.3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6,490.2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expense (after-tax)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r>
      <w:tr>
        <w:trPr>
          <w:trHeight w:val="175"/>
        </w:trPr>
        <w:tc>
          <w:tcPr>
            <w:tcW w:w="3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net income plus adjusted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(after-tax)</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850.5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capital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capital</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profit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176"/>
        </w:trPr>
        <w:tc>
          <w:tcPr>
            <w:tcW w:w="3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13,294,506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13,010,735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13,625,081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Economic profit per diluted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Economic profit decreased 36.5% and 45.3% for the three months and year ended December 31, 2023, as compared to the same periods in 2022. Economic profit is a function of the return on capital in excess of the cost of capital and the amount of capital invested in the business. The following table summarizes the impact each of these components had on the changes in economic profit for the three months and year ended December 31, 2023, as compared to the same periods in 2022:</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6"/>
                <w:szCs w:val="16"/>
                <w:color w:val="auto"/>
              </w:rPr>
            </w:pPr>
          </w:p>
        </w:tc>
        <w:tc>
          <w:tcPr>
            <w:tcW w:w="460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Year over Year Change in Economic Profit</w:t>
            </w:r>
          </w:p>
        </w:tc>
      </w:tr>
      <w:tr>
        <w:trPr>
          <w:trHeight w:val="23"/>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31"/>
        </w:trPr>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1"/>
                <w:szCs w:val="11"/>
                <w:color w:val="auto"/>
              </w:rPr>
            </w:pPr>
          </w:p>
        </w:tc>
        <w:tc>
          <w:tcPr>
            <w:tcW w:w="2220" w:type="dxa"/>
            <w:vAlign w:val="bottom"/>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95"/>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2220" w:type="dxa"/>
            <w:vAlign w:val="bottom"/>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adjusted return on capital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center"/>
              <w:ind w:left="1578"/>
              <w:spacing w:after="0"/>
              <w:rPr>
                <w:sz w:val="20"/>
                <w:szCs w:val="20"/>
                <w:color w:val="auto"/>
              </w:rPr>
            </w:pPr>
            <w:r>
              <w:rPr>
                <w:rFonts w:ascii="Times New Roman" w:cs="Times New Roman" w:eastAsia="Times New Roman" w:hAnsi="Times New Roman"/>
                <w:sz w:val="18"/>
                <w:szCs w:val="18"/>
                <w:color w:val="auto"/>
                <w:w w:val="96"/>
              </w:rPr>
              <w:t>(24.4)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cost of capital</w:t>
            </w:r>
          </w:p>
        </w:tc>
        <w:tc>
          <w:tcPr>
            <w:tcW w:w="180" w:type="dxa"/>
            <w:vAlign w:val="bottom"/>
          </w:tcPr>
          <w:p>
            <w:pPr>
              <w:spacing w:after="0"/>
              <w:rPr>
                <w:sz w:val="19"/>
                <w:szCs w:val="19"/>
                <w:color w:val="auto"/>
              </w:rPr>
            </w:pPr>
          </w:p>
        </w:tc>
        <w:tc>
          <w:tcPr>
            <w:tcW w:w="2160" w:type="dxa"/>
            <w:vAlign w:val="bottom"/>
          </w:tcPr>
          <w:p>
            <w:pPr>
              <w:jc w:val="center"/>
              <w:ind w:left="1578"/>
              <w:spacing w:after="0"/>
              <w:rPr>
                <w:sz w:val="20"/>
                <w:szCs w:val="20"/>
                <w:color w:val="auto"/>
              </w:rPr>
            </w:pPr>
            <w:r>
              <w:rPr>
                <w:rFonts w:ascii="Times New Roman" w:cs="Times New Roman" w:eastAsia="Times New Roman" w:hAnsi="Times New Roman"/>
                <w:sz w:val="18"/>
                <w:szCs w:val="18"/>
                <w:color w:val="auto"/>
                <w:w w:val="96"/>
              </w:rPr>
              <w:t>(17.9)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adjusted average capital</w:t>
            </w:r>
          </w:p>
        </w:tc>
        <w:tc>
          <w:tcPr>
            <w:tcW w:w="1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ind w:left="1598"/>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economic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center"/>
              <w:ind w:left="1578"/>
              <w:spacing w:after="0"/>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economic profit for the three months ended December 31, 2023, as compared to the same period in 2022, was primarily a result of the following:</w:t>
      </w:r>
    </w:p>
    <w:p>
      <w:pPr>
        <w:ind w:left="320" w:hanging="312"/>
        <w:spacing w:after="0"/>
        <w:tabs>
          <w:tab w:leader="none" w:pos="3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decrease in our adjusted return on capital of 140 basis points, primarily due to:</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0" w:lineRule="auto"/>
        <w:tabs>
          <w:tab w:leader="none" w:pos="6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yield used to recognize adjusted finance charges on our loan portfolio decreased our adjusted return on capital by 90 basis points, primarily due to a decline in forecasted collection rates since the fourth quarter of 2022 and slower forecasted net cash flow timing during 2023, primarily as a result of a decrease in Consumer Loan prepayments to below-average levels.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income decreased our adjusted return on capital by 40 basis points, primarily due to a $9.6 million decrease in ancillary product profit sharing income primarily due to:</w:t>
      </w:r>
    </w:p>
    <w:p>
      <w:pPr>
        <w:ind w:left="980" w:hanging="324"/>
        <w:spacing w:after="0" w:line="250" w:lineRule="auto"/>
        <w:tabs>
          <w:tab w:leader="none" w:pos="975"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of income recognized in 2022 related to an inception-to-date adjustment to premium recognition timing based on our historical claims experience on GAP contracts.</w:t>
      </w:r>
    </w:p>
    <w:p>
      <w:pPr>
        <w:ind w:left="980" w:hanging="324"/>
        <w:spacing w:after="0"/>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average claim rates and volume of claims on GAP contracts.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cost of capital, primarily due to an increase in our cost of debt.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adjusted average capital of 11.5%, primarily due to an increase in the average balance of our loan portfolio.</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76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decrease in economic profit for the year ended December 31, 2023, as compared to the same period in 2022, was primarily a result of the following:</w:t>
      </w:r>
    </w:p>
    <w:p>
      <w:pPr>
        <w:spacing w:after="0" w:line="27" w:lineRule="exact"/>
        <w:rPr>
          <w:sz w:val="20"/>
          <w:szCs w:val="20"/>
          <w:color w:val="auto"/>
        </w:rPr>
      </w:pPr>
    </w:p>
    <w:p>
      <w:pPr>
        <w:jc w:val="both"/>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adjusted return on capital of 240 basis points, primarily due to a decrease in the yield used to recognize adjusted finance charges on our loan portfolio, which decreased our adjusted return on capital by 200 basis points. The decrease was primarily due to a decline in forecasted collection rates since the third quarter of 2022 and slower forecasted net cash flow timing during 2023, primarily as a result of a decrease in Consumer Loan prepayments to below-average levels.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cost of capital, primarily due to an increase in our cost of debt.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adjusted average capital of 6.9%, primarily due to an increase in the average balance of our loan portfolio.</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adjusted revenue and operating expenses as a percentage of adjusted average capital, the adjusted return on capital, and the percentage change in adjusted average capital for each of the last eight quarters, compared to the same period in the prior year: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2023</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 30, 2023</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 31, 2023</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2022</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 30,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 31, 2022</w:t>
            </w:r>
          </w:p>
        </w:tc>
        <w:tc>
          <w:tcPr>
            <w:tcW w:w="0" w:type="dxa"/>
            <w:vAlign w:val="bottom"/>
          </w:tcPr>
          <w:p>
            <w:pPr>
              <w:spacing w:after="0"/>
              <w:rPr>
                <w:sz w:val="1"/>
                <w:szCs w:val="1"/>
                <w:color w:val="auto"/>
              </w:rPr>
            </w:pPr>
          </w:p>
        </w:tc>
      </w:tr>
      <w:tr>
        <w:trPr>
          <w:trHeight w:val="162"/>
        </w:trPr>
        <w:tc>
          <w:tcPr>
            <w:tcW w:w="25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Adjusted revenue as a</w:t>
            </w: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percentage of adjusted</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capital (1)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expenses as 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percentage of adjusted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capital (1)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capital (1)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Percentage change in adjusted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average capital compared to</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the same period in the prior</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4"/>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w:t>
            </w: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80"/>
        <w:spacing w:after="0"/>
        <w:tabs>
          <w:tab w:leader="none" w:pos="460" w:val="left"/>
        </w:tabs>
        <w:rPr>
          <w:sz w:val="20"/>
          <w:szCs w:val="20"/>
          <w:color w:val="auto"/>
        </w:rPr>
      </w:pPr>
      <w:r>
        <w:rPr>
          <w:rFonts w:ascii="Times New Roman" w:cs="Times New Roman" w:eastAsia="Times New Roman" w:hAnsi="Times New Roman"/>
          <w:sz w:val="14"/>
          <w:szCs w:val="14"/>
          <w:color w:val="auto"/>
        </w:rPr>
        <w:t>(1)</w:t>
        <w:tab/>
        <w:t>Annualized.</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adjusted revenue as a percentage of adjusted average capital for the three months ended December 31, 2023, as compared to the three months ended September 30, 2023, was primarily due to a decrease in the yield used to recognize adjusted finance charges on our loan portfolio. The decrease in the yield decreased our adjusted return on capital by 40 basis points, primarily due to a decline in forecasted collection rates in the third and fourth quarters of 2023 and slower forecasted net cash flow timing, primarily as a result of a decrease in Consumer Loan prepayments to below-average levels.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tables provide a reconciliation of non-GAAP measures to GAAP measures. Certain amounts do not recalculate due to rounding.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(Dollars in millions, except per share data)</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2023</w:t>
            </w:r>
          </w:p>
        </w:tc>
        <w:tc>
          <w:tcPr>
            <w:tcW w:w="8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 30, 2023</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 31, 2023</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2022</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 30, 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 31, 2022</w:t>
            </w:r>
          </w:p>
        </w:tc>
        <w:tc>
          <w:tcPr>
            <w:tcW w:w="0" w:type="dxa"/>
            <w:vAlign w:val="bottom"/>
          </w:tcPr>
          <w:p>
            <w:pPr>
              <w:spacing w:after="0"/>
              <w:rPr>
                <w:sz w:val="1"/>
                <w:szCs w:val="1"/>
                <w:color w:val="auto"/>
              </w:rPr>
            </w:pP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net income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214.3</w:t>
            </w:r>
          </w:p>
        </w:tc>
        <w:tc>
          <w:tcPr>
            <w:tcW w:w="0" w:type="dxa"/>
            <w:vAlign w:val="bottom"/>
          </w:tcPr>
          <w:p>
            <w:pPr>
              <w:spacing w:after="0"/>
              <w:rPr>
                <w:sz w:val="1"/>
                <w:szCs w:val="1"/>
                <w:color w:val="auto"/>
              </w:rPr>
            </w:pPr>
          </w:p>
        </w:tc>
      </w:tr>
      <w:tr>
        <w:trPr>
          <w:trHeight w:val="19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Floating yield adjustment (after-tax)</w:t>
            </w: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(73.9)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46"/>
        </w:trPr>
        <w:tc>
          <w:tcPr>
            <w:tcW w:w="24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GAAP provision for credit losses (after-</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105.8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8"/>
        </w:trPr>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adjustment (after-tax)</w:t>
            </w: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adjustment (1)</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3"/>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Adjusted 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129.1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139.5</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140.0</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127.0</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156.1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178.5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69" w:right="339" w:bottom="1440" w:gutter="0" w:footer="0" w:header="0"/>
        </w:sectPr>
      </w:pPr>
    </w:p>
    <w:p>
      <w:pPr>
        <w:ind w:left="20"/>
        <w:spacing w:after="0" w:line="231" w:lineRule="auto"/>
        <w:rPr>
          <w:sz w:val="20"/>
          <w:szCs w:val="20"/>
          <w:color w:val="auto"/>
        </w:rPr>
      </w:pPr>
      <w:r>
        <w:rPr>
          <w:rFonts w:ascii="Times New Roman" w:cs="Times New Roman" w:eastAsia="Times New Roman" w:hAnsi="Times New Roman"/>
          <w:sz w:val="14"/>
          <w:szCs w:val="14"/>
          <w:color w:val="auto"/>
        </w:rPr>
        <w:t>Adjusted net income per diluted share</w:t>
      </w:r>
    </w:p>
    <w:p>
      <w:pPr>
        <w:ind w:left="180"/>
        <w:spacing w:after="0"/>
        <w:rPr>
          <w:sz w:val="20"/>
          <w:szCs w:val="20"/>
          <w:color w:val="auto"/>
        </w:rPr>
      </w:pPr>
      <w:r>
        <w:rPr>
          <w:rFonts w:ascii="Times New Roman" w:cs="Times New Roman" w:eastAsia="Times New Roman" w:hAnsi="Times New Roman"/>
          <w:sz w:val="14"/>
          <w:szCs w:val="14"/>
          <w:color w:val="auto"/>
        </w:rPr>
        <w:t>(2)</w:t>
      </w:r>
    </w:p>
    <w:p>
      <w:pPr>
        <w:spacing w:after="0" w:line="12" w:lineRule="exact"/>
        <w:rPr>
          <w:sz w:val="20"/>
          <w:szCs w:val="20"/>
          <w:color w:val="auto"/>
        </w:rPr>
      </w:pPr>
    </w:p>
    <w:p>
      <w:pPr>
        <w:ind w:left="180" w:right="340" w:hanging="161"/>
        <w:spacing w:after="0" w:line="261" w:lineRule="auto"/>
        <w:rPr>
          <w:sz w:val="20"/>
          <w:szCs w:val="20"/>
          <w:color w:val="auto"/>
        </w:rPr>
      </w:pPr>
      <w:r>
        <w:rPr>
          <w:rFonts w:ascii="Times New Roman" w:cs="Times New Roman" w:eastAsia="Times New Roman" w:hAnsi="Times New Roman"/>
          <w:sz w:val="14"/>
          <w:szCs w:val="14"/>
          <w:color w:val="auto"/>
        </w:rPr>
        <w:t>Diluted weighted average shares outstanding</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Adjusted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491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GAAP total revenue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Floating yield adjustment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GAAP provision for claims</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Adjusted revenue</w:t>
      </w:r>
    </w:p>
    <w:p>
      <w:pPr>
        <w:spacing w:after="0" w:line="256" w:lineRule="exact"/>
        <w:rPr>
          <w:sz w:val="20"/>
          <w:szCs w:val="20"/>
          <w:color w:val="auto"/>
        </w:rPr>
      </w:pPr>
    </w:p>
    <w:p>
      <w:pPr>
        <w:ind w:left="20" w:right="680"/>
        <w:spacing w:after="0" w:line="313" w:lineRule="auto"/>
        <w:rPr>
          <w:sz w:val="20"/>
          <w:szCs w:val="20"/>
          <w:color w:val="auto"/>
        </w:rPr>
      </w:pPr>
      <w:r>
        <w:rPr>
          <w:rFonts w:ascii="Times New Roman" w:cs="Times New Roman" w:eastAsia="Times New Roman" w:hAnsi="Times New Roman"/>
          <w:sz w:val="14"/>
          <w:szCs w:val="14"/>
          <w:b w:val="1"/>
          <w:bCs w:val="1"/>
          <w:color w:val="auto"/>
        </w:rPr>
        <w:t xml:space="preserve">Adjusted average capital </w:t>
      </w:r>
      <w:r>
        <w:rPr>
          <w:rFonts w:ascii="Times New Roman" w:cs="Times New Roman" w:eastAsia="Times New Roman" w:hAnsi="Times New Roman"/>
          <w:sz w:val="14"/>
          <w:szCs w:val="14"/>
          <w:color w:val="auto"/>
        </w:rPr>
        <w:t>GAAP average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91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ind w:left="20" w:right="220"/>
        <w:spacing w:after="0" w:line="311" w:lineRule="auto"/>
        <w:rPr>
          <w:sz w:val="20"/>
          <w:szCs w:val="20"/>
          <w:color w:val="auto"/>
        </w:rPr>
      </w:pPr>
      <w:r>
        <w:rPr>
          <w:rFonts w:ascii="Times New Roman" w:cs="Times New Roman" w:eastAsia="Times New Roman" w:hAnsi="Times New Roman"/>
          <w:sz w:val="14"/>
          <w:szCs w:val="14"/>
          <w:color w:val="auto"/>
        </w:rPr>
        <w:t>Deferred debt issuance adjustment Senior notes debt adjustment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Adjusted average debt</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GAAP average shareholders' equity</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Senior notes equity adjustment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adjustment (3)</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Floating yield adjustment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10.70</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10.69</w:t>
            </w:r>
          </w:p>
        </w:tc>
        <w:tc>
          <w:tcPr>
            <w:tcW w:w="1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9.71</w:t>
            </w:r>
          </w:p>
        </w:tc>
        <w:tc>
          <w:tcPr>
            <w:tcW w:w="14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11.74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13.76</w:t>
            </w:r>
          </w:p>
        </w:tc>
      </w:tr>
      <w:tr>
        <w:trPr>
          <w:trHeight w:val="23"/>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81"/>
        </w:trPr>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12,837,181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13,039,638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13,099,961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13,073,316</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13,294,506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13,364,160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13,517,979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14,341,523</w:t>
            </w:r>
          </w:p>
        </w:tc>
      </w:tr>
      <w:tr>
        <w:trPr>
          <w:trHeight w:val="675"/>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491.6</w:t>
            </w:r>
          </w:p>
        </w:tc>
        <w:tc>
          <w:tcPr>
            <w:tcW w:w="1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478.6</w:t>
            </w:r>
          </w:p>
        </w:tc>
        <w:tc>
          <w:tcPr>
            <w:tcW w:w="1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477.9</w:t>
            </w:r>
          </w:p>
        </w:tc>
        <w:tc>
          <w:tcPr>
            <w:tcW w:w="1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453.8</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459.0</w:t>
            </w:r>
          </w:p>
        </w:tc>
        <w:tc>
          <w:tcPr>
            <w:tcW w:w="1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460.3</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457.4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455.7</w:t>
            </w:r>
          </w:p>
        </w:tc>
      </w:tr>
      <w:tr>
        <w:trPr>
          <w:trHeight w:val="203"/>
        </w:trPr>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(96.1)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(98.4)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(50.9)</w:t>
            </w:r>
          </w:p>
        </w:tc>
      </w:tr>
      <w:tr>
        <w:trPr>
          <w:trHeight w:val="203"/>
        </w:trPr>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w:t>
            </w:r>
          </w:p>
        </w:tc>
      </w:tr>
      <w:tr>
        <w:trPr>
          <w:trHeight w:val="23"/>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366.1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362.8</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362.1</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337.5</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356.6</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395.9</w:t>
            </w:r>
          </w:p>
        </w:tc>
      </w:tr>
      <w:tr>
        <w:trPr>
          <w:trHeight w:val="27"/>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78"/>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4,986.3</w:t>
            </w:r>
          </w:p>
        </w:tc>
        <w:tc>
          <w:tcPr>
            <w:tcW w:w="1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4,831.4</w:t>
            </w:r>
          </w:p>
        </w:tc>
        <w:tc>
          <w:tcPr>
            <w:tcW w:w="1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4,730.3</w:t>
            </w:r>
          </w:p>
        </w:tc>
        <w:tc>
          <w:tcPr>
            <w:tcW w:w="14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4,594.7</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4,591.1</w:t>
            </w:r>
          </w:p>
        </w:tc>
        <w:tc>
          <w:tcPr>
            <w:tcW w:w="1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4,705.9</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4,772.9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4,589.4</w:t>
            </w:r>
          </w:p>
        </w:tc>
      </w:tr>
      <w:tr>
        <w:trPr>
          <w:trHeight w:val="203"/>
        </w:trPr>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24.9</w:t>
            </w:r>
          </w:p>
        </w:tc>
      </w:tr>
      <w:tr>
        <w:trPr>
          <w:trHeight w:val="203"/>
        </w:trPr>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r>
      <w:tr>
        <w:trPr>
          <w:trHeight w:val="23"/>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5,010.0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4,859.3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4,757.7</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4,619.3</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4,615.8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4,731.9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4,798.8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4,617.7</w:t>
            </w:r>
          </w:p>
        </w:tc>
      </w:tr>
      <w:tr>
        <w:trPr>
          <w:trHeight w:val="188"/>
        </w:trPr>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1,731.3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1,752.6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1,673.3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1,538.8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1,828.1</w:t>
            </w:r>
          </w:p>
        </w:tc>
      </w:tr>
      <w:tr>
        <w:trPr>
          <w:trHeight w:val="193"/>
        </w:trPr>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r>
      <w:tr>
        <w:trPr>
          <w:trHeight w:val="202"/>
        </w:trPr>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(118.5)</w:t>
            </w:r>
          </w:p>
        </w:tc>
      </w:tr>
      <w:tr>
        <w:trPr>
          <w:trHeight w:val="203"/>
        </w:trPr>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606.5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548.9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433.9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373.7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-2359025</wp:posOffset>
            </wp:positionV>
            <wp:extent cx="712343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146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-1981835</wp:posOffset>
            </wp:positionV>
            <wp:extent cx="712343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-1715770</wp:posOffset>
            </wp:positionV>
            <wp:extent cx="712343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-1458595</wp:posOffset>
            </wp:positionV>
            <wp:extent cx="71234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-1167130</wp:posOffset>
            </wp:positionV>
            <wp:extent cx="712343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-901700</wp:posOffset>
            </wp:positionV>
            <wp:extent cx="712343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-644525</wp:posOffset>
            </wp:positionV>
            <wp:extent cx="71234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-370205</wp:posOffset>
            </wp:positionV>
            <wp:extent cx="712343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-113030</wp:posOffset>
            </wp:positionV>
            <wp:extent cx="712343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2890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2240" w:space="220"/>
            <w:col w:w="878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4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Adjusted average equity</w:t>
            </w: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2,224.3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2,164.6</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2,071.4</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1,932.5</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1,874.4</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1,724.8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1,630.5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1,870.5</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average capital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7,234.3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7,023.9</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6,829.1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6,551.8</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6,490.2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6,456.7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6,429.3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6,488.2</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60" w:type="dxa"/>
            <w:vAlign w:val="bottom"/>
            <w:gridSpan w:val="2"/>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Adjusted revenue as a percentage of</w:t>
            </w: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0" w:type="dxa"/>
            <w:vAlign w:val="bottom"/>
          </w:tcPr>
          <w:p>
            <w:pPr>
              <w:spacing w:after="0"/>
              <w:rPr>
                <w:sz w:val="1"/>
                <w:szCs w:val="1"/>
                <w:color w:val="auto"/>
              </w:rPr>
            </w:pPr>
          </w:p>
        </w:tc>
      </w:tr>
      <w:tr>
        <w:trPr>
          <w:trHeight w:val="191"/>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average capital (4)</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loans receivable</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loans receivable, net</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6,955.3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6,780.5</w:t>
            </w:r>
          </w:p>
        </w:tc>
        <w:tc>
          <w:tcPr>
            <w:tcW w:w="1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6,610.3</w:t>
            </w:r>
          </w:p>
        </w:tc>
        <w:tc>
          <w:tcPr>
            <w:tcW w:w="1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6,500.3</w:t>
            </w:r>
          </w:p>
        </w:tc>
        <w:tc>
          <w:tcPr>
            <w:tcW w:w="1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6,297.7</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6,311.6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6,323.7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6,327.2</w:t>
            </w:r>
          </w:p>
        </w:tc>
        <w:tc>
          <w:tcPr>
            <w:tcW w:w="0" w:type="dxa"/>
            <w:vAlign w:val="bottom"/>
          </w:tcPr>
          <w:p>
            <w:pPr>
              <w:spacing w:after="0"/>
              <w:rPr>
                <w:sz w:val="1"/>
                <w:szCs w:val="1"/>
                <w:color w:val="auto"/>
              </w:rPr>
            </w:pPr>
          </w:p>
        </w:tc>
      </w:tr>
      <w:tr>
        <w:trPr>
          <w:trHeight w:val="20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Floating yield adjustment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803.8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748.9</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663.7</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509.2</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470.2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319.4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216.5</w:t>
            </w:r>
          </w:p>
        </w:tc>
        <w:tc>
          <w:tcPr>
            <w:tcW w:w="0" w:type="dxa"/>
            <w:vAlign w:val="bottom"/>
          </w:tcPr>
          <w:p>
            <w:pPr>
              <w:spacing w:after="0"/>
              <w:rPr>
                <w:sz w:val="1"/>
                <w:szCs w:val="1"/>
                <w:color w:val="auto"/>
              </w:rPr>
            </w:pPr>
          </w:p>
        </w:tc>
      </w:tr>
      <w:tr>
        <w:trPr>
          <w:trHeight w:val="203"/>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Adjusted loans receivable</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7,759.1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7,529.4</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7,274.0</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7,009.5</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6,767.9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6,741.5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6,643.1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6,543.7</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interest expense (after-tax)</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interest expense</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70.5</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62.8</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54.4</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adjustment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2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interest expense (pre-tax)</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71.2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55.1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Adjustment to record tax effect (1)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(16.4)</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(14.6)</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(12.7)</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interest expense (after-tax)</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54.8</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48.9</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42.4</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80" w:hanging="310"/>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record taxes at our estimated long-term effective income tax rate of 23%.</w:t>
      </w:r>
    </w:p>
    <w:p>
      <w:pPr>
        <w:spacing w:after="0" w:line="17" w:lineRule="exact"/>
        <w:rPr>
          <w:rFonts w:ascii="Times New Roman" w:cs="Times New Roman" w:eastAsia="Times New Roman" w:hAnsi="Times New Roman"/>
          <w:sz w:val="14"/>
          <w:szCs w:val="14"/>
          <w:color w:val="auto"/>
        </w:rPr>
      </w:pPr>
    </w:p>
    <w:p>
      <w:pPr>
        <w:ind w:left="500" w:right="20" w:hanging="330"/>
        <w:spacing w:after="0" w:line="259" w:lineRule="auto"/>
        <w:tabs>
          <w:tab w:leader="none" w:pos="50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per diluted share is computed independently for each of the quarters presented. Therefore, the sum of quarterly net income per diluted share information may not equal year-to-date net income per diluted share.</w:t>
      </w:r>
    </w:p>
    <w:p>
      <w:pPr>
        <w:jc w:val="both"/>
        <w:ind w:left="500" w:hanging="330"/>
        <w:spacing w:after="0" w:line="256" w:lineRule="auto"/>
        <w:tabs>
          <w:tab w:leader="none" w:pos="48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enactment of the Tax Cuts and Jobs Act in December 2017 resulted in the reversal of $118.5 million of provision for income taxes to reflect the new federal statutory income tax rate. This adjustment removes the impact of this reversal from adjusted average capital. We believe the income tax adjustment provides a more accurate reflection of the performance of our business as we are recognizing provision for income taxes at the applicable long-term effective tax rate for the period.</w:t>
      </w:r>
    </w:p>
    <w:p>
      <w:pPr>
        <w:spacing w:after="0" w:line="1"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769"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9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2023</w:t>
            </w:r>
          </w:p>
        </w:tc>
        <w:tc>
          <w:tcPr>
            <w:tcW w:w="10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 30, 2023</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 31, 2023</w:t>
            </w:r>
          </w:p>
        </w:tc>
        <w:tc>
          <w:tcPr>
            <w:tcW w:w="1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 30, 2022</w:t>
            </w:r>
          </w:p>
        </w:tc>
        <w:tc>
          <w:tcPr>
            <w:tcW w:w="10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 30, 2022</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 31, 2022</w:t>
            </w:r>
          </w:p>
        </w:tc>
        <w:tc>
          <w:tcPr>
            <w:tcW w:w="0" w:type="dxa"/>
            <w:vAlign w:val="bottom"/>
          </w:tcPr>
          <w:p>
            <w:pPr>
              <w:spacing w:after="0"/>
              <w:rPr>
                <w:sz w:val="1"/>
                <w:szCs w:val="1"/>
                <w:color w:val="auto"/>
              </w:rPr>
            </w:pPr>
          </w:p>
        </w:tc>
      </w:tr>
      <w:tr>
        <w:trPr>
          <w:trHeight w:val="16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return on capital (1)</w:t>
            </w: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129.1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Adjusted interest expense (after-tax)</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66"/>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plus adjusted</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192.5</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194.3</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213"/>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(after-tax)</w:t>
            </w: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03"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GAAP return on</w:t>
      </w:r>
    </w:p>
    <w:p>
      <w:pPr>
        <w:ind w:left="20"/>
        <w:spacing w:after="0" w:line="209" w:lineRule="auto"/>
        <w:rPr>
          <w:sz w:val="20"/>
          <w:szCs w:val="20"/>
          <w:color w:val="auto"/>
        </w:rPr>
      </w:pPr>
      <w:r>
        <w:rPr>
          <w:rFonts w:ascii="Times New Roman" w:cs="Times New Roman" w:eastAsia="Times New Roman" w:hAnsi="Times New Roman"/>
          <w:sz w:val="14"/>
          <w:szCs w:val="14"/>
          <w:b w:val="1"/>
          <w:bCs w:val="1"/>
          <w:color w:val="auto"/>
        </w:rPr>
        <w:t>equity to adjusted return on capital</w:t>
      </w:r>
    </w:p>
    <w:p>
      <w:pPr>
        <w:ind w:left="20"/>
        <w:spacing w:after="0"/>
        <w:rPr>
          <w:sz w:val="20"/>
          <w:szCs w:val="20"/>
          <w:color w:val="auto"/>
        </w:rPr>
      </w:pPr>
      <w:r>
        <w:rPr>
          <w:rFonts w:ascii="Times New Roman" w:cs="Times New Roman" w:eastAsia="Times New Roman" w:hAnsi="Times New Roman"/>
          <w:sz w:val="14"/>
          <w:szCs w:val="14"/>
          <w:b w:val="1"/>
          <w:bCs w:val="1"/>
          <w:color w:val="auto"/>
          <w:shd w:val="clear" w:color="auto" w:fill="CCEE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525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GAAP return on equity (2)</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Non-GAAP adjustments</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Adjusted return on capital (1)</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Economic profit</w:t>
      </w:r>
    </w:p>
    <w:p>
      <w:pPr>
        <w:spacing w:after="0" w:line="57" w:lineRule="exact"/>
        <w:rPr>
          <w:sz w:val="20"/>
          <w:szCs w:val="20"/>
          <w:color w:val="auto"/>
        </w:rPr>
      </w:pPr>
    </w:p>
    <w:p>
      <w:pPr>
        <w:ind w:left="20" w:right="720"/>
        <w:spacing w:after="0" w:line="301" w:lineRule="auto"/>
        <w:rPr>
          <w:sz w:val="20"/>
          <w:szCs w:val="20"/>
          <w:color w:val="auto"/>
        </w:rPr>
      </w:pPr>
      <w:r>
        <w:rPr>
          <w:rFonts w:ascii="Times New Roman" w:cs="Times New Roman" w:eastAsia="Times New Roman" w:hAnsi="Times New Roman"/>
          <w:sz w:val="14"/>
          <w:szCs w:val="14"/>
          <w:color w:val="auto"/>
        </w:rPr>
        <w:t>Adjusted return on capital Cost of capital (3) (4)</w:t>
      </w:r>
    </w:p>
    <w:p>
      <w:pPr>
        <w:spacing w:after="0" w:line="1" w:lineRule="exact"/>
        <w:rPr>
          <w:sz w:val="20"/>
          <w:szCs w:val="20"/>
          <w:color w:val="auto"/>
        </w:rPr>
      </w:pPr>
    </w:p>
    <w:p>
      <w:pPr>
        <w:ind w:left="180" w:hanging="161"/>
        <w:spacing w:after="0" w:line="251" w:lineRule="auto"/>
        <w:rPr>
          <w:sz w:val="20"/>
          <w:szCs w:val="20"/>
          <w:color w:val="auto"/>
        </w:rPr>
      </w:pPr>
      <w:r>
        <w:rPr>
          <w:rFonts w:ascii="Times New Roman" w:cs="Times New Roman" w:eastAsia="Times New Roman" w:hAnsi="Times New Roman"/>
          <w:sz w:val="14"/>
          <w:szCs w:val="14"/>
          <w:color w:val="auto"/>
        </w:rPr>
        <w:t>Adjusted return on capital in excess of cost of capital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average capital</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Economic profit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46.9 %</w:t>
            </w:r>
          </w:p>
        </w:tc>
      </w:tr>
      <w:tr>
        <w:trPr>
          <w:trHeight w:val="203"/>
        </w:trPr>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-33.0 %</w:t>
            </w:r>
          </w:p>
        </w:tc>
      </w:tr>
      <w:tr>
        <w:trPr>
          <w:trHeight w:val="23"/>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9"/>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13.9 %</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578"/>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13.9 %</w:t>
            </w:r>
          </w:p>
        </w:tc>
      </w:tr>
      <w:tr>
        <w:trPr>
          <w:trHeight w:val="203"/>
        </w:trPr>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23"/>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4"/>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203"/>
        </w:trPr>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7,234.3</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7,023.9</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6,829.1</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6,551.8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6,490.2</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6,456.7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6,429.3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6,488.2</w:t>
            </w:r>
          </w:p>
        </w:tc>
      </w:tr>
      <w:tr>
        <w:trPr>
          <w:trHeight w:val="23"/>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9"/>
        </w:trPr>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88.1</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141.6</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-1773555</wp:posOffset>
            </wp:positionV>
            <wp:extent cx="712343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30861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-1328420</wp:posOffset>
            </wp:positionV>
            <wp:extent cx="712343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-1045210</wp:posOffset>
            </wp:positionV>
            <wp:extent cx="71234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-513715</wp:posOffset>
            </wp:positionV>
            <wp:extent cx="712343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21463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-170815</wp:posOffset>
            </wp:positionV>
            <wp:extent cx="71234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-779145</wp:posOffset>
            </wp:positionV>
            <wp:extent cx="71234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280"/>
            <w:col w:w="8720"/>
          </w:cols>
          <w:pgMar w:left="320" w:top="803" w:right="339" w:bottom="1440" w:gutter="0" w:footer="0" w:header="0"/>
          <w:type w:val="continuous"/>
        </w:sectPr>
      </w:pP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GAAP net income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2343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2146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auto"/>
        </w:rPr>
        <w:t>economic profit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net income</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93.6</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127.3</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214.3</w:t>
            </w:r>
          </w:p>
        </w:tc>
        <w:tc>
          <w:tcPr>
            <w:tcW w:w="0" w:type="dxa"/>
            <w:vAlign w:val="bottom"/>
          </w:tcPr>
          <w:p>
            <w:pPr>
              <w:spacing w:after="0"/>
              <w:rPr>
                <w:sz w:val="1"/>
                <w:szCs w:val="1"/>
                <w:color w:val="auto"/>
              </w:rPr>
            </w:pPr>
          </w:p>
        </w:tc>
      </w:tr>
      <w:tr>
        <w:trPr>
          <w:trHeight w:val="21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adjustments</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2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21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interest expense (after-tax)</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19"/>
        </w:trPr>
        <w:tc>
          <w:tcPr>
            <w:tcW w:w="25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Adjusted net income plus adjusted</w:t>
            </w:r>
          </w:p>
        </w:tc>
        <w:tc>
          <w:tcPr>
            <w:tcW w:w="280" w:type="dxa"/>
            <w:vAlign w:val="bottom"/>
          </w:tcPr>
          <w:p>
            <w:pPr>
              <w:spacing w:after="0"/>
              <w:rPr>
                <w:sz w:val="10"/>
                <w:szCs w:val="10"/>
                <w:color w:val="auto"/>
              </w:rPr>
            </w:pPr>
          </w:p>
        </w:tc>
        <w:tc>
          <w:tcPr>
            <w:tcW w:w="7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192.5</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194.3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19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 expense (after-tax)</w:t>
            </w: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cost of capital</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136.6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84.3</w:t>
            </w:r>
          </w:p>
        </w:tc>
        <w:tc>
          <w:tcPr>
            <w:tcW w:w="0" w:type="dxa"/>
            <w:vAlign w:val="bottom"/>
          </w:tcPr>
          <w:p>
            <w:pPr>
              <w:spacing w:after="0"/>
              <w:rPr>
                <w:sz w:val="1"/>
                <w:szCs w:val="1"/>
                <w:color w:val="auto"/>
              </w:rPr>
            </w:pPr>
          </w:p>
        </w:tc>
      </w:tr>
      <w:tr>
        <w:trPr>
          <w:trHeight w:val="19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Economic profit</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88.1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141.6</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Economic profit per diluted share (5)</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salaries and wages</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64.4</w:t>
            </w:r>
          </w:p>
        </w:tc>
        <w:tc>
          <w:tcPr>
            <w:tcW w:w="0" w:type="dxa"/>
            <w:vAlign w:val="bottom"/>
          </w:tcPr>
          <w:p>
            <w:pPr>
              <w:spacing w:after="0"/>
              <w:rPr>
                <w:sz w:val="1"/>
                <w:szCs w:val="1"/>
                <w:color w:val="auto"/>
              </w:rPr>
            </w:pPr>
          </w:p>
        </w:tc>
      </w:tr>
      <w:tr>
        <w:trPr>
          <w:trHeight w:val="195"/>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GAAP general and administrative</w:t>
            </w:r>
          </w:p>
        </w:tc>
        <w:tc>
          <w:tcPr>
            <w:tcW w:w="2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sales and marketing</w:t>
            </w: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03"/>
        </w:trPr>
        <w:tc>
          <w:tcPr>
            <w:tcW w:w="25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114.3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103.9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116.7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03" w:right="339" w:bottom="1440" w:gutter="0" w:footer="0" w:header="0"/>
          <w:type w:val="continuous"/>
        </w:sectPr>
      </w:pPr>
    </w:p>
    <w:p>
      <w:pPr>
        <w:ind w:left="180" w:right="40" w:hanging="161"/>
        <w:spacing w:after="0" w:line="248" w:lineRule="auto"/>
        <w:rPr>
          <w:sz w:val="20"/>
          <w:szCs w:val="20"/>
          <w:color w:val="auto"/>
        </w:rPr>
      </w:pPr>
      <w:r>
        <w:rPr>
          <w:rFonts w:ascii="Times New Roman" w:cs="Times New Roman" w:eastAsia="Times New Roman" w:hAnsi="Times New Roman"/>
          <w:sz w:val="14"/>
          <w:szCs w:val="14"/>
          <w:color w:val="auto"/>
        </w:rPr>
        <w:t>Operating expenses as a percentage of adjusted average capital (4)</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Percentage change in adjusted average</w:t>
      </w:r>
    </w:p>
    <w:p>
      <w:pPr>
        <w:spacing w:after="0" w:line="4" w:lineRule="exact"/>
        <w:rPr>
          <w:sz w:val="20"/>
          <w:szCs w:val="20"/>
          <w:color w:val="auto"/>
        </w:rPr>
      </w:pPr>
    </w:p>
    <w:p>
      <w:pPr>
        <w:ind w:left="180"/>
        <w:spacing w:after="0" w:line="229" w:lineRule="auto"/>
        <w:rPr>
          <w:sz w:val="20"/>
          <w:szCs w:val="20"/>
          <w:color w:val="auto"/>
        </w:rPr>
      </w:pPr>
      <w:r>
        <w:rPr>
          <w:rFonts w:ascii="Times New Roman" w:cs="Times New Roman" w:eastAsia="Times New Roman" w:hAnsi="Times New Roman"/>
          <w:sz w:val="14"/>
          <w:szCs w:val="14"/>
          <w:color w:val="auto"/>
        </w:rPr>
        <w:t>capital compared to the same period in the prior year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23"/>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59"/>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r>
      <w:tr>
        <w:trPr>
          <w:trHeight w:val="23"/>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-488315</wp:posOffset>
            </wp:positionV>
            <wp:extent cx="712343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60"/>
            <w:col w:w="8720"/>
          </w:cols>
          <w:pgMar w:left="320" w:top="803" w:right="339" w:bottom="1440" w:gutter="0" w:footer="0" w:header="0"/>
          <w:type w:val="continuous"/>
        </w:sectPr>
      </w:pPr>
    </w:p>
    <w:p>
      <w:pPr>
        <w:spacing w:after="0" w:line="115" w:lineRule="exact"/>
        <w:rPr>
          <w:sz w:val="20"/>
          <w:szCs w:val="20"/>
          <w:color w:val="auto"/>
        </w:rPr>
      </w:pPr>
    </w:p>
    <w:p>
      <w:pPr>
        <w:ind w:left="480" w:hanging="310"/>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return on capital is defined as adjusted net income plus adjusted interest expense (after-tax) divided by adjusted average capital.</w:t>
      </w:r>
    </w:p>
    <w:p>
      <w:pPr>
        <w:spacing w:after="0" w:line="17"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GAAP net income by GAAP average shareholders' equity.</w:t>
      </w:r>
    </w:p>
    <w:p>
      <w:pPr>
        <w:spacing w:after="0" w:line="11" w:lineRule="exact"/>
        <w:rPr>
          <w:rFonts w:ascii="Times New Roman" w:cs="Times New Roman" w:eastAsia="Times New Roman" w:hAnsi="Times New Roman"/>
          <w:sz w:val="14"/>
          <w:szCs w:val="14"/>
          <w:color w:val="auto"/>
        </w:rPr>
      </w:pPr>
    </w:p>
    <w:p>
      <w:pPr>
        <w:jc w:val="both"/>
        <w:ind w:left="500" w:hanging="330"/>
        <w:spacing w:after="0" w:line="268" w:lineRule="auto"/>
        <w:tabs>
          <w:tab w:leader="none" w:pos="53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p>
      <w:pPr>
        <w:sectPr>
          <w:pgSz w:w="11900" w:h="16838" w:orient="portrait"/>
          <w:cols w:equalWidth="0" w:num="1">
            <w:col w:w="11240"/>
          </w:cols>
          <w:pgMar w:left="320" w:top="803"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Average 30-year Treasury rate</w:t>
      </w:r>
    </w:p>
    <w:p>
      <w:pPr>
        <w:spacing w:after="0" w:line="42" w:lineRule="exact"/>
        <w:rPr>
          <w:sz w:val="20"/>
          <w:szCs w:val="20"/>
          <w:color w:val="auto"/>
        </w:rPr>
      </w:pPr>
    </w:p>
    <w:p>
      <w:pPr>
        <w:ind w:left="680" w:hanging="161"/>
        <w:spacing w:after="0" w:line="261" w:lineRule="auto"/>
        <w:rPr>
          <w:sz w:val="20"/>
          <w:szCs w:val="20"/>
          <w:color w:val="auto"/>
        </w:rPr>
      </w:pPr>
      <w:r>
        <w:rPr>
          <w:rFonts w:ascii="Times New Roman" w:cs="Times New Roman" w:eastAsia="Times New Roman" w:hAnsi="Times New Roman"/>
          <w:sz w:val="14"/>
          <w:szCs w:val="14"/>
          <w:color w:val="auto"/>
        </w:rPr>
        <w:t>Adjusted pre-tax average cost of debt (4)</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1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 30, 2023</w:t>
            </w: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 30, 2023</w:t>
            </w: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 31, 2023</w:t>
            </w: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0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 30, 2022</w:t>
            </w: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 30, 2022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 31, 2022</w:t>
            </w:r>
          </w:p>
        </w:tc>
      </w:tr>
      <w:tr>
        <w:trPr>
          <w:trHeight w:val="188"/>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328"/>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-335915</wp:posOffset>
            </wp:positionV>
            <wp:extent cx="666051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0515" cy="13716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2380" w:space="240"/>
            <w:col w:w="8620"/>
          </w:cols>
          <w:pgMar w:left="320" w:top="803" w:right="339" w:bottom="1440" w:gutter="0" w:footer="0" w:header="0"/>
          <w:type w:val="continuous"/>
        </w:sectPr>
      </w:pPr>
    </w:p>
    <w:p>
      <w:pPr>
        <w:spacing w:after="0" w:line="111" w:lineRule="exact"/>
        <w:rPr>
          <w:sz w:val="20"/>
          <w:szCs w:val="20"/>
          <w:color w:val="auto"/>
        </w:rPr>
      </w:pPr>
    </w:p>
    <w:p>
      <w:pPr>
        <w:ind w:left="480" w:hanging="310"/>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w:t>
      </w:r>
    </w:p>
    <w:p>
      <w:pPr>
        <w:spacing w:after="0" w:line="27" w:lineRule="exact"/>
        <w:rPr>
          <w:rFonts w:ascii="Times New Roman" w:cs="Times New Roman" w:eastAsia="Times New Roman" w:hAnsi="Times New Roman"/>
          <w:sz w:val="14"/>
          <w:szCs w:val="14"/>
          <w:color w:val="auto"/>
        </w:rPr>
      </w:pPr>
    </w:p>
    <w:p>
      <w:pPr>
        <w:ind w:left="500" w:hanging="330"/>
        <w:spacing w:after="0" w:line="263"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profit per diluted share is computed independently for each of the quarters presented. Therefore, the sum of quarterly economic profit per diluted share information may not equal year-to-date economic profit per diluted share.</w:t>
      </w:r>
    </w:p>
    <w:p>
      <w:pPr>
        <w:sectPr>
          <w:pgSz w:w="11900" w:h="16838" w:orient="portrait"/>
          <w:cols w:equalWidth="0" w:num="1">
            <w:col w:w="11240"/>
          </w:cols>
          <w:pgMar w:left="320" w:top="803"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03"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460" w:type="dxa"/>
            <w:vAlign w:val="bottom"/>
          </w:tcPr>
          <w:p>
            <w:pPr>
              <w:spacing w:after="0"/>
              <w:rPr>
                <w:sz w:val="16"/>
                <w:szCs w:val="16"/>
                <w:color w:val="auto"/>
              </w:rPr>
            </w:pPr>
          </w:p>
        </w:tc>
        <w:tc>
          <w:tcPr>
            <w:tcW w:w="3640" w:type="dxa"/>
            <w:vAlign w:val="bottom"/>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
        </w:trPr>
        <w:tc>
          <w:tcPr>
            <w:tcW w:w="6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19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net income</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286.1</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535.8</w:t>
            </w:r>
          </w:p>
        </w:tc>
      </w:tr>
      <w:tr>
        <w:trPr>
          <w:trHeight w:val="19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Floating yield adjustment (after-tax)</w:t>
            </w:r>
          </w:p>
        </w:tc>
        <w:tc>
          <w:tcPr>
            <w:tcW w:w="46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(310.1)</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(196.5)</w:t>
            </w: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provision for credit losses (after-tax)</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566.9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370.7</w:t>
            </w:r>
          </w:p>
        </w:tc>
      </w:tr>
      <w:tr>
        <w:trPr>
          <w:trHeight w:val="19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adjustment (after-tax)</w:t>
            </w:r>
          </w:p>
        </w:tc>
        <w:tc>
          <w:tcPr>
            <w:tcW w:w="46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w:t>
            </w: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adjustment (1)</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w:t>
            </w:r>
          </w:p>
        </w:tc>
      </w:tr>
      <w:tr>
        <w:trPr>
          <w:trHeight w:val="203"/>
        </w:trPr>
        <w:tc>
          <w:tcPr>
            <w:tcW w:w="68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Adjusted net income</w:t>
            </w: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535.6</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720.1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share</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41.17</w:t>
            </w:r>
          </w:p>
        </w:tc>
        <w:tc>
          <w:tcPr>
            <w:tcW w:w="28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52.85</w:t>
            </w: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13,010,735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13,625,081</w:t>
            </w:r>
          </w:p>
        </w:tc>
      </w:tr>
      <w:tr>
        <w:trPr>
          <w:trHeight w:val="203"/>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average capital</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89"/>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average debt</w:t>
            </w:r>
          </w:p>
        </w:tc>
        <w:tc>
          <w:tcPr>
            <w:tcW w:w="2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4,785.7</w:t>
            </w:r>
          </w:p>
        </w:tc>
        <w:tc>
          <w:tcPr>
            <w:tcW w:w="28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4,664.8</w:t>
            </w: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debt issuance adjustment</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22.8</w:t>
            </w:r>
          </w:p>
        </w:tc>
      </w:tr>
      <w:tr>
        <w:trPr>
          <w:trHeight w:val="196"/>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debt adjustment</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3.4</w:t>
            </w:r>
          </w:p>
        </w:tc>
      </w:tr>
      <w:tr>
        <w:trPr>
          <w:trHeight w:val="203"/>
        </w:trPr>
        <w:tc>
          <w:tcPr>
            <w:tcW w:w="6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Adjusted average debt</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4,811.6</w:t>
            </w:r>
          </w:p>
        </w:tc>
        <w:tc>
          <w:tcPr>
            <w:tcW w:w="2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4,691.0</w:t>
            </w: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GAAP average shareholders' equity</w:t>
            </w:r>
          </w:p>
        </w:tc>
        <w:tc>
          <w:tcPr>
            <w:tcW w:w="46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1,722.9</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1,637.5</w:t>
            </w: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equity adjustment</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r>
      <w:tr>
        <w:trPr>
          <w:trHeight w:val="195"/>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adjustment (2)</w:t>
            </w:r>
          </w:p>
        </w:tc>
        <w:tc>
          <w:tcPr>
            <w:tcW w:w="46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(118.5)</w:t>
            </w: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Floating yield adjustment</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490.7</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250.8</w:t>
            </w:r>
          </w:p>
        </w:tc>
      </w:tr>
      <w:tr>
        <w:trPr>
          <w:trHeight w:val="189"/>
        </w:trPr>
        <w:tc>
          <w:tcPr>
            <w:tcW w:w="68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Adjusted average equity</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2,098.2</w:t>
            </w:r>
          </w:p>
        </w:tc>
        <w:tc>
          <w:tcPr>
            <w:tcW w:w="2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1,775.1</w:t>
            </w:r>
          </w:p>
        </w:tc>
      </w:tr>
      <w:tr>
        <w:trPr>
          <w:trHeight w:val="228"/>
        </w:trPr>
        <w:tc>
          <w:tcPr>
            <w:tcW w:w="6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average capital</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6,909.8</w:t>
            </w: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6,466.1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interest expense (after-tax)</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89"/>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interest expense</w:t>
            </w:r>
          </w:p>
        </w:tc>
        <w:tc>
          <w:tcPr>
            <w:tcW w:w="2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266.5</w:t>
            </w:r>
          </w:p>
        </w:tc>
        <w:tc>
          <w:tcPr>
            <w:tcW w:w="28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166.6</w:t>
            </w: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adjustment</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interest expense (pre-tax)</w:t>
            </w:r>
          </w:p>
        </w:tc>
        <w:tc>
          <w:tcPr>
            <w:tcW w:w="46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272.1</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169.4</w:t>
            </w: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record tax effect (1)</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(62.6)</w:t>
            </w:r>
          </w:p>
        </w:tc>
        <w:tc>
          <w:tcPr>
            <w:tcW w:w="2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(39.0)</w:t>
            </w:r>
          </w:p>
        </w:tc>
      </w:tr>
      <w:tr>
        <w:trPr>
          <w:trHeight w:val="203"/>
        </w:trPr>
        <w:tc>
          <w:tcPr>
            <w:tcW w:w="68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Adjusted interest expense (after-tax)</w:t>
            </w: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209.5</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130.4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0"/>
        </w:trPr>
        <w:tc>
          <w:tcPr>
            <w:tcW w:w="6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0920"/>
          </w:cols>
          <w:pgMar w:left="480" w:top="803" w:right="49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Adjusted return on capital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26670</wp:posOffset>
            </wp:positionV>
            <wp:extent cx="692658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net income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interest expense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6926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Adjusted net income plus adjusted interest expense (after-tax)</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GAAP return on equity to adjusted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-94615</wp:posOffset>
            </wp:positionV>
            <wp:extent cx="692658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GAAP return on equity (3)</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-95885</wp:posOffset>
            </wp:positionV>
            <wp:extent cx="6926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return on capital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32385</wp:posOffset>
            </wp:positionV>
            <wp:extent cx="6926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692658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return on capital</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of capital (5)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535.6</w:t>
            </w:r>
          </w:p>
        </w:tc>
        <w:tc>
          <w:tcPr>
            <w:tcW w:w="280" w:type="dxa"/>
            <w:vAlign w:val="bottom"/>
          </w:tcPr>
          <w:p>
            <w:pPr>
              <w:spacing w:after="0"/>
              <w:rPr>
                <w:sz w:val="16"/>
                <w:szCs w:val="16"/>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720.1</w:t>
            </w:r>
          </w:p>
        </w:tc>
      </w:tr>
      <w:tr>
        <w:trPr>
          <w:trHeight w:val="203"/>
        </w:trPr>
        <w:tc>
          <w:tcPr>
            <w:tcW w:w="76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209.5</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130.4</w:t>
            </w:r>
          </w:p>
        </w:tc>
      </w:tr>
      <w:tr>
        <w:trPr>
          <w:trHeight w:val="23"/>
        </w:trPr>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745.1</w:t>
            </w:r>
          </w:p>
        </w:tc>
        <w:tc>
          <w:tcPr>
            <w:tcW w:w="280" w:type="dxa"/>
            <w:vAlign w:val="bottom"/>
          </w:tcPr>
          <w:p>
            <w:pPr>
              <w:spacing w:after="0"/>
              <w:rPr>
                <w:sz w:val="16"/>
                <w:szCs w:val="16"/>
                <w:color w:val="auto"/>
              </w:rPr>
            </w:pPr>
          </w:p>
        </w:tc>
        <w:tc>
          <w:tcPr>
            <w:tcW w:w="7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850.5</w:t>
            </w:r>
          </w:p>
        </w:tc>
      </w:tr>
      <w:tr>
        <w:trPr>
          <w:trHeight w:val="27"/>
        </w:trPr>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r>
      <w:tr>
        <w:trPr>
          <w:trHeight w:val="203"/>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2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-19.5 %</w:t>
            </w:r>
          </w:p>
        </w:tc>
      </w:tr>
      <w:tr>
        <w:trPr>
          <w:trHeight w:val="23"/>
        </w:trPr>
        <w:tc>
          <w:tcPr>
            <w:tcW w:w="1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89"/>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13.2 %</w:t>
            </w:r>
          </w:p>
        </w:tc>
      </w:tr>
      <w:tr>
        <w:trPr>
          <w:trHeight w:val="27"/>
        </w:trPr>
        <w:tc>
          <w:tcPr>
            <w:tcW w:w="1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564"/>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2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13.2 %</w:t>
            </w:r>
          </w:p>
        </w:tc>
      </w:tr>
      <w:tr>
        <w:trPr>
          <w:trHeight w:val="203"/>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2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r>
    </w:tbl>
    <w:p>
      <w:pPr>
        <w:spacing w:after="0" w:line="3" w:lineRule="exact"/>
        <w:rPr>
          <w:sz w:val="20"/>
          <w:szCs w:val="20"/>
          <w:color w:val="auto"/>
        </w:rPr>
      </w:pPr>
    </w:p>
    <w:p>
      <w:pPr>
        <w:sectPr>
          <w:pgSz w:w="11900" w:h="16838" w:orient="portrait"/>
          <w:cols w:equalWidth="0" w:num="2">
            <w:col w:w="6100" w:space="720"/>
            <w:col w:w="4100"/>
          </w:cols>
          <w:pgMar w:left="480" w:top="803"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return on capital in excess of cost of capital</w:t>
            </w:r>
          </w:p>
        </w:tc>
        <w:tc>
          <w:tcPr>
            <w:tcW w:w="7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average capital</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6,909.8</w:t>
            </w:r>
          </w:p>
        </w:tc>
        <w:tc>
          <w:tcPr>
            <w:tcW w:w="114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6,466.1</w:t>
            </w:r>
          </w:p>
        </w:tc>
        <w:tc>
          <w:tcPr>
            <w:tcW w:w="160" w:type="dxa"/>
            <w:vAlign w:val="bottom"/>
          </w:tcPr>
          <w:p>
            <w:pPr>
              <w:spacing w:after="0"/>
              <w:rPr>
                <w:sz w:val="17"/>
                <w:szCs w:val="17"/>
                <w:color w:val="auto"/>
              </w:rPr>
            </w:pPr>
          </w:p>
        </w:tc>
      </w:tr>
      <w:tr>
        <w:trPr>
          <w:trHeight w:val="228"/>
        </w:trPr>
        <w:tc>
          <w:tcPr>
            <w:tcW w:w="68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Economic profit</w:t>
            </w:r>
          </w:p>
        </w:tc>
        <w:tc>
          <w:tcPr>
            <w:tcW w:w="70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GAAP net income to economic profit</w:t>
            </w: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89"/>
        </w:trPr>
        <w:tc>
          <w:tcPr>
            <w:tcW w:w="6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GAAP net income</w:t>
            </w:r>
          </w:p>
        </w:tc>
        <w:tc>
          <w:tcPr>
            <w:tcW w:w="20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114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w:t>
            </w:r>
          </w:p>
        </w:tc>
        <w:tc>
          <w:tcPr>
            <w:tcW w:w="160" w:type="dxa"/>
            <w:vAlign w:val="bottom"/>
          </w:tcPr>
          <w:p>
            <w:pPr>
              <w:spacing w:after="0"/>
              <w:rPr>
                <w:sz w:val="16"/>
                <w:szCs w:val="16"/>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adjustments</w:t>
            </w:r>
          </w:p>
        </w:tc>
        <w:tc>
          <w:tcPr>
            <w:tcW w:w="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60" w:type="dxa"/>
            <w:vAlign w:val="bottom"/>
            <w:tcBorders>
              <w:bottom w:val="single" w:sz="8" w:color="auto"/>
            </w:tcBorders>
            <w:shd w:val="clear" w:color="auto" w:fill="CCEEFF"/>
          </w:tcPr>
          <w:p>
            <w:pPr>
              <w:spacing w:after="0"/>
              <w:rPr>
                <w:sz w:val="18"/>
                <w:szCs w:val="18"/>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60" w:type="dxa"/>
            <w:vAlign w:val="bottom"/>
          </w:tcPr>
          <w:p>
            <w:pPr>
              <w:spacing w:after="0"/>
              <w:rPr>
                <w:sz w:val="16"/>
                <w:szCs w:val="16"/>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interest expense (after-tax)</w:t>
            </w:r>
          </w:p>
        </w:tc>
        <w:tc>
          <w:tcPr>
            <w:tcW w:w="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60" w:type="dxa"/>
            <w:vAlign w:val="bottom"/>
            <w:tcBorders>
              <w:bottom w:val="single" w:sz="8" w:color="auto"/>
            </w:tcBorders>
            <w:shd w:val="clear" w:color="auto" w:fill="CCEEFF"/>
          </w:tcPr>
          <w:p>
            <w:pPr>
              <w:spacing w:after="0"/>
              <w:rPr>
                <w:sz w:val="18"/>
                <w:szCs w:val="18"/>
                <w:color w:val="auto"/>
              </w:rPr>
            </w:pPr>
          </w:p>
        </w:tc>
      </w:tr>
      <w:tr>
        <w:trPr>
          <w:trHeight w:val="18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income plus adjusted interest expense (after-tax)</w:t>
            </w:r>
          </w:p>
        </w:tc>
        <w:tc>
          <w:tcPr>
            <w:tcW w:w="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160" w:type="dxa"/>
            <w:vAlign w:val="bottom"/>
          </w:tcPr>
          <w:p>
            <w:pPr>
              <w:spacing w:after="0"/>
              <w:rPr>
                <w:sz w:val="16"/>
                <w:szCs w:val="16"/>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cost of capital</w:t>
            </w:r>
          </w:p>
        </w:tc>
        <w:tc>
          <w:tcPr>
            <w:tcW w:w="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160" w:type="dxa"/>
            <w:vAlign w:val="bottom"/>
            <w:tcBorders>
              <w:bottom w:val="single" w:sz="8" w:color="auto"/>
            </w:tcBorders>
            <w:shd w:val="clear" w:color="auto" w:fill="CCEEFF"/>
          </w:tcPr>
          <w:p>
            <w:pPr>
              <w:spacing w:after="0"/>
              <w:rPr>
                <w:sz w:val="18"/>
                <w:szCs w:val="18"/>
                <w:color w:val="auto"/>
              </w:rPr>
            </w:pPr>
          </w:p>
        </w:tc>
      </w:tr>
      <w:tr>
        <w:trPr>
          <w:trHeight w:val="196"/>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Economic profit</w:t>
            </w:r>
          </w:p>
        </w:tc>
        <w:tc>
          <w:tcPr>
            <w:tcW w:w="7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1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160" w:type="dxa"/>
            <w:vAlign w:val="bottom"/>
            <w:tcBorders>
              <w:bottom w:val="single" w:sz="8" w:color="auto"/>
            </w:tcBorders>
          </w:tcPr>
          <w:p>
            <w:pPr>
              <w:spacing w:after="0"/>
              <w:rPr>
                <w:sz w:val="17"/>
                <w:szCs w:val="17"/>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69"/>
        </w:trPr>
        <w:tc>
          <w:tcPr>
            <w:tcW w:w="6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Economic profit per diluted share (6)</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114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34.98</w:t>
            </w:r>
          </w:p>
        </w:tc>
        <w:tc>
          <w:tcPr>
            <w:tcW w:w="16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480" w:top="80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803" w:right="49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40" w:type="dxa"/>
            <w:vAlign w:val="bottom"/>
          </w:tcPr>
          <w:p>
            <w:pPr>
              <w:spacing w:after="0"/>
              <w:rPr>
                <w:sz w:val="16"/>
                <w:szCs w:val="16"/>
                <w:color w:val="auto"/>
              </w:rPr>
            </w:pPr>
          </w:p>
        </w:tc>
        <w:tc>
          <w:tcPr>
            <w:tcW w:w="3500" w:type="dxa"/>
            <w:vAlign w:val="bottom"/>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
        </w:trPr>
        <w:tc>
          <w:tcPr>
            <w:tcW w:w="6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19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salaries and wages</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280.2</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r>
      <w:tr>
        <w:trPr>
          <w:trHeight w:val="19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GAAP general and administrative</w:t>
            </w:r>
          </w:p>
        </w:tc>
        <w:tc>
          <w:tcPr>
            <w:tcW w:w="4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r>
      <w:tr>
        <w:trPr>
          <w:trHeight w:val="20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sales and marketing</w:t>
            </w: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91.7</w:t>
            </w:r>
          </w:p>
        </w:tc>
        <w:tc>
          <w:tcPr>
            <w:tcW w:w="2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203"/>
        </w:trPr>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Operating expenses</w:t>
            </w: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459.1</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426.3</w:t>
            </w:r>
          </w:p>
        </w:tc>
      </w:tr>
      <w:tr>
        <w:trPr>
          <w:trHeight w:val="21"/>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0"/>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record taxes at our estimated long-term effective income tax rate of 23%.</w:t>
      </w:r>
    </w:p>
    <w:p>
      <w:pPr>
        <w:spacing w:after="0" w:line="17" w:lineRule="exact"/>
        <w:rPr>
          <w:rFonts w:ascii="Times New Roman" w:cs="Times New Roman" w:eastAsia="Times New Roman" w:hAnsi="Times New Roman"/>
          <w:sz w:val="14"/>
          <w:szCs w:val="14"/>
          <w:color w:val="auto"/>
        </w:rPr>
      </w:pPr>
    </w:p>
    <w:p>
      <w:pPr>
        <w:jc w:val="both"/>
        <w:ind w:left="340" w:hanging="330"/>
        <w:spacing w:after="0" w:line="260" w:lineRule="auto"/>
        <w:tabs>
          <w:tab w:leader="none" w:pos="32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enactment of the Tax Cuts and Jobs Act in December 2017 resulted in the reversal of $118.5 million of provision for income taxes to reflect the new federal statutory income tax rate. This adjustment removes the impact of this reversal from adjusted average capital. We believe the income tax adjustment provides a more accurate reflection of the performance of our business as we are recognizing provision for income taxes at the applicable long-term effective tax rate for the period.</w:t>
      </w:r>
    </w:p>
    <w:p>
      <w:pPr>
        <w:ind w:left="320" w:hanging="310"/>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GAAP net income by GAAP average shareholders' equity.</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return on capital is defined as adjusted net income plus adjusted interest expense after-tax divided by adjusted average capital.</w:t>
      </w:r>
    </w:p>
    <w:p>
      <w:pPr>
        <w:spacing w:after="0" w:line="4" w:lineRule="exact"/>
        <w:rPr>
          <w:rFonts w:ascii="Times New Roman" w:cs="Times New Roman" w:eastAsia="Times New Roman" w:hAnsi="Times New Roman"/>
          <w:sz w:val="14"/>
          <w:szCs w:val="14"/>
          <w:color w:val="auto"/>
        </w:rPr>
      </w:pPr>
    </w:p>
    <w:p>
      <w:pPr>
        <w:jc w:val="both"/>
        <w:ind w:left="340" w:hanging="330"/>
        <w:spacing w:after="0" w:line="267" w:lineRule="auto"/>
        <w:tabs>
          <w:tab w:leader="none" w:pos="37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p>
      <w:pPr>
        <w:spacing w:after="0" w:line="25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2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30-year Treasury rate</w:t>
            </w: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8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pre-tax average cost of debt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2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r>
    </w:tbl>
    <w:p>
      <w:pPr>
        <w:spacing w:after="0" w:line="316" w:lineRule="exact"/>
        <w:rPr>
          <w:sz w:val="20"/>
          <w:szCs w:val="20"/>
          <w:color w:val="auto"/>
        </w:rPr>
      </w:pPr>
    </w:p>
    <w:p>
      <w:pPr>
        <w:ind w:left="340" w:hanging="330"/>
        <w:spacing w:after="0" w:line="302" w:lineRule="auto"/>
        <w:tabs>
          <w:tab w:leader="none" w:pos="3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profit per diluted share is computed independently for each of the quarters presented. Therefore, the sum of quarterly economic profit per diluted share information may not equal year-to-date economic profit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480" w:top="80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Floating Yield Adjustment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loan revenue on a level-yield basis over the life of the loan based on expected future net cash flows. The purpose of this non-GAAP adjustment is to provide insight into our business by showing this level yield measure of income. Under GAAP, contractual amounts due in excess of the loan receivable balance at the time of assignment will be reflected as interest income, while contractual amounts due that are not expected to be collected are reflected in the provision for credit losses. Our non-GAAP floating yield adjustment recognizes the net effects of contractual interest income and expected credit losses in a single measure of finance charge revenue, consistent with how we manage our business. The floating yield adjustment recognizes revenue on a level-yield basis based upon expected future net cash flows, with any changes in expected future net cash flows, which are recognized immediately under GAAP as provision for credit losses, recognized over the remaining forecast period (up to 120 months after the origination date of the underlying Consumer Loans) for each individual dealer loan and purchased loan. The floating yield adjustment does not accelerate revenue recognition. Rather, it reduces revenue by taking amounts that are reported under GAAP as provision for credit losses and instead treating them as reductions of revenue over time.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GAAP methodology we employ, which is known as the current expected credit loss model, or CECL, we are required to recognize:</w:t>
      </w:r>
    </w:p>
    <w:p>
      <w:pPr>
        <w:spacing w:after="0" w:line="27" w:lineRule="exact"/>
        <w:rPr>
          <w:sz w:val="20"/>
          <w:szCs w:val="20"/>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provision for credit losses expense at the time of the loan’s assignment to us for contractual net cash flows we do not expect to realize;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 revenue in subsequent periods that is significantly in excess of our expected yields.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GAAP treatment of contractual net cash flows we do not expect to realize at the time of loan assignment (i.e. significant expense at the time of loan assignment, which is offset by higher revenue in subsequent periods), we do not believe the GAAP methodology we employ provides sufficient transparency into the economics of our business. Our floating yield adjustment enables us to provide measures of income that are not impacted by GAAP’s treatment of contractual net cash flows we do not expect to realize at the time of loan assignment. We believe the floating yield adjustment is presented in a manner which reflects both the economic reality of our business and how the business is managed and provides valuable supplemental information to help investors better understand our business, executive compensation,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Senior Notes Adjustment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non-GAAP adjustment modifies our GAAP financial results to treat the issuance of certain senior notes as a refinancing of certain previously-issued senior notes. Our historical adjusted financial information reflects application of the senior notes adjustment as described below in connection with (i) the issuance by us in 2014 of $300.0 million principal amount of 6.125% senior notes due 2021 (the “2021 senior notes”) and the related retirement of our 9.125% senior notes due 2017 (the “2017 senior notes”) and (ii) the issuance by us in 2019 of $400.0 million principal amount of 5.125% senior notes due 2024 (the “2024 senior notes”) and the related retirement of the 2021 senior notes and our 7.375% senior notes due 2023 (the “2023 senior notes”).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issued the 2024 senior notes on December 18, 2019. We used a portion of the net proceeds from the 2024 senior notes to repurchase or redeem all of the $300.0 million outstanding principal amount of the 2021 senior notes, of which $148.2 million was repurchased on December 18, 2019 and the remaining $151.8 million was redeemed on January 17, 2020. We used the remaining net proceeds from the 2024 senior notes, together with borrowings under our revolving credit facility, to redeem in full the $250.0 million outstanding principal amount of the 2023 senior notes on March 15, 2020. Under GAAP, the fourth quarter of 2019 included (i) a pre-tax loss on extinguishment of debt of $1.8 million related to the repurchase of 2021 senior notes in the fourth quarter of 2019 and the redemption of the remaining 2021 senior notes in the first quarter of 2020 and (ii) additional interest expense of $0.3 million on $160.0 million of additional outstanding debt caused by the one month lag from the issuance of the 2024 senior notes and repurchase of 2021 senior notes in the fourth quarter of 2019 to the redemption of the remaining 2021 senior notes in the first quarter of 2020. Under GAAP, the first quarter of 2020 included (i) a pre-tax loss on extinguishment of debt of $7.4 million related to the redemption of 2023 senior notes in the first quarter of 2020 and (ii) additional interest expense of $0.4 million on $160.0 million of additional outstanding debt caused by the one month lag from the issuance of the 2024 senior notes and repurchase of 2021 senior notes in the fourth quarter of 2019 to the redemption of the remaining 2021 senior notes in the first quarter of 2020.</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issued the 2021 senior notes on January 22, 2014. On February 21, 2014, we used the net proceeds from the 2021 senior notes, together with borrowings under our revolving credit facilities, to redeem in full the $350.0 million outstanding principal amount of the 2017 senior notes. Under GAAP, the first quarter of 2014 included (i) a pre-tax loss on extinguishment of debt of $21.8 million related to the redemption of the 2017 senior notes in the first quarter of 2014 and (ii) additional interest expense of $1.4 million on $276.0 million of additional outstanding debt caused by the one month lag from the issuance of the 2021 senior notes to the redemption of the 2017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65"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Under our non-GAAP approach, the loss on extinguishment of debt and additional interest expense that were recognized for GAAP purposes were in each case deferred as debt issuance costs to be recognized ratably as interest expense over the term of the newly issued notes. In addition, for adjusted average capital purposes, the impact of additional outstanding debt related to the lag from the issuance of the new notes to the redemption of the previously issued notes was in each case deferred to be recognized ratably over the term of the newly issued notes. Upon the issuance of the 2024 senior notes in the fourth quarter of 2019, the outstanding unamortized balances of the non-GAAP adjustments related to the 2021 senior notes were deferred and were being recognized ratably over the term of the 2024 senior notes, until the repurchase and redemption of the 2024 senior notes in December 2023.</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application of the senior notes adjustment as described above provided a more accurate reflection of the performance of our business, since we were recognizing the costs incurred with these transactions in a manner consistent with how we recognize the costs incurred when we periodically refinance our other debt facilities. We have determined not to apply the senior notes adjustment in connection with the issuance by us in December 2023 of our 9.250% senior notes due 2028 and the related retirement of the 2024 senior notes, because the adjustment would not be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or similar expressions,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Annual Report on Form 10-K for the year ended December 31, 2022, filed with the Securities and Exchange Commission (the “SEC”) on February 10, 2023, and Item 1A in Part II of our Quarterly Report on Form 10-Q for the quarterly period ended September 30, 2023, filed with the SEC on October 30, 2023, and other risk factors discussed herein or listed from time to time in our reports filed with the SEC and the following: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Operational, and Macroeconomic Risks</w:t>
      </w:r>
    </w:p>
    <w:p>
      <w:pPr>
        <w:spacing w:after="0" w:line="20" w:lineRule="exact"/>
        <w:rPr>
          <w:sz w:val="20"/>
          <w:szCs w:val="20"/>
          <w:color w:val="auto"/>
        </w:rPr>
      </w:pPr>
    </w:p>
    <w:p>
      <w:pPr>
        <w:ind w:left="660" w:hanging="328"/>
        <w:spacing w:after="0" w:line="249"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accurately forecast and estimate the amount and timing of future collections could have a material adverse effect on results of operations.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competition from traditional financing sources and non-traditional lenders, we may not be able to compete successfully.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contagious disease, such as the COVID-19 pandemic, or other public health emergency could materially and adversely affect our business, financial condition, liquidity, and results of operations.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administer our ancillary product offerings could adversely affect our business and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senior management and the loss of any of these individuals or an inability to hire additional team members could adversely affect our ability to operate profitably.</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is a key asset to our business, and our business may be affected by how we are perceived in the marketplace.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in several states of automobile dealers who participate in our programs could adversely affect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our outsourced business functions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foreign engineering personnel could be hindered by immigration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business strategy due to current economic conditions.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climate change, military conflicts, acts of war, terrorist attacks and threats, or the escalation of military activity in response to terrorist attacks or otherwise may negatively affect our business, financial condition, and results of operations.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market responses to climate change and related environmental issues could have a material adverse effect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and Liquidity Risks</w:t>
      </w:r>
    </w:p>
    <w:p>
      <w:pPr>
        <w:spacing w:after="0" w:line="3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continue to access or renew funding sources and obtain capital needed to maintain and grow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debt limit how we conduct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the terms of our asset-backed secured financings or revolving secured warehouse facilities could have a material adverse impact on our operations.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769" w:right="339" w:bottom="1440" w:gutter="0" w:footer="0" w:header="0"/>
        </w:sectPr>
      </w:pPr>
    </w:p>
    <w:bookmarkStart w:id="20" w:name="page21"/>
    <w:bookmarkEnd w:id="20"/>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could negatively impact our business, prevent us from satisfying our debt obligations, and adversely affect our financial condition.</w:t>
      </w: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flows to service our outstanding debt and fund operations and may be forced to take other actions to satisfy our obligations under such debt.</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adversely affect our borrowing costs, profitability, and liquidity.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our credit rating could increase the cost of our funding from, and restrict our access to, the capital markets and adversely affect our liquidity, financial condition, and results of operations.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substantially more debt and other liabilities. This could exacerbate further the risks associated with our current debt levels.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Technology and Cybersecurity Risks</w:t>
      </w:r>
    </w:p>
    <w:p>
      <w:pPr>
        <w:spacing w:after="0" w:line="2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technology could have a material adverse effect on our business.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electronic contracts could impact our ability to perfect our ownership or security interest in Consumer Loans.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safeguard confidential consumer and team member information could subject us to liability, decrease our profitability, and damage our reputation.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Legal and Regulatory Risks</w:t>
      </w:r>
    </w:p>
    <w:p>
      <w:pPr>
        <w:spacing w:after="0" w:line="3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we are involved in from time to time may adversely affect our financial condition, results of operations, and cash flows.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the resolution of uncertain income tax matters could have a material adverse effect on our results of operations and cash flows from operations.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regulations to which we are or may become subject could result in a material adverse effect on our business.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Webcast Details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will host a webcast on January 31, 2024 at 5:00 p.m. Eastern Time to discuss our fourth quarter and full year results. The webcast can be accessed live by visiting the “Investor Relations” section of our website at </w:t>
      </w:r>
      <w:r>
        <w:rPr>
          <w:rFonts w:ascii="Times New Roman" w:cs="Times New Roman" w:eastAsia="Times New Roman" w:hAnsi="Times New Roman"/>
          <w:sz w:val="18"/>
          <w:szCs w:val="18"/>
          <w:u w:val="single" w:color="auto"/>
          <w:color w:val="auto"/>
        </w:rPr>
        <w:t>ir.creditacceptance.com</w:t>
      </w:r>
      <w:r>
        <w:rPr>
          <w:rFonts w:ascii="Times New Roman" w:cs="Times New Roman" w:eastAsia="Times New Roman" w:hAnsi="Times New Roman"/>
          <w:sz w:val="18"/>
          <w:szCs w:val="18"/>
          <w:color w:val="auto"/>
        </w:rPr>
        <w:t xml:space="preserve"> or by telephone as described below. Only persons accessing the webcast by telephone will be able to pose questions to the presenters during the webcast. A replay and transcript of the webcast will be archived in the “Investor Relations” section of our website.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participate in the webcast by telephone, you must pre-register at https://register.vevent.com/register/BIa587abf9e20b46eda4c0913717005f3c, or through the link posted on the “Investor Relations” section of our website at ir.creditacceptance.com. Upon registration you will be provided with the dial-in number and a unique PIN to access the webcast by telephone.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Times New Roman" w:cs="Times New Roman" w:eastAsia="Times New Roman" w:hAnsi="Times New Roman"/>
          <w:sz w:val="18"/>
          <w:szCs w:val="18"/>
          <w:u w:val="single" w:color="auto"/>
          <w:color w:val="auto"/>
        </w:rPr>
        <w:t>creditacceptance.com</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769"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240" w:type="dxa"/>
            <w:vAlign w:val="bottom"/>
          </w:tcPr>
          <w:p>
            <w:pPr>
              <w:spacing w:after="0"/>
              <w:rPr>
                <w:sz w:val="16"/>
                <w:szCs w:val="16"/>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60" w:type="dxa"/>
            <w:vAlign w:val="bottom"/>
          </w:tcPr>
          <w:p>
            <w:pPr>
              <w:spacing w:after="0"/>
              <w:rPr>
                <w:sz w:val="16"/>
                <w:szCs w:val="16"/>
                <w:color w:val="auto"/>
              </w:rPr>
            </w:pPr>
          </w:p>
        </w:tc>
        <w:tc>
          <w:tcPr>
            <w:tcW w:w="30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charges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Premiums earned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4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1,832.4</w:t>
            </w: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and wages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9"/>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3"/>
        </w:trPr>
        <w:tc>
          <w:tcPr>
            <w:tcW w:w="4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50"/>
        </w:trPr>
        <w:tc>
          <w:tcPr>
            <w:tcW w:w="4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 on forecast changes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176"/>
        </w:trPr>
        <w:tc>
          <w:tcPr>
            <w:tcW w:w="4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Provision for credit losses on new Consumer Loan</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3"/>
        </w:trPr>
        <w:tc>
          <w:tcPr>
            <w:tcW w:w="4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provision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50"/>
        </w:trPr>
        <w:tc>
          <w:tcPr>
            <w:tcW w:w="4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claims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r>
      <w:tr>
        <w:trPr>
          <w:trHeight w:val="229"/>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12,775,616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13,272,214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12,953,424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13,563,885</w:t>
            </w: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12,837,181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13,294,506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13,010,735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13,625,081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008" w:right="35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140" w:type="dxa"/>
            <w:vAlign w:val="bottom"/>
          </w:tcPr>
          <w:p>
            <w:pPr>
              <w:spacing w:after="0"/>
              <w:rPr>
                <w:sz w:val="16"/>
                <w:szCs w:val="16"/>
                <w:color w:val="auto"/>
              </w:rPr>
            </w:pPr>
          </w:p>
        </w:tc>
        <w:tc>
          <w:tcPr>
            <w:tcW w:w="18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6"/>
        </w:trPr>
        <w:tc>
          <w:tcPr>
            <w:tcW w:w="20" w:type="dxa"/>
            <w:vAlign w:val="bottom"/>
          </w:tcPr>
          <w:p>
            <w:pPr>
              <w:spacing w:after="0"/>
              <w:rPr>
                <w:sz w:val="18"/>
                <w:szCs w:val="18"/>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Restricted securities available for sale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57"/>
        </w:trPr>
        <w:tc>
          <w:tcPr>
            <w:tcW w:w="20" w:type="dxa"/>
            <w:vAlign w:val="bottom"/>
          </w:tcPr>
          <w:p>
            <w:pPr>
              <w:spacing w:after="0"/>
              <w:rPr>
                <w:sz w:val="22"/>
                <w:szCs w:val="22"/>
                <w:color w:val="auto"/>
              </w:rPr>
            </w:pPr>
          </w:p>
        </w:tc>
        <w:tc>
          <w:tcPr>
            <w:tcW w:w="7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Loans receivable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9,165.5</w:t>
            </w: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(2,867.8)</w:t>
            </w: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Loans receivable,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6,955.3</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6,297.7</w:t>
            </w: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20" w:type="dxa"/>
            <w:vAlign w:val="bottom"/>
          </w:tcPr>
          <w:p>
            <w:pPr>
              <w:spacing w:after="0"/>
              <w:rPr>
                <w:sz w:val="19"/>
                <w:szCs w:val="19"/>
                <w:color w:val="auto"/>
              </w:rPr>
            </w:pPr>
          </w:p>
        </w:tc>
        <w:tc>
          <w:tcPr>
            <w:tcW w:w="7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6,904.7</w:t>
            </w: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Revolving secured lines of credit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Secured financing</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3,756.4</w:t>
            </w: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 note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5,280.7</w:t>
            </w:r>
          </w:p>
        </w:tc>
      </w:tr>
      <w:tr>
        <w:trPr>
          <w:trHeight w:val="236"/>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Preferred stock, $.01 par value, 1,000,000 shares authorized, none issued</w:t>
            </w:r>
          </w:p>
        </w:tc>
        <w:tc>
          <w:tcPr>
            <w:tcW w:w="1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20" w:type="dxa"/>
            <w:vAlign w:val="bottom"/>
          </w:tcPr>
          <w:p>
            <w:pPr>
              <w:spacing w:after="0"/>
              <w:rPr>
                <w:sz w:val="15"/>
                <w:szCs w:val="15"/>
                <w:color w:val="auto"/>
              </w:rPr>
            </w:pPr>
          </w:p>
        </w:tc>
        <w:tc>
          <w:tcPr>
            <w:tcW w:w="78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Common stock, $.01 par value, 80,000,000 shares authorized, 12,522,397 and 12,756,885 shares</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issued and outstanding as of December 31, 2023 and December 31, 2022, respectively</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w:t>
            </w:r>
          </w:p>
        </w:tc>
      </w:tr>
      <w:tr>
        <w:trPr>
          <w:trHeight w:val="229"/>
        </w:trPr>
        <w:tc>
          <w:tcPr>
            <w:tcW w:w="20" w:type="dxa"/>
            <w:vAlign w:val="bottom"/>
          </w:tcPr>
          <w:p>
            <w:pPr>
              <w:spacing w:after="0"/>
              <w:rPr>
                <w:sz w:val="19"/>
                <w:szCs w:val="19"/>
                <w:color w:val="auto"/>
              </w:rPr>
            </w:pPr>
          </w:p>
        </w:tc>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r>
      <w:tr>
        <w:trPr>
          <w:trHeight w:val="223"/>
        </w:trPr>
        <w:tc>
          <w:tcPr>
            <w:tcW w:w="20" w:type="dxa"/>
            <w:vAlign w:val="bottom"/>
          </w:tcPr>
          <w:p>
            <w:pPr>
              <w:spacing w:after="0"/>
              <w:rPr>
                <w:sz w:val="19"/>
                <w:szCs w:val="19"/>
                <w:color w:val="auto"/>
              </w:rPr>
            </w:pPr>
          </w:p>
        </w:tc>
        <w:tc>
          <w:tcPr>
            <w:tcW w:w="7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6,904.7</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1240"/>
      </w:cols>
      <w:pgMar w:left="300" w:top="10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lvl w:ilvl="1">
      <w:lvlJc w:val="left"/>
      <w:lvlText w:val="•"/>
      <w:numFmt w:val="bullet"/>
      <w:start w:val="1"/>
    </w:lvl>
  </w:abstractNum>
  <w:abstractNum w:abstractNumId="12">
    <w:nsid w:val="436C6125"/>
    <w:multiLevelType w:val="hybridMultilevel"/>
    <w:lvl w:ilvl="0">
      <w:lvlJc w:val="left"/>
      <w:lvlText w:val="•"/>
      <w:numFmt w:val="bullet"/>
      <w:start w:val="1"/>
    </w:lvl>
    <w:lvl w:ilvl="1">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lvl w:ilvl="1">
      <w:lvlJc w:val="left"/>
      <w:lvlText w:val="•"/>
      <w:numFmt w:val="bullet"/>
      <w:start w:val="1"/>
    </w:lvl>
  </w:abstractNum>
  <w:abstractNum w:abstractNumId="15">
    <w:nsid w:val="721DA31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4"/>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6"/>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2024-01-31T15:17:26Z</dcterms:created>
  <dcterms:modified xsi:type="dcterms:W3CDTF">2024-01-31T15:17:26Z</dcterms:modified>
</cp:coreProperties>
</file>