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2009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CREDIT ACCEPTANCE CORPORATION</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160" w:type="dxa"/>
            <w:vAlign w:val="bottom"/>
            <w:tcBorders>
              <w:top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160" w:type="dxa"/>
            <w:vAlign w:val="bottom"/>
            <w:tcBorders>
              <w:top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407"/>
        </w:trPr>
        <w:tc>
          <w:tcPr>
            <w:tcW w:w="1260" w:type="dxa"/>
            <w:vAlign w:val="bottom"/>
          </w:tcPr>
          <w:p>
            <w:pPr>
              <w:spacing w:after="0"/>
              <w:rPr>
                <w:sz w:val="24"/>
                <w:szCs w:val="24"/>
                <w:color w:val="auto"/>
              </w:rPr>
            </w:pPr>
          </w:p>
        </w:tc>
        <w:tc>
          <w:tcPr>
            <w:tcW w:w="258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8"/>
              </w:rPr>
              <w:t>Michigan</w:t>
            </w:r>
          </w:p>
        </w:tc>
        <w:tc>
          <w:tcPr>
            <w:tcW w:w="36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000-20202</w:t>
            </w:r>
          </w:p>
        </w:tc>
        <w:tc>
          <w:tcPr>
            <w:tcW w:w="560" w:type="dxa"/>
            <w:vAlign w:val="bottom"/>
          </w:tcPr>
          <w:p>
            <w:pPr>
              <w:spacing w:after="0"/>
              <w:rPr>
                <w:sz w:val="24"/>
                <w:szCs w:val="24"/>
                <w:color w:val="auto"/>
              </w:rPr>
            </w:pPr>
          </w:p>
        </w:tc>
        <w:tc>
          <w:tcPr>
            <w:tcW w:w="21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38-1999511</w:t>
            </w:r>
          </w:p>
        </w:tc>
        <w:tc>
          <w:tcPr>
            <w:tcW w:w="1260" w:type="dxa"/>
            <w:vAlign w:val="bottom"/>
          </w:tcPr>
          <w:p>
            <w:pPr>
              <w:spacing w:after="0"/>
              <w:rPr>
                <w:sz w:val="24"/>
                <w:szCs w:val="24"/>
                <w:color w:val="auto"/>
              </w:rPr>
            </w:pPr>
          </w:p>
        </w:tc>
      </w:tr>
      <w:tr>
        <w:trPr>
          <w:trHeight w:val="205"/>
        </w:trPr>
        <w:tc>
          <w:tcPr>
            <w:tcW w:w="344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Borders>
              <w:top w:val="single" w:sz="8" w:color="auto"/>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(Commission</w:t>
            </w:r>
          </w:p>
        </w:tc>
        <w:tc>
          <w:tcPr>
            <w:tcW w:w="560" w:type="dxa"/>
            <w:vAlign w:val="bottom"/>
          </w:tcPr>
          <w:p>
            <w:pPr>
              <w:spacing w:after="0"/>
              <w:rPr>
                <w:sz w:val="17"/>
                <w:szCs w:val="17"/>
                <w:color w:val="auto"/>
              </w:rPr>
            </w:pPr>
          </w:p>
        </w:tc>
        <w:tc>
          <w:tcPr>
            <w:tcW w:w="342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80" w:type="dxa"/>
            <w:vAlign w:val="bottom"/>
          </w:tcPr>
          <w:p>
            <w:pPr>
              <w:spacing w:after="0"/>
              <w:rPr>
                <w:sz w:val="20"/>
                <w:szCs w:val="20"/>
                <w:color w:val="auto"/>
              </w:rPr>
            </w:pPr>
          </w:p>
        </w:tc>
        <w:tc>
          <w:tcPr>
            <w:tcW w:w="39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rPr>
              <w:t>File Number)</w:t>
            </w: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1260" w:type="dxa"/>
            <w:vAlign w:val="bottom"/>
          </w:tcPr>
          <w:p>
            <w:pPr>
              <w:spacing w:after="0"/>
              <w:rPr>
                <w:sz w:val="24"/>
                <w:szCs w:val="24"/>
                <w:color w:val="auto"/>
              </w:rPr>
            </w:pPr>
          </w:p>
        </w:tc>
        <w:tc>
          <w:tcPr>
            <w:tcW w:w="25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25505 West Twelve Mile Road,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1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Southfield, Michigan</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48034-8339</w:t>
            </w:r>
          </w:p>
        </w:tc>
        <w:tc>
          <w:tcPr>
            <w:tcW w:w="1260" w:type="dxa"/>
            <w:vAlign w:val="bottom"/>
            <w:tcBorders>
              <w:bottom w:val="single" w:sz="8" w:color="auto"/>
            </w:tcBorders>
          </w:tcPr>
          <w:p>
            <w:pPr>
              <w:spacing w:after="0"/>
              <w:rPr>
                <w:sz w:val="20"/>
                <w:szCs w:val="20"/>
                <w:color w:val="auto"/>
              </w:rPr>
            </w:pPr>
          </w:p>
        </w:tc>
      </w:tr>
      <w:tr>
        <w:trPr>
          <w:trHeight w:val="228"/>
        </w:trPr>
        <w:tc>
          <w:tcPr>
            <w:tcW w:w="1260" w:type="dxa"/>
            <w:vAlign w:val="bottom"/>
          </w:tcPr>
          <w:p>
            <w:pPr>
              <w:spacing w:after="0"/>
              <w:rPr>
                <w:sz w:val="19"/>
                <w:szCs w:val="19"/>
                <w:color w:val="auto"/>
              </w:rPr>
            </w:pPr>
          </w:p>
        </w:tc>
        <w:tc>
          <w:tcPr>
            <w:tcW w:w="4160" w:type="dxa"/>
            <w:vAlign w:val="bottom"/>
            <w:gridSpan w:val="4"/>
          </w:tcPr>
          <w:p>
            <w:pPr>
              <w:jc w:val="center"/>
              <w:ind w:right="11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19"/>
                <w:szCs w:val="19"/>
                <w:color w:val="auto"/>
              </w:rPr>
            </w:pPr>
          </w:p>
        </w:tc>
        <w:tc>
          <w:tcPr>
            <w:tcW w:w="2000" w:type="dxa"/>
            <w:vAlign w:val="bottom"/>
            <w:gridSpan w:val="2"/>
          </w:tcPr>
          <w:p>
            <w:pPr>
              <w:spacing w:after="0"/>
              <w:rPr>
                <w:sz w:val="19"/>
                <w:szCs w:val="19"/>
                <w:color w:val="auto"/>
              </w:rPr>
            </w:pPr>
          </w:p>
        </w:tc>
        <w:tc>
          <w:tcPr>
            <w:tcW w:w="342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248-353-2700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-127635</wp:posOffset>
            </wp:positionV>
            <wp:extent cx="3044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9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left="460" w:hanging="452"/>
        <w:spacing w:after="0" w:line="25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15, 2009, Credit Acceptance Corporation (the “Company”) executed the Seventh Amendment (the “Amendment”), dated as of June 15, 2009, to the Fourth Amended and Restated Credit Agreement (the “Revised Credit Agreement”), dated February 7, 2006, between the Company, Comerica Bank and the other banks which are parties thereto from time to time (collectively, the “Banks”), and Comerica Bank as Administrative Agent for the Banks. The Amendment extends the maturity of the credit facility from June 22, 2010 to June 23, 2011. The Amendment also reduces the amount of the facility from $153.5 million to $140.0. The interest rate on borrowings under the facility has been increased from the prime rate minus 0.60% or 1.25% over the Eurodollar rate, at the Company’s option, to the prime rate plus 1.0% or 2.75% over the Eurodollar rate, at the Company’s option. The Eurodollar rate is subject to a floor of 1.50%. In addition, certain financial covenants were modified as follows: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maximum Funded Debt to Tangible Net Worth ratio was reduced from 4.0 to 1.0 to a ratio of 3.25 to 1.0</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minimum Fixed Charge Coverage ratio was increased from 1.75 to 1.0 to a ratio of 2.0 to 1.0</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minimum Asset Coverage Ratio was increased from 1.0 to 1.0 to a ratio of 1.1 to 1.0</w:t>
      </w:r>
    </w:p>
    <w:p>
      <w:pPr>
        <w:spacing w:after="0" w:line="117" w:lineRule="exact"/>
        <w:rPr>
          <w:sz w:val="20"/>
          <w:szCs w:val="20"/>
          <w:color w:val="auto"/>
        </w:rPr>
      </w:pPr>
    </w:p>
    <w:p>
      <w:pPr>
        <w:ind w:left="460" w:right="860"/>
        <w:spacing w:after="0" w:line="313" w:lineRule="auto"/>
        <w:rPr>
          <w:sz w:val="20"/>
          <w:szCs w:val="20"/>
          <w:color w:val="auto"/>
        </w:rPr>
      </w:pPr>
      <w:r>
        <w:rPr>
          <w:rFonts w:ascii="Times New Roman" w:cs="Times New Roman" w:eastAsia="Times New Roman" w:hAnsi="Times New Roman"/>
          <w:sz w:val="17"/>
          <w:szCs w:val="17"/>
          <w:color w:val="auto"/>
        </w:rPr>
        <w:t>The credit facility continues to be secured by a lien on most of the Company’s assets. As of June 15, 2009, the Company had $107.6 million outstanding under the agreement. The Amendment is attached as Exhibit 4(f)(120) to this Form 8-K and incorporated herein by reference.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15, 2009, the Company issued a press release announcing the execution of the Amendment. The press release is attached as Exhibit 99.1 to this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ind w:left="700" w:right="80"/>
        <w:spacing w:after="0" w:line="282" w:lineRule="auto"/>
        <w:rPr>
          <w:sz w:val="20"/>
          <w:szCs w:val="20"/>
          <w:color w:val="auto"/>
        </w:rPr>
      </w:pPr>
      <w:r>
        <w:rPr>
          <w:rFonts w:ascii="Times New Roman" w:cs="Times New Roman" w:eastAsia="Times New Roman" w:hAnsi="Times New Roman"/>
          <w:sz w:val="18"/>
          <w:szCs w:val="18"/>
          <w:color w:val="auto"/>
        </w:rPr>
        <w:t>4(f)(120) — Seventh Amendment, dated as of June 15, 2009, to Fourth Amended and Restated Credit Agreement, dated February 7, 2006, between the Company, the Banks which are parties thereto from time to time, and Comerica Bank as Administrative Agent for the Banks.</w:t>
      </w:r>
    </w:p>
    <w:p>
      <w:pPr>
        <w:spacing w:after="0" w:line="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99.1 — Press Release dated June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CREDIT ACCEPTANCE CORPORATION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Douglas W. Busk</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June 18, 2009</w:t>
      </w:r>
    </w:p>
    <w:p>
      <w:pPr>
        <w:sectPr>
          <w:pgSz w:w="11900" w:h="16838" w:orient="portrait"/>
          <w:cols w:equalWidth="0" w:num="1">
            <w:col w:w="11220"/>
          </w:cols>
          <w:pgMar w:left="240" w:top="954"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4(f)(120)</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CREDIT AGREEMENT</w:t>
      </w:r>
    </w:p>
    <w:p>
      <w:pPr>
        <w:spacing w:after="0" w:line="95" w:lineRule="exact"/>
        <w:rPr>
          <w:sz w:val="20"/>
          <w:szCs w:val="20"/>
          <w:color w:val="auto"/>
        </w:rPr>
      </w:pPr>
    </w:p>
    <w:p>
      <w:pPr>
        <w:jc w:val="both"/>
        <w:ind w:firstLine="222"/>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Seventh Amendment and Consent under the Fourth Amended and Restated Credit Agreement</w:t>
      </w:r>
      <w:r>
        <w:rPr>
          <w:rFonts w:ascii="Times New Roman" w:cs="Times New Roman" w:eastAsia="Times New Roman" w:hAnsi="Times New Roman"/>
          <w:sz w:val="18"/>
          <w:szCs w:val="18"/>
          <w:color w:val="auto"/>
        </w:rPr>
        <w:t xml:space="preserve"> (“Seventh Amendment”) is made as of June 15, 2009 by and among Credit Acceptance Corporation, a Michigan corporation (“Company”), Comerica Bank and the other banks signatory hereto (individually, a “Bank” and collectively, the “Banks”) and Comerica Bank, as administrative agent for the Banks (in such capacity, “Agent”).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21" w:lineRule="exact"/>
        <w:rPr>
          <w:sz w:val="20"/>
          <w:szCs w:val="20"/>
          <w:color w:val="auto"/>
        </w:rPr>
      </w:pPr>
    </w:p>
    <w:p>
      <w:pPr>
        <w:ind w:left="460" w:right="180" w:hanging="452"/>
        <w:spacing w:after="0" w:line="258"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Agent and the Banks entered into that certain Fourth Amended and Restated Credit Acceptance Corporation Credit Agreement dated as of February 7, 2006 (as amended by the First Amendment dated September 20, 2006, Second Amendment dated January 19, 2007, Third Amendment dated June 14, 2007, Fourth Amendment dated as of January 25, 2008, Fifth Amendment dated July 31, 2008, Sixth Amendment dated as of December 9, 2008 and as may be further amended or otherwise modified from time to time, the “Credit Agreement”) under which the Banks renewed and extended (or committed to extend) credit to the Company, as set forth therein.</w:t>
      </w:r>
    </w:p>
    <w:p>
      <w:pPr>
        <w:spacing w:after="0" w:line="89" w:lineRule="exact"/>
        <w:rPr>
          <w:rFonts w:ascii="Times New Roman" w:cs="Times New Roman" w:eastAsia="Times New Roman" w:hAnsi="Times New Roman"/>
          <w:sz w:val="18"/>
          <w:szCs w:val="18"/>
          <w:color w:val="auto"/>
        </w:rPr>
      </w:pPr>
    </w:p>
    <w:p>
      <w:pPr>
        <w:ind w:left="460" w:right="8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requested that Agent and the Banks agree to certain amendments to the Credit Agreement and Agent and the Banks are willing to do so, but only on the terms and conditions set forth in this Seventh Amendment.</w:t>
      </w:r>
    </w:p>
    <w:p>
      <w:pPr>
        <w:spacing w:after="0" w:line="6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Company, Agent and the Banks agree:</w:t>
      </w:r>
    </w:p>
    <w:p>
      <w:pPr>
        <w:spacing w:after="0" w:line="1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Section 1 of the Credit Agreement is hereby amended as follows:</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The following specified definitions are hereby amended and restated (in their entirety), as follows:</w:t>
      </w:r>
    </w:p>
    <w:p>
      <w:pPr>
        <w:spacing w:after="0" w:line="115" w:lineRule="exact"/>
        <w:rPr>
          <w:sz w:val="20"/>
          <w:szCs w:val="20"/>
          <w:color w:val="auto"/>
        </w:rPr>
      </w:pPr>
    </w:p>
    <w:p>
      <w:pPr>
        <w:ind w:left="900" w:right="240"/>
        <w:spacing w:after="0" w:line="257" w:lineRule="auto"/>
        <w:rPr>
          <w:sz w:val="20"/>
          <w:szCs w:val="20"/>
          <w:color w:val="auto"/>
        </w:rPr>
      </w:pPr>
      <w:r>
        <w:rPr>
          <w:rFonts w:ascii="Times New Roman" w:cs="Times New Roman" w:eastAsia="Times New Roman" w:hAnsi="Times New Roman"/>
          <w:sz w:val="18"/>
          <w:szCs w:val="18"/>
          <w:i w:val="1"/>
          <w:iCs w:val="1"/>
          <w:color w:val="auto"/>
        </w:rPr>
        <w:t>“Borrowing Base Limitation” shall mean, as of any date of determination, an amount equal to (i) eighty percent (80%) of Dealer Loans Receivable, plus (ii) eighty percent (80%) of the Purchased Contract Balance, minus (iii) the Hedging Reserve and minus (iv) the aggregate principal amount outstanding from time to time of any Debt (other than the Indebtedness) secured by any of the Collateral; provided, however, that if, at any time, (a) the advance rates under any Securitization Transaction (other than a Bridge Securitization) set forth in the related Securitization Documents (“Securitization Advance Rates”) are more than ten percentage points lower than the applicable advance rates expressed in clauses (i) or (ii) of this definition (“Credit Agreement Advance Rates”), or (b) the stated advance rates under</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Detroit_927531_9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 w:name="page5"/>
    <w:bookmarkEnd w:id="4"/>
    <w:p>
      <w:pPr>
        <w:ind w:right="180"/>
        <w:spacing w:after="0" w:line="259" w:lineRule="auto"/>
        <w:rPr>
          <w:sz w:val="20"/>
          <w:szCs w:val="20"/>
          <w:color w:val="auto"/>
        </w:rPr>
      </w:pPr>
      <w:r>
        <w:rPr>
          <w:rFonts w:ascii="Times New Roman" w:cs="Times New Roman" w:eastAsia="Times New Roman" w:hAnsi="Times New Roman"/>
          <w:sz w:val="18"/>
          <w:szCs w:val="18"/>
          <w:i w:val="1"/>
          <w:iCs w:val="1"/>
          <w:color w:val="auto"/>
        </w:rPr>
        <w:t>any Future Debt set forth in the related Future Debt Documents (“Future Debt Advance Rates”) are lower than the Credit Agreement Advance Rates then, the applicable Credit Agreement Advance Rates shall be deemed to be automatically reduced to the lowest Securitization Advance Rates or Future Debt Advance Rates, as the case may be, then in effect, such reduction to remain in effect so long as the Securitization Advance Rates or Future Debt Advance Rates, as applicable, are lower than the Credit Agreement Advance Rates set forth in this definition. At no time, however, shall the Credit Agreement Advance Rates exceed eighty percent (80%).</w:t>
      </w:r>
    </w:p>
    <w:p>
      <w:pPr>
        <w:spacing w:after="0" w:line="85"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“Eurodollar-based Rate” shall mean a per annum interest rate which is equal to the sum of (a) the Applicable Margin plus (b) the greater of (x) the LIBOR Floor and (y) the quotient of:</w:t>
      </w:r>
    </w:p>
    <w:p>
      <w:pPr>
        <w:spacing w:after="0" w:line="50" w:lineRule="exact"/>
        <w:rPr>
          <w:sz w:val="20"/>
          <w:szCs w:val="20"/>
          <w:color w:val="auto"/>
        </w:rPr>
      </w:pPr>
    </w:p>
    <w:p>
      <w:pPr>
        <w:ind w:right="8920" w:firstLine="13"/>
        <w:spacing w:after="0" w:line="375" w:lineRule="auto"/>
        <w:tabs>
          <w:tab w:leader="none" w:pos="459"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LIBOR Rate divided by</w:t>
      </w:r>
    </w:p>
    <w:p>
      <w:pPr>
        <w:spacing w:after="0" w:line="1" w:lineRule="exact"/>
        <w:rPr>
          <w:rFonts w:ascii="Times New Roman" w:cs="Times New Roman" w:eastAsia="Times New Roman" w:hAnsi="Times New Roman"/>
          <w:sz w:val="18"/>
          <w:szCs w:val="18"/>
          <w:i w:val="1"/>
          <w:iCs w:val="1"/>
          <w:color w:val="auto"/>
        </w:rPr>
      </w:pPr>
    </w:p>
    <w:p>
      <w:pPr>
        <w:ind w:left="460" w:right="40" w:hanging="447"/>
        <w:spacing w:after="0" w:line="259" w:lineRule="auto"/>
        <w:tabs>
          <w:tab w:leader="none" w:pos="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percentage equal to 100% minus the maximum rate on such date at which the Agent is required to maintain reserves on ‘Eurodollar Liabilities’ as defined in and pursuant to Regulation D of the Board of Governors of the Federal Reserve System or, if such regulation or definition is modified, and as long as the Agent is required to maintain reserves against a category of liabilities which includes Eurodollar deposits or includes a category of assets which includes Eurodollar loans, the rate at which such reserves are required to be maintained on such category,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such sum to be rounded upward, if necessary, to the nearest whole multiple of 1/100th of 1%.</w:t>
      </w:r>
    </w:p>
    <w:p>
      <w:pPr>
        <w:spacing w:after="0" w:line="13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“Future Debt” shall mean Debt evidenced by Long Term Notes; provided that the aggregate principal amount of all such Debt outstanding at any time from and after the date hereof shall not exceed Five Hundred Million Dollars ($500,000,000); and provided further that, at the time any such Debt is incurred, the Funding Conditions have been satisfied. For the purposes of this definition, “Long Term Notes” shall mean unsecured or secured non-revolving promissory notes to be issued by the Company, which Debt shall have a term extending at least beyond the Revolving Credit Maturity Date then in effect, have an amortization schedule not greater than level amortization to maturity (but with no principal payments required for a period of</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Detroit_927531_9</w:t>
      </w:r>
    </w:p>
    <w:p>
      <w:pPr>
        <w:spacing w:after="0" w:line="1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1140" w:top="929" w:right="239" w:bottom="1440" w:gutter="0" w:footer="0" w:header="0"/>
        </w:sectPr>
      </w:pPr>
    </w:p>
    <w:bookmarkStart w:id="5" w:name="page6"/>
    <w:bookmarkEnd w:id="5"/>
    <w:p>
      <w:pPr>
        <w:ind w:left="446"/>
        <w:spacing w:after="0"/>
        <w:rPr>
          <w:sz w:val="20"/>
          <w:szCs w:val="20"/>
          <w:color w:val="auto"/>
        </w:rPr>
      </w:pPr>
      <w:r>
        <w:rPr>
          <w:rFonts w:ascii="Times New Roman" w:cs="Times New Roman" w:eastAsia="Times New Roman" w:hAnsi="Times New Roman"/>
          <w:sz w:val="18"/>
          <w:szCs w:val="18"/>
          <w:i w:val="1"/>
          <w:iCs w:val="1"/>
          <w:color w:val="auto"/>
        </w:rPr>
        <w:t>at least 12 months) and have no requirement for mandatory early repayment except (x) upon default, (y) following a change in control or</w:t>
      </w:r>
    </w:p>
    <w:p>
      <w:pPr>
        <w:spacing w:after="0" w:line="29"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8"/>
          <w:szCs w:val="18"/>
          <w:i w:val="1"/>
          <w:iCs w:val="1"/>
          <w:color w:val="auto"/>
        </w:rPr>
        <w:t>(z) following the sale of any material portion of the assets of the Company or any of its Subsidiaries, to the extent of the proceeds of such sale.</w:t>
      </w:r>
    </w:p>
    <w:p>
      <w:pPr>
        <w:spacing w:after="0" w:line="110" w:lineRule="exact"/>
        <w:rPr>
          <w:sz w:val="20"/>
          <w:szCs w:val="20"/>
          <w:color w:val="auto"/>
        </w:rPr>
      </w:pPr>
    </w:p>
    <w:p>
      <w:pPr>
        <w:ind w:left="446" w:right="140"/>
        <w:spacing w:after="0" w:line="267" w:lineRule="auto"/>
        <w:rPr>
          <w:sz w:val="20"/>
          <w:szCs w:val="20"/>
          <w:color w:val="auto"/>
        </w:rPr>
      </w:pPr>
      <w:r>
        <w:rPr>
          <w:rFonts w:ascii="Times New Roman" w:cs="Times New Roman" w:eastAsia="Times New Roman" w:hAnsi="Times New Roman"/>
          <w:sz w:val="18"/>
          <w:szCs w:val="18"/>
          <w:i w:val="1"/>
          <w:iCs w:val="1"/>
          <w:color w:val="auto"/>
        </w:rPr>
        <w:t>“Revolving Credit Maturity Date” shall mean the earlier to occur of (i) June 23, 2011, as such date may be extended from time to time pursuant to Section 2.16 hereof, and (ii) the date on which the Revolving Credit Maximum Amount shall be terminated pursuant to Section 2.15 or 9.2 hereof.</w:t>
      </w:r>
    </w:p>
    <w:p>
      <w:pPr>
        <w:spacing w:after="0" w:line="79" w:lineRule="exact"/>
        <w:rPr>
          <w:sz w:val="20"/>
          <w:szCs w:val="20"/>
          <w:color w:val="auto"/>
        </w:rPr>
      </w:pPr>
    </w:p>
    <w:p>
      <w:pPr>
        <w:ind w:left="446"/>
        <w:spacing w:after="0" w:line="259" w:lineRule="auto"/>
        <w:rPr>
          <w:sz w:val="20"/>
          <w:szCs w:val="20"/>
          <w:color w:val="auto"/>
        </w:rPr>
      </w:pPr>
      <w:r>
        <w:rPr>
          <w:rFonts w:ascii="Times New Roman" w:cs="Times New Roman" w:eastAsia="Times New Roman" w:hAnsi="Times New Roman"/>
          <w:sz w:val="18"/>
          <w:szCs w:val="18"/>
          <w:i w:val="1"/>
          <w:iCs w:val="1"/>
          <w:color w:val="auto"/>
        </w:rPr>
        <w:t>“Revolving Credit Maximum Amount” shall mean the aggregate of the Revolving Credit Commitments of the Lenders as set forth on Exhibit D hereto, subject to any increases in the Revolving Credit Maximum Amount pursuant to Section 2.17 of this Agreement, by an amount not to exceed the Revolving Credit Optional Increase, and subject to any reductions or termination of the Revolving Credit Maximum Amount under Sections 2.15 or 9.2 of this Agreement; provided, however, that in no event shall the Revolving Credit Maximum Amount hereunder at any time exceed Two Hundred Million Dollars ($200,000,000).</w:t>
      </w:r>
    </w:p>
    <w:p>
      <w:pPr>
        <w:spacing w:after="0" w:line="85" w:lineRule="exact"/>
        <w:rPr>
          <w:sz w:val="20"/>
          <w:szCs w:val="20"/>
          <w:color w:val="auto"/>
        </w:rPr>
      </w:pPr>
    </w:p>
    <w:p>
      <w:pPr>
        <w:ind w:left="446" w:right="360"/>
        <w:spacing w:after="0" w:line="284" w:lineRule="auto"/>
        <w:rPr>
          <w:sz w:val="20"/>
          <w:szCs w:val="20"/>
          <w:color w:val="auto"/>
        </w:rPr>
      </w:pPr>
      <w:r>
        <w:rPr>
          <w:rFonts w:ascii="Times New Roman" w:cs="Times New Roman" w:eastAsia="Times New Roman" w:hAnsi="Times New Roman"/>
          <w:sz w:val="18"/>
          <w:szCs w:val="18"/>
          <w:i w:val="1"/>
          <w:iCs w:val="1"/>
          <w:color w:val="auto"/>
        </w:rPr>
        <w:t>“Revolving Credit Optional Increase” shall mean an amount equal to $60,000,000 minus the portion thereof applied from time to time under Section 2.17 hereof to increase the Revolving Credit Maximum Amount</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8"/>
          <w:szCs w:val="18"/>
          <w:color w:val="auto"/>
        </w:rPr>
        <w:t>(b) The following new definitions are hereby inserted in the appropriate alphabetical order:</w:t>
      </w:r>
    </w:p>
    <w:p>
      <w:pPr>
        <w:spacing w:after="0" w:line="129"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8"/>
          <w:szCs w:val="18"/>
          <w:i w:val="1"/>
          <w:iCs w:val="1"/>
          <w:color w:val="auto"/>
        </w:rPr>
        <w:t>“LIBOR Floor” shall mean a per annum interest rate equal to 1.5%.</w:t>
      </w:r>
    </w:p>
    <w:p>
      <w:pPr>
        <w:spacing w:after="0" w:line="133" w:lineRule="exact"/>
        <w:rPr>
          <w:sz w:val="20"/>
          <w:szCs w:val="20"/>
          <w:color w:val="auto"/>
        </w:rPr>
      </w:pPr>
    </w:p>
    <w:p>
      <w:pPr>
        <w:ind w:left="686" w:hanging="241"/>
        <w:spacing w:after="0"/>
        <w:tabs>
          <w:tab w:leader="none" w:pos="68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defined term “Lead Arranger” is hereby deleted in its entirety.</w:t>
      </w:r>
    </w:p>
    <w:p>
      <w:pPr>
        <w:spacing w:after="0" w:line="117"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of the Credit Agreement is amended as follows;</w:t>
      </w:r>
    </w:p>
    <w:p>
      <w:pPr>
        <w:spacing w:after="0" w:line="117" w:lineRule="exact"/>
        <w:rPr>
          <w:rFonts w:ascii="Times New Roman" w:cs="Times New Roman" w:eastAsia="Times New Roman" w:hAnsi="Times New Roman"/>
          <w:sz w:val="18"/>
          <w:szCs w:val="18"/>
          <w:color w:val="auto"/>
        </w:rPr>
      </w:pPr>
    </w:p>
    <w:p>
      <w:pPr>
        <w:ind w:left="686" w:hanging="241"/>
        <w:spacing w:after="0"/>
        <w:tabs>
          <w:tab w:leader="none" w:pos="68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2.5(a) is amended and restated in its entirety as follows:</w:t>
      </w:r>
    </w:p>
    <w:p>
      <w:pPr>
        <w:spacing w:after="0" w:line="129" w:lineRule="exact"/>
        <w:rPr>
          <w:sz w:val="20"/>
          <w:szCs w:val="20"/>
          <w:color w:val="auto"/>
        </w:rPr>
      </w:pPr>
    </w:p>
    <w:p>
      <w:pPr>
        <w:jc w:val="both"/>
        <w:ind w:left="446" w:right="220"/>
        <w:spacing w:after="0" w:line="267" w:lineRule="auto"/>
        <w:rPr>
          <w:sz w:val="20"/>
          <w:szCs w:val="20"/>
          <w:color w:val="auto"/>
        </w:rPr>
      </w:pPr>
      <w:r>
        <w:rPr>
          <w:rFonts w:ascii="Times New Roman" w:cs="Times New Roman" w:eastAsia="Times New Roman" w:hAnsi="Times New Roman"/>
          <w:sz w:val="18"/>
          <w:szCs w:val="18"/>
          <w:i w:val="1"/>
          <w:iCs w:val="1"/>
          <w:color w:val="auto"/>
        </w:rPr>
        <w:t>“The Swing Line Bank may, on the terms and subject to the conditions hereinafter set forth (including without limitation Section 2.5(c) hereof), but shall not be required to, make one or more advances (each such advance being a “Swing Line Advance”) to Company from time to time on any Business Day</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Detroit_927531_9</w:t>
      </w:r>
    </w:p>
    <w:p>
      <w:pPr>
        <w:spacing w:after="0" w:line="198"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29" w:right="239" w:bottom="1440" w:gutter="0" w:footer="0" w:header="0"/>
        </w:sectPr>
      </w:pPr>
    </w:p>
    <w:bookmarkStart w:id="6" w:name="page7"/>
    <w:bookmarkEnd w:id="6"/>
    <w:p>
      <w:pPr>
        <w:ind w:left="446" w:right="20"/>
        <w:spacing w:after="0" w:line="284" w:lineRule="auto"/>
        <w:rPr>
          <w:sz w:val="20"/>
          <w:szCs w:val="20"/>
          <w:color w:val="auto"/>
        </w:rPr>
      </w:pPr>
      <w:r>
        <w:rPr>
          <w:rFonts w:ascii="Times New Roman" w:cs="Times New Roman" w:eastAsia="Times New Roman" w:hAnsi="Times New Roman"/>
          <w:sz w:val="18"/>
          <w:szCs w:val="18"/>
          <w:i w:val="1"/>
          <w:iCs w:val="1"/>
          <w:color w:val="auto"/>
        </w:rPr>
        <w:t>during the period from the date hereof to (but excluding) the Revolving Credit Maturity Date in an aggregate amount, in Dollars, not to exceed at any time outstanding the Swing Line Maximum Amount.”</w:t>
      </w:r>
    </w:p>
    <w:p>
      <w:pPr>
        <w:spacing w:after="0" w:line="66" w:lineRule="exact"/>
        <w:rPr>
          <w:sz w:val="20"/>
          <w:szCs w:val="20"/>
          <w:color w:val="auto"/>
        </w:rPr>
      </w:pPr>
    </w:p>
    <w:p>
      <w:pPr>
        <w:ind w:left="706" w:hanging="261"/>
        <w:spacing w:after="0"/>
        <w:tabs>
          <w:tab w:leader="none" w:pos="7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sentence of Section 2.5(a) is hereby deleted.</w:t>
      </w:r>
    </w:p>
    <w:p>
      <w:pPr>
        <w:spacing w:after="0" w:line="130"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is hereby amended as follows:</w:t>
      </w:r>
    </w:p>
    <w:p>
      <w:pPr>
        <w:spacing w:after="0" w:line="130" w:lineRule="exact"/>
        <w:rPr>
          <w:rFonts w:ascii="Times New Roman" w:cs="Times New Roman" w:eastAsia="Times New Roman" w:hAnsi="Times New Roman"/>
          <w:sz w:val="18"/>
          <w:szCs w:val="18"/>
          <w:color w:val="auto"/>
        </w:rPr>
      </w:pPr>
    </w:p>
    <w:p>
      <w:pPr>
        <w:ind w:left="686" w:hanging="241"/>
        <w:spacing w:after="0"/>
        <w:tabs>
          <w:tab w:leader="none" w:pos="68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7.4 is hereby amended and restated in its entirety as follows:</w:t>
      </w:r>
    </w:p>
    <w:p>
      <w:pPr>
        <w:spacing w:after="0" w:line="129" w:lineRule="exact"/>
        <w:rPr>
          <w:sz w:val="20"/>
          <w:szCs w:val="20"/>
          <w:color w:val="auto"/>
        </w:rPr>
      </w:pPr>
    </w:p>
    <w:p>
      <w:pPr>
        <w:ind w:left="446"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“7.4 </w:t>
      </w:r>
      <w:r>
        <w:rPr>
          <w:rFonts w:ascii="Times New Roman" w:cs="Times New Roman" w:eastAsia="Times New Roman" w:hAnsi="Times New Roman"/>
          <w:sz w:val="18"/>
          <w:szCs w:val="18"/>
          <w:i w:val="1"/>
          <w:iCs w:val="1"/>
          <w:u w:val="single" w:color="auto"/>
          <w:color w:val="auto"/>
        </w:rPr>
        <w:t>Maintain Asset Coverage Ratio</w:t>
      </w:r>
      <w:r>
        <w:rPr>
          <w:rFonts w:ascii="Times New Roman" w:cs="Times New Roman" w:eastAsia="Times New Roman" w:hAnsi="Times New Roman"/>
          <w:sz w:val="18"/>
          <w:szCs w:val="18"/>
          <w:i w:val="1"/>
          <w:iCs w:val="1"/>
          <w:color w:val="auto"/>
        </w:rPr>
        <w:t>. On a consolidated basis, maintain at all times, a ratio of Consolidated Net Assets to Consolidated Funded Debt equal to or greater than 1.10 to 1.00.”</w:t>
      </w:r>
    </w:p>
    <w:p>
      <w:pPr>
        <w:spacing w:after="0" w:line="66"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8"/>
          <w:szCs w:val="18"/>
          <w:color w:val="auto"/>
        </w:rPr>
        <w:t>(b) Section 7.5 is hereby amended and restated in its entirety as follows:</w:t>
      </w:r>
    </w:p>
    <w:p>
      <w:pPr>
        <w:spacing w:after="0" w:line="129" w:lineRule="exact"/>
        <w:rPr>
          <w:sz w:val="20"/>
          <w:szCs w:val="20"/>
          <w:color w:val="auto"/>
        </w:rPr>
      </w:pPr>
    </w:p>
    <w:p>
      <w:pPr>
        <w:ind w:left="446"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“7.5 </w:t>
      </w:r>
      <w:r>
        <w:rPr>
          <w:rFonts w:ascii="Times New Roman" w:cs="Times New Roman" w:eastAsia="Times New Roman" w:hAnsi="Times New Roman"/>
          <w:sz w:val="18"/>
          <w:szCs w:val="18"/>
          <w:i w:val="1"/>
          <w:iCs w:val="1"/>
          <w:u w:val="single" w:color="auto"/>
          <w:color w:val="auto"/>
        </w:rPr>
        <w:t>Maintain Funded Debt Ratio Level</w:t>
      </w:r>
      <w:r>
        <w:rPr>
          <w:rFonts w:ascii="Times New Roman" w:cs="Times New Roman" w:eastAsia="Times New Roman" w:hAnsi="Times New Roman"/>
          <w:sz w:val="18"/>
          <w:szCs w:val="18"/>
          <w:i w:val="1"/>
          <w:iCs w:val="1"/>
          <w:color w:val="auto"/>
        </w:rPr>
        <w:t>. On a Consolidated basis, maintain as of the end of each fiscal quarter a ratio of Consolidated Funded Debt (including in the calculation thereof, for purposes of this Section 7.5, all Debt incurred by a Special Purpose Subsidiary, whether or not included therein under GAAP) to the Company’s Consolidated Tangible Net Worth equal to or less than 3.25 to 1.0.”</w:t>
      </w:r>
    </w:p>
    <w:p>
      <w:pPr>
        <w:spacing w:after="0" w:line="81"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8"/>
          <w:szCs w:val="18"/>
          <w:color w:val="auto"/>
        </w:rPr>
        <w:t>(c) Section 7.7 is hereby amended and restated in its entirety as follows:</w:t>
      </w:r>
    </w:p>
    <w:p>
      <w:pPr>
        <w:spacing w:after="0" w:line="129" w:lineRule="exact"/>
        <w:rPr>
          <w:sz w:val="20"/>
          <w:szCs w:val="20"/>
          <w:color w:val="auto"/>
        </w:rPr>
      </w:pPr>
    </w:p>
    <w:p>
      <w:pPr>
        <w:ind w:left="446"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“7.7 </w:t>
      </w:r>
      <w:r>
        <w:rPr>
          <w:rFonts w:ascii="Times New Roman" w:cs="Times New Roman" w:eastAsia="Times New Roman" w:hAnsi="Times New Roman"/>
          <w:sz w:val="18"/>
          <w:szCs w:val="18"/>
          <w:i w:val="1"/>
          <w:iCs w:val="1"/>
          <w:u w:val="single" w:color="auto"/>
          <w:color w:val="auto"/>
        </w:rPr>
        <w:t>Maintain Fixed Charge Coverage Ratio</w:t>
      </w:r>
      <w:r>
        <w:rPr>
          <w:rFonts w:ascii="Times New Roman" w:cs="Times New Roman" w:eastAsia="Times New Roman" w:hAnsi="Times New Roman"/>
          <w:sz w:val="18"/>
          <w:szCs w:val="18"/>
          <w:i w:val="1"/>
          <w:iCs w:val="1"/>
          <w:color w:val="auto"/>
        </w:rPr>
        <w:t>. On a Consolidated basis, maintain as of the end of each fiscal quarter a Fixed Charge Coverage Ratio of not less than 2.0 to 1.0.”</w:t>
      </w:r>
    </w:p>
    <w:p>
      <w:pPr>
        <w:spacing w:after="0" w:line="66" w:lineRule="exact"/>
        <w:rPr>
          <w:sz w:val="20"/>
          <w:szCs w:val="20"/>
          <w:color w:val="auto"/>
        </w:rPr>
      </w:pPr>
    </w:p>
    <w:p>
      <w:pPr>
        <w:ind w:left="446" w:hanging="446"/>
        <w:spacing w:after="0"/>
        <w:tabs>
          <w:tab w:leader="none" w:pos="4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12.15 is hereby amended and restated in its entirety as follows:</w:t>
      </w:r>
    </w:p>
    <w:p>
      <w:pPr>
        <w:spacing w:after="0" w:line="128" w:lineRule="exact"/>
        <w:rPr>
          <w:rFonts w:ascii="Times New Roman" w:cs="Times New Roman" w:eastAsia="Times New Roman" w:hAnsi="Times New Roman"/>
          <w:sz w:val="18"/>
          <w:szCs w:val="18"/>
          <w:color w:val="auto"/>
        </w:rPr>
      </w:pPr>
    </w:p>
    <w:p>
      <w:pPr>
        <w:ind w:left="446"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“12.15 </w:t>
      </w:r>
      <w:r>
        <w:rPr>
          <w:rFonts w:ascii="Times New Roman" w:cs="Times New Roman" w:eastAsia="Times New Roman" w:hAnsi="Times New Roman"/>
          <w:sz w:val="18"/>
          <w:szCs w:val="18"/>
          <w:i w:val="1"/>
          <w:iCs w:val="1"/>
          <w:u w:val="single" w:color="auto"/>
          <w:color w:val="auto"/>
        </w:rPr>
        <w:t>Lead Arranger; Documentation Agent, Co-Agent or other Titles</w:t>
      </w:r>
      <w:r>
        <w:rPr>
          <w:rFonts w:ascii="Times New Roman" w:cs="Times New Roman" w:eastAsia="Times New Roman" w:hAnsi="Times New Roman"/>
          <w:sz w:val="18"/>
          <w:szCs w:val="18"/>
          <w:i w:val="1"/>
          <w:iCs w:val="1"/>
          <w:color w:val="auto"/>
        </w:rPr>
        <w:t>. Any Bank identified on the facing page or signature page of this Agreement or in any amendment hereto or as designated with consent of the Agent in any assignment agreement as Lead Arranger, Documentation Agent, Syndication Agent, Co-Agent or any similar titles, shall not have any right, power, obligation, liability, responsibility or duty under this Agreement as a result of such title other than those applicable to the Banks as such; provided, however, that such identified Banks shall be entitled to the benefits afforded to Agent under Sections 12.5, 12.6 and 12.11 hereof. Without limiting the foregoing, the Banks so identified shall not have or be deemed to have any fiduciary relationship with any Bank as a result of such title. Each Bank acknowledges that it has not relied, and will not rely, on the Bank so identified in deciding</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Detroit_927531_9</w:t>
      </w:r>
    </w:p>
    <w:p>
      <w:pPr>
        <w:spacing w:after="0" w:line="198"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29" w:right="239" w:bottom="1440" w:gutter="0" w:footer="0" w:header="0"/>
        </w:sectPr>
      </w:pPr>
    </w:p>
    <w:bookmarkStart w:id="7" w:name="page8"/>
    <w:bookmarkEnd w:id="7"/>
    <w:p>
      <w:pPr>
        <w:ind w:left="900"/>
        <w:spacing w:after="0"/>
        <w:rPr>
          <w:sz w:val="20"/>
          <w:szCs w:val="20"/>
          <w:color w:val="auto"/>
        </w:rPr>
      </w:pPr>
      <w:r>
        <w:rPr>
          <w:rFonts w:ascii="Times New Roman" w:cs="Times New Roman" w:eastAsia="Times New Roman" w:hAnsi="Times New Roman"/>
          <w:sz w:val="18"/>
          <w:szCs w:val="18"/>
          <w:i w:val="1"/>
          <w:iCs w:val="1"/>
          <w:color w:val="auto"/>
        </w:rPr>
        <w:t>to enter into this Agreement or in taking or not taking action hereunder.”</w:t>
      </w:r>
    </w:p>
    <w:p>
      <w:pPr>
        <w:spacing w:after="0" w:line="119" w:lineRule="exact"/>
        <w:rPr>
          <w:sz w:val="20"/>
          <w:szCs w:val="20"/>
          <w:color w:val="auto"/>
        </w:rPr>
      </w:pPr>
    </w:p>
    <w:p>
      <w:pPr>
        <w:ind w:right="20" w:firstLine="233"/>
        <w:spacing w:after="0" w:line="282" w:lineRule="auto"/>
        <w:tabs>
          <w:tab w:leader="none" w:pos="4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Facing Page</w:t>
      </w:r>
      <w:r>
        <w:rPr>
          <w:rFonts w:ascii="Times New Roman" w:cs="Times New Roman" w:eastAsia="Times New Roman" w:hAnsi="Times New Roman"/>
          <w:sz w:val="18"/>
          <w:szCs w:val="18"/>
          <w:color w:val="auto"/>
        </w:rPr>
        <w:t xml:space="preserve"> the facing page of the Credit Agreement is hereby amended and restated by deleting such face page and inserting the replacement face page attached hereto as Attachment 1 in its place.</w:t>
      </w:r>
    </w:p>
    <w:p>
      <w:pPr>
        <w:spacing w:after="0" w:line="53" w:lineRule="exact"/>
        <w:rPr>
          <w:rFonts w:ascii="Times New Roman" w:cs="Times New Roman" w:eastAsia="Times New Roman" w:hAnsi="Times New Roman"/>
          <w:sz w:val="18"/>
          <w:szCs w:val="18"/>
          <w:color w:val="auto"/>
        </w:rPr>
      </w:pPr>
    </w:p>
    <w:p>
      <w:pPr>
        <w:ind w:right="260" w:firstLine="233"/>
        <w:spacing w:after="0" w:line="282" w:lineRule="auto"/>
        <w:tabs>
          <w:tab w:leader="none" w:pos="4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to the Credit Agreement is hereby amended and restated by deleting such Schedule and inserting the replacement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attached hereto as Attachment 2 in its place.</w:t>
      </w:r>
    </w:p>
    <w:p>
      <w:pPr>
        <w:spacing w:after="0" w:line="53" w:lineRule="exact"/>
        <w:rPr>
          <w:rFonts w:ascii="Times New Roman" w:cs="Times New Roman" w:eastAsia="Times New Roman" w:hAnsi="Times New Roman"/>
          <w:sz w:val="18"/>
          <w:szCs w:val="18"/>
          <w:color w:val="auto"/>
        </w:rPr>
      </w:pPr>
    </w:p>
    <w:p>
      <w:pPr>
        <w:ind w:right="180" w:firstLine="233"/>
        <w:spacing w:after="0" w:line="282" w:lineRule="auto"/>
        <w:tabs>
          <w:tab w:leader="none" w:pos="4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the Credit Agreement is hereby amended and restated by deleting such exhibit and inserting the replacement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as Attachment 3 in its place.</w:t>
      </w:r>
    </w:p>
    <w:p>
      <w:pPr>
        <w:spacing w:after="0" w:line="53" w:lineRule="exact"/>
        <w:rPr>
          <w:rFonts w:ascii="Times New Roman" w:cs="Times New Roman" w:eastAsia="Times New Roman" w:hAnsi="Times New Roman"/>
          <w:sz w:val="18"/>
          <w:szCs w:val="18"/>
          <w:color w:val="auto"/>
        </w:rPr>
      </w:pPr>
    </w:p>
    <w:p>
      <w:pPr>
        <w:ind w:right="40" w:firstLine="233"/>
        <w:spacing w:after="0" w:line="252" w:lineRule="auto"/>
        <w:tabs>
          <w:tab w:leader="none" w:pos="4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on which the conditions set forth in Section 9 of this Seventh Amendment shall have been satisfied (the “Seventh Amendment Effective Date”), (a) each Bank shall have (i) a Percentage equal to the applicable percentage set forth in Attachment 3 hereto (the “New Percentages”) and (ii) its own Advances of the Revolving Credit (and participation in Letters of Credit) in its Percentage of all such Advances (and Letters of Credit) outstanding on the Seventh Amendment Effective Date (based on the New Percentages) and (b) any Bank not a party to the Credit Agreement prior to the Seventh Amendment Effective Date (each such Bank, a “New Bank”) shall become obligated as a Bank thereunder, entitled to all of the rights and privileges and subject to all of the obligations of the Banks under the Credit Agreement. To facilitate the foregoing, each Bank (including each New Bank) which as a result of the adjustments of Percentages shown on Attachment 3 is to have a greater principal amount of Advances of the Revolving Credit outstanding than such Bank had outstanding under the Credit Agreement immediately prior to the Seventh Amendment Effective Date (each such Bank an “Increasing Bank”) shall deliver to the Agent immediately available funds to cover such Advances of Revolving Credit and the Agent shall, to the extent of the funds so received, disburse funds to each Bank which, as a result of the aforesaid adjustment of the Percentages, is to have a lesser principal amount of Advances of the Revolving Credit outstanding than such Bank had under the Credit Agreement immediately prior to the Seventh Amendment Effective Date, and each such Bank whose Percentage is reducing (a “Reducing Bank”) shall be deemed to have assigned such reduction in its commitment and outstandings to the Increasing Banks, pro rata based upon the New Percentages, such assignment to be without representation, warranty or recourse (except that such assignment has been duly authorized and such commitment and outstandings have not been otherwise assigned or encumbered by such Reducing Bank). Each Bank which was a party to the Credit Agreement prior the Seventh Amendment Effective Date, upon receipt of its New Note(s) delivered hereunder (which Notes are to be in exchange for and not in payment of the predecessor Revolving Credit Notes) issued by the Company to such Bank, shall return its predecessor Notes to the Agent which shall stamp such Notes “Exchanged” and deliver said Notes to the Company. The Banks agree that all interest and fees accrued under the Credit Agreement prior to the Seventh Amendment Effective Date shall constitute the property of the Banks which were parties to the Credit Agreement prior to the Seventh Amendment Effective Date and shall be distributed by the Agent (to the extent received from the Company) to such Banks on the basis of the Percentages in effect prior to the Seventh Amendment Effective Date. Furthermore, it is acknowledged and agreed that all fees paid prior to the Seventh</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Detroit_927531_9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Amendment Effective Date shall not be recalculated, redistributed or reallocated by Agent among the Banks.</w:t>
      </w:r>
    </w:p>
    <w:p>
      <w:pPr>
        <w:spacing w:after="0" w:line="117" w:lineRule="exact"/>
        <w:rPr>
          <w:sz w:val="20"/>
          <w:szCs w:val="20"/>
          <w:color w:val="auto"/>
        </w:rPr>
      </w:pPr>
    </w:p>
    <w:p>
      <w:pPr>
        <w:ind w:right="260" w:firstLine="233"/>
        <w:spacing w:after="0" w:line="282" w:lineRule="auto"/>
        <w:tabs>
          <w:tab w:leader="none" w:pos="4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Seventh Amendment shall become effective according to the terms and as of the date hereof, upon satisfaction by the Company of the following conditions:</w:t>
      </w:r>
    </w:p>
    <w:p>
      <w:pPr>
        <w:spacing w:after="0" w:line="53" w:lineRule="exact"/>
        <w:rPr>
          <w:rFonts w:ascii="Times New Roman" w:cs="Times New Roman" w:eastAsia="Times New Roman" w:hAnsi="Times New Roman"/>
          <w:sz w:val="18"/>
          <w:szCs w:val="18"/>
          <w:color w:val="auto"/>
        </w:rPr>
      </w:pPr>
    </w:p>
    <w:p>
      <w:pPr>
        <w:ind w:left="700" w:right="240" w:hanging="7"/>
        <w:spacing w:after="0" w:line="282" w:lineRule="auto"/>
        <w:tabs>
          <w:tab w:leader="none" w:pos="9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counterpart originals of (i) this Seventh Amendment, duly executed and delivered by the Company and the requisite Banks and (ii) a Reaffirmation of Loan Documents duly executed and delivered by the Guarantors.</w:t>
      </w:r>
    </w:p>
    <w:p>
      <w:pPr>
        <w:spacing w:after="0" w:line="53" w:lineRule="exact"/>
        <w:rPr>
          <w:rFonts w:ascii="Times New Roman" w:cs="Times New Roman" w:eastAsia="Times New Roman" w:hAnsi="Times New Roman"/>
          <w:sz w:val="18"/>
          <w:szCs w:val="18"/>
          <w:color w:val="auto"/>
        </w:rPr>
      </w:pPr>
    </w:p>
    <w:p>
      <w:pPr>
        <w:ind w:left="700" w:right="60" w:hanging="7"/>
        <w:spacing w:after="0" w:line="282" w:lineRule="auto"/>
        <w:tabs>
          <w:tab w:leader="none" w:pos="9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executed replacement Revolving Credit Notes for each Bank reflecting the new Percentages set forth on Attachment 3 hereto.</w:t>
      </w:r>
    </w:p>
    <w:p>
      <w:pPr>
        <w:spacing w:after="0" w:line="53" w:lineRule="exact"/>
        <w:rPr>
          <w:rFonts w:ascii="Times New Roman" w:cs="Times New Roman" w:eastAsia="Times New Roman" w:hAnsi="Times New Roman"/>
          <w:sz w:val="18"/>
          <w:szCs w:val="18"/>
          <w:color w:val="auto"/>
        </w:rPr>
      </w:pPr>
    </w:p>
    <w:p>
      <w:pPr>
        <w:ind w:left="700" w:right="20" w:hanging="7"/>
        <w:spacing w:after="0" w:line="282" w:lineRule="auto"/>
        <w:tabs>
          <w:tab w:leader="none" w:pos="9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have paid to Agent, for distribution to the Banks the upfront fees as set forth in the Summary of Terms and Conditions dated May 19, 2009.</w:t>
      </w:r>
    </w:p>
    <w:p>
      <w:pPr>
        <w:spacing w:after="0" w:line="53" w:lineRule="exact"/>
        <w:rPr>
          <w:rFonts w:ascii="Times New Roman" w:cs="Times New Roman" w:eastAsia="Times New Roman" w:hAnsi="Times New Roman"/>
          <w:sz w:val="18"/>
          <w:szCs w:val="18"/>
          <w:color w:val="auto"/>
        </w:rPr>
      </w:pPr>
    </w:p>
    <w:p>
      <w:pPr>
        <w:ind w:left="700" w:right="40" w:hanging="7"/>
        <w:spacing w:after="0" w:line="258" w:lineRule="auto"/>
        <w:tabs>
          <w:tab w:leader="none" w:pos="9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from a responsible senior officer of the Company a certification (i) that all necessary actions have been taken by the Company to authorize execution and delivery of this Seventh Amendment, supported by such resolutions or other evidence of corporate authority or action as reasonably required by Agent and the Majority Banks and that no consents or other authorizations of any third parties are required in connection therewith; and (ii) that, after giving effect to this Seventh Amendment, no Default or Event of Default has occurred and is continuing on the proposed effective date of the Seventh Amendment.</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Agent shall give notice to Company and the Banks of the occurrence of the Seventh Amendment Effective Date.</w:t>
      </w:r>
    </w:p>
    <w:p>
      <w:pPr>
        <w:spacing w:after="0" w:line="117" w:lineRule="exact"/>
        <w:rPr>
          <w:sz w:val="20"/>
          <w:szCs w:val="20"/>
          <w:color w:val="auto"/>
        </w:rPr>
      </w:pPr>
    </w:p>
    <w:p>
      <w:pPr>
        <w:ind w:right="120" w:firstLine="233"/>
        <w:spacing w:after="0" w:line="266" w:lineRule="auto"/>
        <w:tabs>
          <w:tab w:leader="none" w:pos="4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ratifies and confirms, as of the date hereof and after giving effect to the amendments contained herein, each of the representations and warranties set forth in Sections 6.1 through 6.18, inclusive, of the Credit Agreement and acknowledges that such representations and warranties are and shall remain continuing representations and warranties during the entire life of the Credit Agreement.</w:t>
      </w:r>
    </w:p>
    <w:p>
      <w:pPr>
        <w:spacing w:after="0" w:line="68" w:lineRule="exact"/>
        <w:rPr>
          <w:rFonts w:ascii="Times New Roman" w:cs="Times New Roman" w:eastAsia="Times New Roman" w:hAnsi="Times New Roman"/>
          <w:sz w:val="18"/>
          <w:szCs w:val="18"/>
          <w:color w:val="auto"/>
        </w:rPr>
      </w:pPr>
    </w:p>
    <w:p>
      <w:pPr>
        <w:jc w:val="both"/>
        <w:ind w:right="120" w:firstLine="233"/>
        <w:spacing w:after="0" w:line="261" w:lineRule="auto"/>
        <w:tabs>
          <w:tab w:leader="none" w:pos="4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above, this Seventh Amendment shall not be deemed to amend or alter in any respect the terms and conditions of the Credit Agreement, any of the Notes issued thereunder or any of the other Loan Documents, or to constitute a waiver by the Banks or Agent of any right or remedy under or a consent to any transaction not meeting the terms and conditions of the Credit Agreement, any of the Notes issued thereunder or any of the other Loan Documents.</w:t>
      </w:r>
    </w:p>
    <w:p>
      <w:pPr>
        <w:spacing w:after="0" w:line="71" w:lineRule="exact"/>
        <w:rPr>
          <w:rFonts w:ascii="Times New Roman" w:cs="Times New Roman" w:eastAsia="Times New Roman" w:hAnsi="Times New Roman"/>
          <w:sz w:val="18"/>
          <w:szCs w:val="18"/>
          <w:color w:val="auto"/>
        </w:rPr>
      </w:pPr>
    </w:p>
    <w:p>
      <w:pPr>
        <w:ind w:right="260" w:firstLine="233"/>
        <w:spacing w:after="0" w:line="282"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to the contrary herein, all capitalized terms used in this Seventh Amendment shall have the meaning set forth in the Credit Agreement.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Detroit_927531_9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left="267" w:hanging="267"/>
        <w:spacing w:after="0"/>
        <w:tabs>
          <w:tab w:leader="none" w:pos="2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Seventh Amendment may be executed in counterpart in accordance with Section 13.10 of the Credit Agreement.</w:t>
      </w:r>
    </w:p>
    <w:p>
      <w:pPr>
        <w:spacing w:after="0" w:line="117" w:lineRule="exact"/>
        <w:rPr>
          <w:rFonts w:ascii="Times New Roman" w:cs="Times New Roman" w:eastAsia="Times New Roman" w:hAnsi="Times New Roman"/>
          <w:sz w:val="18"/>
          <w:szCs w:val="18"/>
          <w:color w:val="auto"/>
        </w:rPr>
      </w:pPr>
    </w:p>
    <w:p>
      <w:pPr>
        <w:ind w:left="267" w:hanging="267"/>
        <w:spacing w:after="0"/>
        <w:tabs>
          <w:tab w:leader="none" w:pos="2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Seventh Amendment shall be construed in accordance with and governed by the laws of the State of Michigan.</w:t>
      </w:r>
    </w:p>
    <w:p>
      <w:pPr>
        <w:spacing w:after="0" w:line="329" w:lineRule="exact"/>
        <w:rPr>
          <w:sz w:val="20"/>
          <w:szCs w:val="20"/>
          <w:color w:val="auto"/>
        </w:rPr>
      </w:pPr>
    </w:p>
    <w:p>
      <w:pPr>
        <w:jc w:val="center"/>
        <w:ind w:right="213"/>
        <w:spacing w:after="0"/>
        <w:rPr>
          <w:sz w:val="20"/>
          <w:szCs w:val="20"/>
          <w:color w:val="auto"/>
        </w:rPr>
      </w:pPr>
      <w:r>
        <w:rPr>
          <w:rFonts w:ascii="Times New Roman" w:cs="Times New Roman" w:eastAsia="Times New Roman" w:hAnsi="Times New Roman"/>
          <w:sz w:val="18"/>
          <w:szCs w:val="18"/>
          <w:b w:val="1"/>
          <w:bCs w:val="1"/>
          <w:color w:val="auto"/>
        </w:rPr>
        <w:t>[Signatures Follow on Succeeding Pages]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Detroit_927531_9</w:t>
      </w:r>
    </w:p>
    <w:p>
      <w:pPr>
        <w:spacing w:after="0" w:line="198" w:lineRule="exact"/>
        <w:rPr>
          <w:sz w:val="20"/>
          <w:szCs w:val="20"/>
          <w:color w:val="auto"/>
        </w:rPr>
      </w:pPr>
    </w:p>
    <w:p>
      <w:pPr>
        <w:jc w:val="center"/>
        <w:ind w:right="213"/>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1"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Replacement Face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412115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1" w:name="page12"/>
    <w:bookmarkEnd w:id="11"/>
    <w:p>
      <w:pPr>
        <w:ind w:left="858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69850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104140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11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DATED AS OF FEBRUARY 7, 2006</w:t>
      </w:r>
    </w:p>
    <w:p>
      <w:pPr>
        <w:spacing w:after="0" w:line="1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COMERICA BANK, AS ADMINISTRATIVE AGENT</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AND COLLATERAL AGENT</w:t>
      </w:r>
    </w:p>
    <w:p>
      <w:pPr>
        <w:spacing w:after="0" w:line="9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BANK OF AMERICA, N.A. AND</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FIFTH THIRD BANK (EASTERN MICHIGAN) AS CO-AGENTS</w:t>
      </w:r>
    </w:p>
    <w:p>
      <w:pPr>
        <w:spacing w:after="0" w:line="10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BANK OF MONTREAL, 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Detroit_927531_9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2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Attachment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1.1</w:t>
      </w:r>
      <w:r>
        <w:rPr>
          <w:rFonts w:ascii="Times New Roman" w:cs="Times New Roman" w:eastAsia="Times New Roman" w:hAnsi="Times New Roman"/>
          <w:sz w:val="15"/>
          <w:szCs w:val="15"/>
          <w:b w:val="1"/>
          <w:bCs w:val="1"/>
          <w:u w:val="single" w:color="auto"/>
          <w:color w:val="auto"/>
        </w:rPr>
        <w:t>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MATRIX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4060" w:type="dxa"/>
            <w:vAlign w:val="bottom"/>
            <w:gridSpan w:val="3"/>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Notwithstanding</w:t>
            </w:r>
          </w:p>
        </w:tc>
        <w:tc>
          <w:tcPr>
            <w:tcW w:w="3460" w:type="dxa"/>
            <w:vAlign w:val="bottom"/>
            <w:tcBorders>
              <w:bottom w:val="single" w:sz="8" w:color="auto"/>
            </w:tcBorders>
            <w:gridSpan w:val="3"/>
          </w:tcPr>
          <w:p>
            <w:pPr>
              <w:jc w:val="right"/>
              <w:ind w:right="805"/>
              <w:spacing w:after="0"/>
              <w:rPr>
                <w:sz w:val="20"/>
                <w:szCs w:val="20"/>
                <w:color w:val="auto"/>
              </w:rPr>
            </w:pPr>
            <w:r>
              <w:rPr>
                <w:rFonts w:ascii="Times New Roman" w:cs="Times New Roman" w:eastAsia="Times New Roman" w:hAnsi="Times New Roman"/>
                <w:sz w:val="14"/>
                <w:szCs w:val="14"/>
                <w:b w:val="1"/>
                <w:bCs w:val="1"/>
                <w:color w:val="auto"/>
              </w:rPr>
              <w:t>The Applicable Margin For</w:t>
            </w:r>
          </w:p>
        </w:tc>
        <w:tc>
          <w:tcPr>
            <w:tcW w:w="620" w:type="dxa"/>
            <w:vAlign w:val="bottom"/>
          </w:tcPr>
          <w:p>
            <w:pPr>
              <w:spacing w:after="0"/>
              <w:rPr>
                <w:sz w:val="15"/>
                <w:szCs w:val="15"/>
                <w:color w:val="auto"/>
              </w:rPr>
            </w:pPr>
          </w:p>
        </w:tc>
        <w:tc>
          <w:tcPr>
            <w:tcW w:w="3020" w:type="dxa"/>
            <w:vAlign w:val="bottom"/>
            <w:tcBorders>
              <w:bottom w:val="single" w:sz="8" w:color="auto"/>
            </w:tcBorders>
            <w:gridSpan w:val="3"/>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Applicable Fee Percentage For</w:t>
            </w: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4060" w:type="dxa"/>
            <w:vAlign w:val="bottom"/>
            <w:gridSpan w:val="3"/>
            <w:vMerge w:val="continue"/>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Advances carried at</w:t>
            </w:r>
          </w:p>
        </w:tc>
        <w:tc>
          <w:tcPr>
            <w:tcW w:w="60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Advances carried at</w:t>
            </w:r>
          </w:p>
        </w:tc>
        <w:tc>
          <w:tcPr>
            <w:tcW w:w="62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Revolving</w:t>
            </w:r>
          </w:p>
        </w:tc>
        <w:tc>
          <w:tcPr>
            <w:tcW w:w="88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Letter of Credit</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060" w:type="dxa"/>
            <w:vAlign w:val="bottom"/>
            <w:gridSpan w:val="3"/>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the Company’s</w:t>
            </w:r>
          </w:p>
        </w:tc>
        <w:tc>
          <w:tcPr>
            <w:tcW w:w="13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Eurodollar-based</w:t>
            </w:r>
          </w:p>
        </w:tc>
        <w:tc>
          <w:tcPr>
            <w:tcW w:w="6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8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406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Rating Level:</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Base Rate shall be</w:t>
            </w:r>
          </w:p>
        </w:tc>
        <w:tc>
          <w:tcPr>
            <w:tcW w:w="6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shall be</w:t>
            </w:r>
          </w:p>
        </w:tc>
        <w:tc>
          <w:tcPr>
            <w:tcW w:w="6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Fee</w:t>
            </w:r>
          </w:p>
        </w:tc>
        <w:tc>
          <w:tcPr>
            <w:tcW w:w="8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91"/>
        </w:trPr>
        <w:tc>
          <w:tcPr>
            <w:tcW w:w="2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Plus 1.00%</w:t>
            </w:r>
          </w:p>
        </w:tc>
        <w:tc>
          <w:tcPr>
            <w:tcW w:w="600" w:type="dxa"/>
            <w:vAlign w:val="bottom"/>
          </w:tcPr>
          <w:p>
            <w:pPr>
              <w:spacing w:after="0"/>
              <w:rPr>
                <w:sz w:val="16"/>
                <w:szCs w:val="16"/>
                <w:color w:val="auto"/>
              </w:rPr>
            </w:pPr>
          </w:p>
        </w:tc>
        <w:tc>
          <w:tcPr>
            <w:tcW w:w="1480" w:type="dxa"/>
            <w:vAlign w:val="bottom"/>
            <w:tcBorders>
              <w:top w:val="single" w:sz="8" w:color="auto"/>
            </w:tcBorders>
          </w:tcPr>
          <w:p>
            <w:pPr>
              <w:jc w:val="right"/>
              <w:ind w:right="345"/>
              <w:spacing w:after="0" w:line="191" w:lineRule="exact"/>
              <w:rPr>
                <w:sz w:val="20"/>
                <w:szCs w:val="20"/>
                <w:color w:val="auto"/>
              </w:rPr>
            </w:pPr>
            <w:r>
              <w:rPr>
                <w:rFonts w:ascii="Times New Roman" w:cs="Times New Roman" w:eastAsia="Times New Roman" w:hAnsi="Times New Roman"/>
                <w:sz w:val="18"/>
                <w:szCs w:val="18"/>
                <w:color w:val="auto"/>
              </w:rPr>
              <w:t>2.75%</w:t>
            </w:r>
          </w:p>
        </w:tc>
        <w:tc>
          <w:tcPr>
            <w:tcW w:w="620" w:type="dxa"/>
            <w:vAlign w:val="bottom"/>
          </w:tcPr>
          <w:p>
            <w:pPr>
              <w:spacing w:after="0"/>
              <w:rPr>
                <w:sz w:val="16"/>
                <w:szCs w:val="16"/>
                <w:color w:val="auto"/>
              </w:rPr>
            </w:pPr>
          </w:p>
        </w:tc>
        <w:tc>
          <w:tcPr>
            <w:tcW w:w="960" w:type="dxa"/>
            <w:vAlign w:val="bottom"/>
            <w:tcBorders>
              <w:top w:val="single" w:sz="8" w:color="auto"/>
            </w:tcBorders>
          </w:tcPr>
          <w:p>
            <w:pPr>
              <w:jc w:val="right"/>
              <w:ind w:right="125"/>
              <w:spacing w:after="0" w:line="191" w:lineRule="exact"/>
              <w:rPr>
                <w:sz w:val="20"/>
                <w:szCs w:val="20"/>
                <w:color w:val="auto"/>
              </w:rPr>
            </w:pPr>
            <w:r>
              <w:rPr>
                <w:rFonts w:ascii="Times New Roman" w:cs="Times New Roman" w:eastAsia="Times New Roman" w:hAnsi="Times New Roman"/>
                <w:sz w:val="18"/>
                <w:szCs w:val="18"/>
                <w:color w:val="auto"/>
              </w:rPr>
              <w:t>.25%</w:t>
            </w:r>
          </w:p>
        </w:tc>
        <w:tc>
          <w:tcPr>
            <w:tcW w:w="880" w:type="dxa"/>
            <w:vAlign w:val="bottom"/>
          </w:tcPr>
          <w:p>
            <w:pPr>
              <w:spacing w:after="0"/>
              <w:rPr>
                <w:sz w:val="16"/>
                <w:szCs w:val="16"/>
                <w:color w:val="auto"/>
              </w:rPr>
            </w:pPr>
          </w:p>
        </w:tc>
        <w:tc>
          <w:tcPr>
            <w:tcW w:w="1180" w:type="dxa"/>
            <w:vAlign w:val="bottom"/>
            <w:tcBorders>
              <w:top w:val="single" w:sz="8" w:color="auto"/>
            </w:tcBorders>
          </w:tcPr>
          <w:p>
            <w:pPr>
              <w:jc w:val="right"/>
              <w:ind w:right="137"/>
              <w:spacing w:after="0" w:line="191" w:lineRule="exact"/>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(inclusive of</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facing fee)</w:t>
            </w:r>
          </w:p>
        </w:tc>
        <w:tc>
          <w:tcPr>
            <w:tcW w:w="0" w:type="dxa"/>
            <w:vAlign w:val="bottom"/>
          </w:tcPr>
          <w:p>
            <w:pPr>
              <w:spacing w:after="0"/>
              <w:rPr>
                <w:sz w:val="1"/>
                <w:szCs w:val="1"/>
                <w:color w:val="auto"/>
              </w:rPr>
            </w:pPr>
          </w:p>
        </w:tc>
      </w:tr>
      <w:tr>
        <w:trPr>
          <w:trHeight w:val="297"/>
        </w:trPr>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6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1</w:t>
            </w:r>
          </w:p>
        </w:tc>
        <w:tc>
          <w:tcPr>
            <w:tcW w:w="40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All terms as defined in the Agreement.</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Detroit_927531_9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Attachment 3</w:t>
      </w:r>
    </w:p>
    <w:p>
      <w:pPr>
        <w:spacing w:after="0" w:line="1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1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(Percentages)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0" w:type="dxa"/>
            <w:vAlign w:val="bottom"/>
            <w:vMerge w:val="restart"/>
          </w:tcPr>
          <w:p>
            <w:pPr>
              <w:ind w:left="3820"/>
              <w:spacing w:after="0"/>
              <w:rPr>
                <w:sz w:val="20"/>
                <w:szCs w:val="20"/>
                <w:color w:val="auto"/>
              </w:rPr>
            </w:pPr>
            <w:r>
              <w:rPr>
                <w:rFonts w:ascii="Times New Roman" w:cs="Times New Roman" w:eastAsia="Times New Roman" w:hAnsi="Times New Roman"/>
                <w:sz w:val="14"/>
                <w:szCs w:val="14"/>
                <w:b w:val="1"/>
                <w:bCs w:val="1"/>
                <w:color w:val="auto"/>
              </w:rPr>
              <w:t>Bank</w:t>
            </w:r>
          </w:p>
        </w:tc>
        <w:tc>
          <w:tcPr>
            <w:tcW w:w="520" w:type="dxa"/>
            <w:vAlign w:val="bottom"/>
          </w:tcPr>
          <w:p>
            <w:pPr>
              <w:spacing w:after="0"/>
              <w:rPr>
                <w:sz w:val="13"/>
                <w:szCs w:val="13"/>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44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Revolving Credit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0" w:type="dxa"/>
            <w:vAlign w:val="bottom"/>
            <w:tcBorders>
              <w:bottom w:val="single" w:sz="8" w:color="auto"/>
            </w:tcBorders>
            <w:vMerge w:val="continue"/>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Comerica Bank</w:t>
            </w:r>
          </w:p>
        </w:tc>
        <w:tc>
          <w:tcPr>
            <w:tcW w:w="1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Fifth Third Bank (Eastern Michigan)</w:t>
            </w:r>
          </w:p>
        </w:tc>
        <w:tc>
          <w:tcPr>
            <w:tcW w:w="1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21.4285714%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21.4285714%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1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17.8571429%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RBS Citizens, N.A.</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14.2857143%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140,000,000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Detroit_927531_9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WITNESS </w:t>
      </w:r>
      <w:r>
        <w:rPr>
          <w:rFonts w:ascii="Times New Roman" w:cs="Times New Roman" w:eastAsia="Times New Roman" w:hAnsi="Times New Roman"/>
          <w:sz w:val="18"/>
          <w:szCs w:val="18"/>
          <w:color w:val="auto"/>
        </w:rPr>
        <w:t>the due execution hereof as of the day and year first above written.</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COMERICA BANK,</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 /s/ Michael Stapleton</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Its: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Seventh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(927531)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398145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27" w:right="239" w:bottom="1440" w:gutter="0" w:footer="0" w:header="0"/>
        </w:sectPr>
      </w:pPr>
    </w:p>
    <w:bookmarkStart w:id="15" w:name="page16"/>
    <w:bookmarkEnd w:id="15"/>
    <w:p>
      <w:pPr>
        <w:ind w:left="4160"/>
        <w:spacing w:after="0"/>
        <w:rPr>
          <w:sz w:val="20"/>
          <w:szCs w:val="20"/>
          <w:color w:val="auto"/>
        </w:rPr>
      </w:pPr>
      <w:r>
        <w:rPr>
          <w:rFonts w:ascii="Times New Roman" w:cs="Times New Roman" w:eastAsia="Times New Roman" w:hAnsi="Times New Roman"/>
          <w:sz w:val="18"/>
          <w:szCs w:val="18"/>
          <w:b w:val="1"/>
          <w:bCs w:val="1"/>
          <w:color w:val="auto"/>
        </w:rPr>
        <w:t>CREDIT ACCEPTANCE</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/s/ Douglas W. Busk</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Its: Treasurer</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Seventh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(927531)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4" w:right="239" w:bottom="1440" w:gutter="0" w:footer="0" w:header="0"/>
        </w:sectPr>
      </w:pPr>
    </w:p>
    <w:bookmarkStart w:id="16" w:name="page17"/>
    <w:bookmarkEnd w:id="16"/>
    <w:p>
      <w:pPr>
        <w:ind w:left="4160"/>
        <w:spacing w:after="0"/>
        <w:rPr>
          <w:sz w:val="20"/>
          <w:szCs w:val="20"/>
          <w:color w:val="auto"/>
        </w:rPr>
      </w:pPr>
      <w:r>
        <w:rPr>
          <w:rFonts w:ascii="Times New Roman" w:cs="Times New Roman" w:eastAsia="Times New Roman" w:hAnsi="Times New Roman"/>
          <w:sz w:val="18"/>
          <w:szCs w:val="18"/>
          <w:color w:val="auto"/>
        </w:rPr>
        <w:t>BANKS:</w:t>
      </w:r>
    </w:p>
    <w:p>
      <w:pPr>
        <w:spacing w:after="0" w:line="2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COMERICA BANK</w:t>
      </w:r>
    </w:p>
    <w:p>
      <w:pPr>
        <w:spacing w:after="0" w:line="2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/s/ Michael Stapleton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Seventh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(927531)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17" w:name="page18"/>
    <w:bookmarkEnd w:id="17"/>
    <w:p>
      <w:pPr>
        <w:ind w:left="416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2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/s/ Neil Hilton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Seventh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(927531)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4"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BANK OF MONTREAL</w:t>
      </w:r>
    </w:p>
    <w:p>
      <w:pPr>
        <w:spacing w:after="0" w:line="24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/s/ Michael S. Cameli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Seventh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(927531)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4" w:right="239" w:bottom="1440" w:gutter="0" w:footer="0" w:header="0"/>
        </w:sectPr>
      </w:pPr>
    </w:p>
    <w:bookmarkStart w:id="19" w:name="page20"/>
    <w:bookmarkEnd w:id="19"/>
    <w:p>
      <w:pPr>
        <w:ind w:left="4160"/>
        <w:spacing w:after="0"/>
        <w:rPr>
          <w:sz w:val="20"/>
          <w:szCs w:val="20"/>
          <w:color w:val="auto"/>
        </w:rPr>
      </w:pPr>
      <w:r>
        <w:rPr>
          <w:rFonts w:ascii="Times New Roman" w:cs="Times New Roman" w:eastAsia="Times New Roman" w:hAnsi="Times New Roman"/>
          <w:sz w:val="18"/>
          <w:szCs w:val="18"/>
          <w:b w:val="1"/>
          <w:bCs w:val="1"/>
          <w:color w:val="auto"/>
        </w:rPr>
        <w:t>FIFTH THIRD BANK</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(Eastern Michigan)</w:t>
      </w:r>
    </w:p>
    <w:p>
      <w:pPr>
        <w:spacing w:after="0" w:line="207" w:lineRule="exact"/>
        <w:rPr>
          <w:sz w:val="20"/>
          <w:szCs w:val="20"/>
          <w:color w:val="auto"/>
        </w:rPr>
      </w:pPr>
    </w:p>
    <w:p>
      <w:pPr>
        <w:jc w:val="right"/>
        <w:ind w:right="4340"/>
        <w:spacing w:after="0"/>
        <w:rPr>
          <w:sz w:val="20"/>
          <w:szCs w:val="20"/>
          <w:color w:val="auto"/>
        </w:rPr>
      </w:pPr>
      <w:r>
        <w:rPr>
          <w:rFonts w:ascii="Times New Roman" w:cs="Times New Roman" w:eastAsia="Times New Roman" w:hAnsi="Times New Roman"/>
          <w:sz w:val="18"/>
          <w:szCs w:val="18"/>
          <w:color w:val="auto"/>
        </w:rPr>
        <w:t>By: /s/ John Antonczak</w:t>
      </w:r>
    </w:p>
    <w:p>
      <w:pPr>
        <w:spacing w:after="0" w:line="27" w:lineRule="exact"/>
        <w:rPr>
          <w:sz w:val="20"/>
          <w:szCs w:val="20"/>
          <w:color w:val="auto"/>
        </w:rPr>
      </w:pPr>
    </w:p>
    <w:p>
      <w:pPr>
        <w:jc w:val="right"/>
        <w:ind w:right="4400"/>
        <w:spacing w:after="0"/>
        <w:rPr>
          <w:sz w:val="20"/>
          <w:szCs w:val="20"/>
          <w:color w:val="auto"/>
        </w:rPr>
      </w:pPr>
      <w:r>
        <w:rPr>
          <w:rFonts w:ascii="Times New Roman" w:cs="Times New Roman" w:eastAsia="Times New Roman" w:hAnsi="Times New Roman"/>
          <w:sz w:val="18"/>
          <w:szCs w:val="18"/>
          <w:color w:val="auto"/>
        </w:rPr>
        <w:t>Its: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Seventh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(927531)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4" w:right="239" w:bottom="1440" w:gutter="0" w:footer="0" w:header="0"/>
        </w:sectPr>
      </w:pPr>
    </w:p>
    <w:bookmarkStart w:id="20" w:name="page21"/>
    <w:bookmarkEnd w:id="20"/>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RBS CITIZENS, N.A.</w:t>
      </w:r>
    </w:p>
    <w:p>
      <w:pPr>
        <w:spacing w:after="0" w:line="2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/s/ Michael Dolson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Seventh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(927531)</w:t>
      </w:r>
    </w:p>
    <w:p>
      <w:pPr>
        <w:sectPr>
          <w:pgSz w:w="11900" w:h="16838" w:orient="portrait"/>
          <w:cols w:equalWidth="0" w:num="1">
            <w:col w:w="10220"/>
          </w:cols>
          <w:pgMar w:left="1440" w:top="1144"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Silver Triangle Building</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creditacceptance.com</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June 15, 2009</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Investor Relations: Douglas W. Busk</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IR@creditacceptance.com</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NASDAQ Symbol: CACC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ACCEPTANCE ANNOUNCES EXTENSION AND MODIFICATION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9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Southfield, Michigan — June 15, 2009 — Credit Acceptance Corporation (NASDAQ: CACC) </w:t>
      </w:r>
      <w:r>
        <w:rPr>
          <w:rFonts w:ascii="Times New Roman" w:cs="Times New Roman" w:eastAsia="Times New Roman" w:hAnsi="Times New Roman"/>
          <w:sz w:val="18"/>
          <w:szCs w:val="18"/>
          <w:color w:val="auto"/>
        </w:rPr>
        <w:t>(the “Company”) announced today that it has extended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maturity of its credit facility with a commercial bank syndicate from June 22, 2010 to June 23, 2011. The amount of the facility was reduced from $153.5 million to $140.0 million.</w:t>
      </w:r>
    </w:p>
    <w:p>
      <w:pPr>
        <w:spacing w:after="0" w:line="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interest rate on borrowings under the facility has been increased from the prime rate minus 0.60% or 1.25% over the Eurodollar rate, at the Company’s option to the prime rate plus 1.0% or 2.75% over the Eurodollar rate, at the Company’s option. The Eurodollar rate is subject to a floor of 1.50%. In addition, certain financial covenants were modified as follows:</w:t>
      </w:r>
    </w:p>
    <w:p>
      <w:pPr>
        <w:spacing w:after="0" w:line="68" w:lineRule="exact"/>
        <w:rPr>
          <w:sz w:val="20"/>
          <w:szCs w:val="20"/>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maximum Funded Debt to Tangible Net Worth ratio was reduced from 4.0 to 1.0 to a ratio of 3.25 to 1.0</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minimum Fixed Charge Coverage ratio was increased from 1.75 to 1.0 to a ratio of 2.0 to 1.0</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minimum Asset Coverage Ratio was increased from 1.0 to 1.0 to a ratio of 1.1 to 1.0</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credit facility continues to be secured by a lien on most of the Company’s assets. As of June 15, 2009 the Company had $107.6 million outstanding under the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Credit Acceptance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1972, Credit Acceptance has provided auto loans to consumers, regardless of their credit history. Our product is offered through a nationwide network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automobile dealers who benefit from sales of vehicles to consumers who otherwise could not obtain financing; from repeat and referral sales generated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same customers; and from sales to customers responding to advertisements for our product, but who actually end up qualifying for traditional financing.</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Without our product consumers may be unable to purchase a vehicle, they may purchase an unreliable one, or they may not have the opportunity to improve their credit standing. As we report to the three national credit reporting agencies, a significant number of our customers improve their lives by improving their credit score and move on to more traditional sources of financing. Credit Acceptance is publicly traded on the NASDAQ under the symbol CACC. For more information, visit </w:t>
      </w:r>
      <w:r>
        <w:rPr>
          <w:rFonts w:ascii="Times New Roman" w:cs="Times New Roman" w:eastAsia="Times New Roman" w:hAnsi="Times New Roman"/>
          <w:sz w:val="18"/>
          <w:szCs w:val="18"/>
          <w:u w:val="single" w:color="auto"/>
          <w:color w:val="auto"/>
        </w:rPr>
        <w:t>creditacceptance.com</w:t>
      </w:r>
      <w:r>
        <w:rPr>
          <w:rFonts w:ascii="Times New Roman" w:cs="Times New Roman" w:eastAsia="Times New Roman" w:hAnsi="Times New Roman"/>
          <w:sz w:val="18"/>
          <w:szCs w:val="18"/>
          <w:color w:val="auto"/>
        </w:rPr>
        <w: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lowerLetter"/>
      <w:start w:val="1"/>
    </w:lvl>
    <w:lvl w:ilvl="1">
      <w:lvlJc w:val="left"/>
      <w:lvlText w:val="•"/>
      <w:numFmt w:val="bullet"/>
      <w:start w:val="1"/>
    </w:lvl>
  </w:abstractNum>
  <w:abstractNum w:abstractNumId="2">
    <w:nsid w:val="515F007C"/>
    <w:multiLevelType w:val="hybridMultilevel"/>
    <w:lvl w:ilvl="0">
      <w:lvlJc w:val="left"/>
      <w:lvlText w:val="%1."/>
      <w:numFmt w:val="upperLetter"/>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1"/>
      <w:numFmt w:val="decimal"/>
      <w:start w:val="1"/>
    </w:lvl>
    <w:lvl w:ilvl="1">
      <w:lvlJc w:val="left"/>
      <w:lvlText w:val="(%2)"/>
      <w:numFmt w:val="lowerLetter"/>
      <w:start w:val="3"/>
    </w:lvl>
  </w:abstractNum>
  <w:abstractNum w:abstractNumId="5">
    <w:nsid w:val="4DB127F8"/>
    <w:multiLevelType w:val="hybridMultilevel"/>
    <w:lvl w:ilvl="0">
      <w:lvlJc w:val="left"/>
      <w:lvlText w:val="%1."/>
      <w:numFmt w:val="decimal"/>
      <w:start w:val="2"/>
    </w:lvl>
    <w:lvl w:ilvl="1">
      <w:lvlJc w:val="left"/>
      <w:lvlText w:val="(%2)"/>
      <w:numFmt w:val="lowerLetter"/>
      <w:start w:val="1"/>
    </w:lvl>
  </w:abstractNum>
  <w:abstractNum w:abstractNumId="6">
    <w:nsid w:val="216231B"/>
    <w:multiLevelType w:val="hybridMultilevel"/>
    <w:lvl w:ilvl="0">
      <w:lvlJc w:val="left"/>
      <w:lvlText w:val="%1"/>
      <w:numFmt w:val="decimal"/>
      <w:start w:val="1"/>
    </w:lvl>
    <w:lvl w:ilvl="1">
      <w:lvlJc w:val="left"/>
      <w:lvlText w:val="(%2)"/>
      <w:numFmt w:val="lowerLetter"/>
      <w:start w:val="2"/>
    </w:lvl>
  </w:abstractNum>
  <w:abstractNum w:abstractNumId="7">
    <w:nsid w:val="1F16E9E8"/>
    <w:multiLevelType w:val="hybridMultilevel"/>
    <w:lvl w:ilvl="0">
      <w:lvlJc w:val="left"/>
      <w:lvlText w:val="%1."/>
      <w:numFmt w:val="decimal"/>
      <w:start w:val="3"/>
    </w:lvl>
    <w:lvl w:ilvl="1">
      <w:lvlJc w:val="left"/>
      <w:lvlText w:val="(%2)"/>
      <w:numFmt w:val="lowerLetter"/>
      <w:start w:val="1"/>
    </w:lvl>
  </w:abstractNum>
  <w:abstractNum w:abstractNumId="8">
    <w:nsid w:val="1190CDE7"/>
    <w:multiLevelType w:val="hybridMultilevel"/>
    <w:lvl w:ilvl="0">
      <w:lvlJc w:val="left"/>
      <w:lvlText w:val="%1."/>
      <w:numFmt w:val="decimal"/>
      <w:start w:val="4"/>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9"/>
    </w:lvl>
    <w:lvl w:ilvl="1">
      <w:lvlJc w:val="left"/>
      <w:lvlText w:val="(%2)"/>
      <w:numFmt w:val="decimal"/>
      <w:start w:val="1"/>
    </w:lvl>
  </w:abstractNum>
  <w:abstractNum w:abstractNumId="11">
    <w:nsid w:val="3352255A"/>
    <w:multiLevelType w:val="hybridMultilevel"/>
    <w:lvl w:ilvl="0">
      <w:lvlJc w:val="left"/>
      <w:lvlText w:val="%1."/>
      <w:numFmt w:val="decimal"/>
      <w:start w:val="10"/>
    </w:lvl>
  </w:abstractNum>
  <w:abstractNum w:abstractNumId="12">
    <w:nsid w:val="109CF92E"/>
    <w:multiLevelType w:val="hybridMultilevel"/>
    <w:lvl w:ilvl="0">
      <w:lvlJc w:val="left"/>
      <w:lvlText w:val="%1."/>
      <w:numFmt w:val="decimal"/>
      <w:start w:val="13"/>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2019-12-13T22:08:17Z</dcterms:created>
  <dcterms:modified xsi:type="dcterms:W3CDTF">2019-12-13T22:08:17Z</dcterms:modified>
</cp:coreProperties>
</file>