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31, 2008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CREDIT ACCEPTANCE CORPORATION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160" w:type="dxa"/>
            <w:vAlign w:val="bottom"/>
            <w:tcBorders>
              <w:top w:val="single" w:sz="8" w:color="auto"/>
            </w:tcBorders>
            <w:gridSpan w:val="5"/>
          </w:tcPr>
          <w:p>
            <w:pPr>
              <w:jc w:val="center"/>
              <w:ind w:right="400"/>
              <w:spacing w:after="0"/>
              <w:rPr>
                <w:sz w:val="20"/>
                <w:szCs w:val="20"/>
                <w:color w:val="auto"/>
              </w:rPr>
            </w:pPr>
            <w:r>
              <w:rPr>
                <w:rFonts w:ascii="Arial" w:cs="Arial" w:eastAsia="Arial" w:hAnsi="Arial"/>
                <w:sz w:val="18"/>
                <w:szCs w:val="18"/>
                <w:color w:val="auto"/>
                <w:w w:val="90"/>
              </w:rPr>
              <w:t>(Exact name of registrant as specified in its charter)</w:t>
            </w:r>
          </w:p>
        </w:tc>
        <w:tc>
          <w:tcPr>
            <w:tcW w:w="1780" w:type="dxa"/>
            <w:vAlign w:val="bottom"/>
            <w:tcBorders>
              <w:top w:val="single" w:sz="8" w:color="auto"/>
            </w:tcBorders>
          </w:tcPr>
          <w:p>
            <w:pPr>
              <w:spacing w:after="0"/>
              <w:rPr>
                <w:sz w:val="20"/>
                <w:szCs w:val="20"/>
                <w:color w:val="auto"/>
              </w:rPr>
            </w:pPr>
          </w:p>
        </w:tc>
        <w:tc>
          <w:tcPr>
            <w:tcW w:w="1640" w:type="dxa"/>
            <w:vAlign w:val="bottom"/>
          </w:tcPr>
          <w:p>
            <w:pPr>
              <w:spacing w:after="0"/>
              <w:rPr>
                <w:sz w:val="20"/>
                <w:szCs w:val="20"/>
                <w:color w:val="auto"/>
              </w:rPr>
            </w:pPr>
          </w:p>
        </w:tc>
      </w:tr>
      <w:tr>
        <w:trPr>
          <w:trHeight w:val="411"/>
        </w:trPr>
        <w:tc>
          <w:tcPr>
            <w:tcW w:w="3840" w:type="dxa"/>
            <w:vAlign w:val="bottom"/>
            <w:gridSpan w:val="3"/>
          </w:tcPr>
          <w:p>
            <w:pPr>
              <w:jc w:val="center"/>
              <w:ind w:right="400"/>
              <w:spacing w:after="0"/>
              <w:rPr>
                <w:sz w:val="20"/>
                <w:szCs w:val="20"/>
                <w:color w:val="auto"/>
              </w:rPr>
            </w:pPr>
            <w:r>
              <w:rPr>
                <w:rFonts w:ascii="Arial" w:cs="Arial" w:eastAsia="Arial" w:hAnsi="Arial"/>
                <w:sz w:val="18"/>
                <w:szCs w:val="18"/>
                <w:color w:val="auto"/>
                <w:w w:val="94"/>
              </w:rPr>
              <w:t>Michigan</w:t>
            </w:r>
          </w:p>
        </w:tc>
        <w:tc>
          <w:tcPr>
            <w:tcW w:w="3600" w:type="dxa"/>
            <w:vAlign w:val="bottom"/>
            <w:gridSpan w:val="4"/>
          </w:tcPr>
          <w:p>
            <w:pPr>
              <w:jc w:val="center"/>
              <w:ind w:left="90"/>
              <w:spacing w:after="0"/>
              <w:rPr>
                <w:sz w:val="20"/>
                <w:szCs w:val="20"/>
                <w:color w:val="auto"/>
              </w:rPr>
            </w:pPr>
            <w:r>
              <w:rPr>
                <w:rFonts w:ascii="Arial" w:cs="Arial" w:eastAsia="Arial" w:hAnsi="Arial"/>
                <w:sz w:val="18"/>
                <w:szCs w:val="18"/>
                <w:color w:val="auto"/>
                <w:w w:val="90"/>
              </w:rPr>
              <w:t>000-20202</w:t>
            </w:r>
          </w:p>
        </w:tc>
        <w:tc>
          <w:tcPr>
            <w:tcW w:w="560" w:type="dxa"/>
            <w:vAlign w:val="bottom"/>
          </w:tcPr>
          <w:p>
            <w:pPr>
              <w:spacing w:after="0"/>
              <w:rPr>
                <w:sz w:val="24"/>
                <w:szCs w:val="24"/>
                <w:color w:val="auto"/>
              </w:rPr>
            </w:pPr>
          </w:p>
        </w:tc>
        <w:tc>
          <w:tcPr>
            <w:tcW w:w="3420" w:type="dxa"/>
            <w:vAlign w:val="bottom"/>
            <w:gridSpan w:val="2"/>
          </w:tcPr>
          <w:p>
            <w:pPr>
              <w:jc w:val="center"/>
              <w:spacing w:after="0"/>
              <w:rPr>
                <w:sz w:val="20"/>
                <w:szCs w:val="20"/>
                <w:color w:val="auto"/>
              </w:rPr>
            </w:pPr>
            <w:r>
              <w:rPr>
                <w:rFonts w:ascii="Arial" w:cs="Arial" w:eastAsia="Arial" w:hAnsi="Arial"/>
                <w:sz w:val="18"/>
                <w:szCs w:val="18"/>
                <w:color w:val="auto"/>
                <w:w w:val="89"/>
              </w:rPr>
              <w:t>38-1999511</w:t>
            </w:r>
          </w:p>
        </w:tc>
      </w:tr>
      <w:tr>
        <w:trPr>
          <w:trHeight w:val="209"/>
        </w:trPr>
        <w:tc>
          <w:tcPr>
            <w:tcW w:w="34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3"/>
              </w:rPr>
              <w:t>(Commission</w:t>
            </w:r>
          </w:p>
        </w:tc>
        <w:tc>
          <w:tcPr>
            <w:tcW w:w="560" w:type="dxa"/>
            <w:vAlign w:val="bottom"/>
          </w:tcPr>
          <w:p>
            <w:pPr>
              <w:spacing w:after="0"/>
              <w:rPr>
                <w:sz w:val="18"/>
                <w:szCs w:val="18"/>
                <w:color w:val="auto"/>
              </w:rPr>
            </w:pPr>
          </w:p>
        </w:tc>
        <w:tc>
          <w:tcPr>
            <w:tcW w:w="3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3840" w:type="dxa"/>
            <w:vAlign w:val="bottom"/>
            <w:gridSpan w:val="3"/>
          </w:tcPr>
          <w:p>
            <w:pPr>
              <w:jc w:val="center"/>
              <w:ind w:right="380"/>
              <w:spacing w:after="0"/>
              <w:rPr>
                <w:sz w:val="20"/>
                <w:szCs w:val="20"/>
                <w:color w:val="auto"/>
              </w:rPr>
            </w:pPr>
            <w:r>
              <w:rPr>
                <w:rFonts w:ascii="Arial" w:cs="Arial" w:eastAsia="Arial" w:hAnsi="Arial"/>
                <w:sz w:val="18"/>
                <w:szCs w:val="18"/>
                <w:color w:val="auto"/>
                <w:w w:val="93"/>
              </w:rPr>
              <w:t>of incorporation)</w:t>
            </w:r>
          </w:p>
        </w:tc>
        <w:tc>
          <w:tcPr>
            <w:tcW w:w="180" w:type="dxa"/>
            <w:vAlign w:val="bottom"/>
          </w:tcPr>
          <w:p>
            <w:pPr>
              <w:spacing w:after="0"/>
              <w:rPr>
                <w:sz w:val="20"/>
                <w:szCs w:val="20"/>
                <w:color w:val="auto"/>
              </w:rPr>
            </w:pPr>
          </w:p>
        </w:tc>
        <w:tc>
          <w:tcPr>
            <w:tcW w:w="3980" w:type="dxa"/>
            <w:vAlign w:val="bottom"/>
            <w:gridSpan w:val="4"/>
          </w:tcPr>
          <w:p>
            <w:pPr>
              <w:jc w:val="center"/>
              <w:ind w:right="560"/>
              <w:spacing w:after="0"/>
              <w:rPr>
                <w:sz w:val="20"/>
                <w:szCs w:val="20"/>
                <w:color w:val="auto"/>
              </w:rPr>
            </w:pPr>
            <w:r>
              <w:rPr>
                <w:rFonts w:ascii="Arial" w:cs="Arial" w:eastAsia="Arial" w:hAnsi="Arial"/>
                <w:sz w:val="18"/>
                <w:szCs w:val="18"/>
                <w:color w:val="auto"/>
                <w:w w:val="94"/>
              </w:rPr>
              <w:t>File Number)</w:t>
            </w:r>
          </w:p>
        </w:tc>
        <w:tc>
          <w:tcPr>
            <w:tcW w:w="3420" w:type="dxa"/>
            <w:vAlign w:val="bottom"/>
            <w:gridSpan w:val="2"/>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840" w:type="dxa"/>
            <w:vAlign w:val="bottom"/>
            <w:gridSpan w:val="3"/>
          </w:tcPr>
          <w:p>
            <w:pPr>
              <w:jc w:val="center"/>
              <w:ind w:left="1510"/>
              <w:spacing w:after="0"/>
              <w:rPr>
                <w:sz w:val="20"/>
                <w:szCs w:val="20"/>
                <w:color w:val="auto"/>
              </w:rPr>
            </w:pPr>
            <w:r>
              <w:rPr>
                <w:rFonts w:ascii="Arial" w:cs="Arial" w:eastAsia="Arial" w:hAnsi="Arial"/>
                <w:sz w:val="18"/>
                <w:szCs w:val="18"/>
                <w:color w:val="auto"/>
                <w:w w:val="91"/>
              </w:rPr>
              <w:t>25505 West Twelve Mile Road</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0"/>
        </w:trPr>
        <w:tc>
          <w:tcPr>
            <w:tcW w:w="16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3"/>
              </w:rPr>
              <w:t>Southfield, Michigan</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48034-8339</w:t>
            </w:r>
          </w:p>
        </w:tc>
        <w:tc>
          <w:tcPr>
            <w:tcW w:w="1640" w:type="dxa"/>
            <w:vAlign w:val="bottom"/>
            <w:tcBorders>
              <w:bottom w:val="single" w:sz="8" w:color="auto"/>
            </w:tcBorders>
          </w:tcPr>
          <w:p>
            <w:pPr>
              <w:spacing w:after="0"/>
              <w:rPr>
                <w:sz w:val="20"/>
                <w:szCs w:val="20"/>
                <w:color w:val="auto"/>
              </w:rPr>
            </w:pPr>
          </w:p>
        </w:tc>
      </w:tr>
      <w:tr>
        <w:trPr>
          <w:trHeight w:val="224"/>
        </w:trPr>
        <w:tc>
          <w:tcPr>
            <w:tcW w:w="5420" w:type="dxa"/>
            <w:vAlign w:val="bottom"/>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2000" w:type="dxa"/>
            <w:vAlign w:val="bottom"/>
            <w:gridSpan w:val="2"/>
          </w:tcPr>
          <w:p>
            <w:pPr>
              <w:spacing w:after="0"/>
              <w:rPr>
                <w:sz w:val="19"/>
                <w:szCs w:val="19"/>
                <w:color w:val="auto"/>
              </w:rPr>
            </w:pPr>
          </w:p>
        </w:tc>
        <w:tc>
          <w:tcPr>
            <w:tcW w:w="3420" w:type="dxa"/>
            <w:vAlign w:val="bottom"/>
            <w:gridSpan w:val="2"/>
          </w:tcPr>
          <w:p>
            <w:pPr>
              <w:jc w:val="center"/>
              <w:ind w:right="2020"/>
              <w:spacing w:after="0"/>
              <w:rPr>
                <w:sz w:val="20"/>
                <w:szCs w:val="20"/>
                <w:color w:val="auto"/>
              </w:rPr>
            </w:pPr>
            <w:r>
              <w:rPr>
                <w:rFonts w:ascii="Arial" w:cs="Arial" w:eastAsia="Arial" w:hAnsi="Arial"/>
                <w:sz w:val="18"/>
                <w:szCs w:val="18"/>
                <w:color w:val="auto"/>
                <w:w w:val="94"/>
              </w:rPr>
              <w:t>(Zip Code)</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248-353-2700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-130810</wp:posOffset>
            </wp:positionV>
            <wp:extent cx="2735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2.02. Results of Operations and Financial Condition</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October 31, 2008, Credit Acceptance Corporation (the “Company”), issued a press release announcing its financial results for the three and nine month periods ended September 30, 2008. The press release is attached as Exhibit 99.1 to this Form 8-K and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41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CREDIT ACCEPTANCE CORPORATION</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By: /s/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14605</wp:posOffset>
            </wp:positionV>
            <wp:extent cx="25641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Kenneth S. Booth</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November 4, 2008</w:t>
      </w:r>
    </w:p>
    <w:p>
      <w:pPr>
        <w:sectPr>
          <w:pgSz w:w="11900" w:h="16838" w:orient="portrait"/>
          <w:cols w:equalWidth="0" w:num="1">
            <w:col w:w="11220"/>
          </w:cols>
          <w:pgMar w:left="240" w:top="419"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Silver Triangle Building</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25505 West Twelve Mile Road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Southfield, MI 48034-8339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creditacceptance.com</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NEWS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 October 31, 2008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Investor Relations: Douglas W. Busk</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Treasurer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 Ext. 4432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IR@creditacceptance.com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NASDAQ Symbol: CACC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ANNOUNCES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2008 EARNINGS</w:t>
      </w:r>
    </w:p>
    <w:p>
      <w:pPr>
        <w:spacing w:after="0" w:line="99"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 xml:space="preserve">Southfield, Michigan — October 31, 2008 — Credit Acceptance Corporation (NASDAQ: CACC) </w:t>
      </w:r>
      <w:r>
        <w:rPr>
          <w:rFonts w:ascii="Arial" w:cs="Arial" w:eastAsia="Arial" w:hAnsi="Arial"/>
          <w:sz w:val="16"/>
          <w:szCs w:val="16"/>
          <w:color w:val="auto"/>
        </w:rPr>
        <w:t>(referred to as the “Company”, “we”, “our”, or “us”)</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consolidated net income of $20.7 million, or $0.67 per diluted share, for the three months ended September 30, 2008 compared to consolidated net income of $14.7 million, or $0.47 per diluted share, for the same period in 2007. For the nine months ended September 30, 2008 consolidated net income was $48.6 million, or $1.57 per diluted share, compared to consolidated net income of $42.4 million, or $1.36 per diluted share, for the same period in 2007.</w:t>
      </w:r>
    </w:p>
    <w:p>
      <w:pPr>
        <w:spacing w:after="0" w:line="4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Adjusted net income, a non-GAAP financial measure, for the three months ended September 30, 2008 was $22.3 million, or $0.72 per diluted share, compared to $15.8 million, or $0.51 per diluted share, for the same period in 2007. For the nine months ended September 30, 2008 adjusted net income was $59.2 million, or $1.91 per diluted share, compared to adjusted net income of $46.8 million, or $1.50 per diluted share, for the same period in 2007.</w:t>
      </w:r>
    </w:p>
    <w:p>
      <w:pPr>
        <w:spacing w:after="0" w:line="3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Refer to our Form 10-Q, filed today with the Securities and Exchange Commission and included on our website at creditacceptance.com, for a complete discussion of the results of operations and financial data for the three and nine months ended September 30,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Results for the three and nine months ended September 30, 2008, compared to the same periods in 2007, include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220" w:type="dxa"/>
            <w:vAlign w:val="bottom"/>
            <w:tcBorders>
              <w:bottom w:val="single" w:sz="8" w:color="auto"/>
            </w:tcBorders>
            <w:gridSpan w:val="3"/>
          </w:tcPr>
          <w:p>
            <w:pPr>
              <w:jc w:val="right"/>
              <w:ind w:right="1211"/>
              <w:spacing w:after="0"/>
              <w:rPr>
                <w:sz w:val="20"/>
                <w:szCs w:val="20"/>
                <w:color w:val="auto"/>
              </w:rPr>
            </w:pPr>
            <w:r>
              <w:rPr>
                <w:rFonts w:ascii="Arial" w:cs="Arial" w:eastAsia="Arial" w:hAnsi="Arial"/>
                <w:sz w:val="14"/>
                <w:szCs w:val="14"/>
                <w:b w:val="1"/>
                <w:bCs w:val="1"/>
                <w:color w:val="auto"/>
              </w:rPr>
              <w:t>% Change</w:t>
            </w:r>
          </w:p>
        </w:tc>
      </w:tr>
      <w:tr>
        <w:trPr>
          <w:trHeight w:val="119"/>
        </w:trPr>
        <w:tc>
          <w:tcPr>
            <w:tcW w:w="42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3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Three Months Ended</w:t>
            </w:r>
          </w:p>
        </w:tc>
        <w:tc>
          <w:tcPr>
            <w:tcW w:w="500" w:type="dxa"/>
            <w:vAlign w:val="bottom"/>
          </w:tcPr>
          <w:p>
            <w:pPr>
              <w:spacing w:after="0"/>
              <w:rPr>
                <w:sz w:val="10"/>
                <w:szCs w:val="10"/>
                <w:color w:val="auto"/>
              </w:rPr>
            </w:pPr>
          </w:p>
        </w:tc>
        <w:tc>
          <w:tcPr>
            <w:tcW w:w="13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Nine Months Ended</w:t>
            </w:r>
          </w:p>
        </w:tc>
      </w:tr>
      <w:tr>
        <w:trPr>
          <w:trHeight w:val="171"/>
        </w:trPr>
        <w:tc>
          <w:tcPr>
            <w:tcW w:w="42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96"/>
              </w:rPr>
              <w:t>September 30, 2008</w:t>
            </w:r>
          </w:p>
        </w:tc>
        <w:tc>
          <w:tcPr>
            <w:tcW w:w="500" w:type="dxa"/>
            <w:vAlign w:val="bottom"/>
          </w:tcPr>
          <w:p>
            <w:pPr>
              <w:spacing w:after="0"/>
              <w:rPr>
                <w:sz w:val="14"/>
                <w:szCs w:val="14"/>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6"/>
              </w:rPr>
              <w:t>September 30, 2008</w:t>
            </w: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Consumer loan unit volume</w:t>
            </w:r>
          </w:p>
        </w:tc>
        <w:tc>
          <w:tcPr>
            <w:tcW w:w="53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26.9%</w:t>
            </w:r>
          </w:p>
        </w:tc>
        <w:tc>
          <w:tcPr>
            <w:tcW w:w="1860" w:type="dxa"/>
            <w:vAlign w:val="bottom"/>
            <w:gridSpan w:val="2"/>
            <w:shd w:val="clear" w:color="auto" w:fill="CCEEFF"/>
          </w:tcPr>
          <w:p>
            <w:pPr>
              <w:jc w:val="right"/>
              <w:ind w:right="291"/>
              <w:spacing w:after="0"/>
              <w:rPr>
                <w:sz w:val="20"/>
                <w:szCs w:val="20"/>
                <w:color w:val="auto"/>
              </w:rPr>
            </w:pPr>
            <w:r>
              <w:rPr>
                <w:rFonts w:ascii="Arial" w:cs="Arial" w:eastAsia="Arial" w:hAnsi="Arial"/>
                <w:sz w:val="18"/>
                <w:szCs w:val="18"/>
                <w:color w:val="auto"/>
              </w:rPr>
              <w:t>22.0%</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Consumer loan dollar volume</w:t>
            </w:r>
          </w:p>
        </w:tc>
        <w:tc>
          <w:tcPr>
            <w:tcW w:w="5360" w:type="dxa"/>
            <w:vAlign w:val="bottom"/>
            <w:gridSpan w:val="2"/>
          </w:tcPr>
          <w:p>
            <w:pPr>
              <w:jc w:val="right"/>
              <w:ind w:right="290"/>
              <w:spacing w:after="0"/>
              <w:rPr>
                <w:sz w:val="20"/>
                <w:szCs w:val="20"/>
                <w:color w:val="auto"/>
              </w:rPr>
            </w:pPr>
            <w:r>
              <w:rPr>
                <w:rFonts w:ascii="Arial" w:cs="Arial" w:eastAsia="Arial" w:hAnsi="Arial"/>
                <w:sz w:val="18"/>
                <w:szCs w:val="18"/>
                <w:color w:val="auto"/>
              </w:rPr>
              <w:t>27.5%</w:t>
            </w:r>
          </w:p>
        </w:tc>
        <w:tc>
          <w:tcPr>
            <w:tcW w:w="1860" w:type="dxa"/>
            <w:vAlign w:val="bottom"/>
            <w:gridSpan w:val="2"/>
          </w:tcPr>
          <w:p>
            <w:pPr>
              <w:jc w:val="right"/>
              <w:ind w:right="291"/>
              <w:spacing w:after="0"/>
              <w:rPr>
                <w:sz w:val="20"/>
                <w:szCs w:val="20"/>
                <w:color w:val="auto"/>
              </w:rPr>
            </w:pPr>
            <w:r>
              <w:rPr>
                <w:rFonts w:ascii="Arial" w:cs="Arial" w:eastAsia="Arial" w:hAnsi="Arial"/>
                <w:sz w:val="18"/>
                <w:szCs w:val="18"/>
                <w:color w:val="auto"/>
              </w:rPr>
              <w:t>32.0%</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Number of active dealer-partners</w:t>
            </w:r>
          </w:p>
        </w:tc>
        <w:tc>
          <w:tcPr>
            <w:tcW w:w="53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16.2%</w:t>
            </w:r>
          </w:p>
        </w:tc>
        <w:tc>
          <w:tcPr>
            <w:tcW w:w="1860" w:type="dxa"/>
            <w:vAlign w:val="bottom"/>
            <w:gridSpan w:val="2"/>
            <w:shd w:val="clear" w:color="auto" w:fill="CCEEFF"/>
          </w:tcPr>
          <w:p>
            <w:pPr>
              <w:jc w:val="right"/>
              <w:ind w:right="291"/>
              <w:spacing w:after="0"/>
              <w:rPr>
                <w:sz w:val="20"/>
                <w:szCs w:val="20"/>
                <w:color w:val="auto"/>
              </w:rPr>
            </w:pPr>
            <w:r>
              <w:rPr>
                <w:rFonts w:ascii="Arial" w:cs="Arial" w:eastAsia="Arial" w:hAnsi="Arial"/>
                <w:sz w:val="18"/>
                <w:szCs w:val="18"/>
                <w:color w:val="auto"/>
              </w:rPr>
              <w:t>19.2%</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Average loans receivable balance, net</w:t>
            </w:r>
          </w:p>
        </w:tc>
        <w:tc>
          <w:tcPr>
            <w:tcW w:w="5360" w:type="dxa"/>
            <w:vAlign w:val="bottom"/>
            <w:gridSpan w:val="2"/>
          </w:tcPr>
          <w:p>
            <w:pPr>
              <w:jc w:val="right"/>
              <w:ind w:right="290"/>
              <w:spacing w:after="0"/>
              <w:rPr>
                <w:sz w:val="20"/>
                <w:szCs w:val="20"/>
                <w:color w:val="auto"/>
              </w:rPr>
            </w:pPr>
            <w:r>
              <w:rPr>
                <w:rFonts w:ascii="Arial" w:cs="Arial" w:eastAsia="Arial" w:hAnsi="Arial"/>
                <w:sz w:val="18"/>
                <w:szCs w:val="18"/>
                <w:color w:val="auto"/>
              </w:rPr>
              <w:t>37.7%</w:t>
            </w:r>
          </w:p>
        </w:tc>
        <w:tc>
          <w:tcPr>
            <w:tcW w:w="1860" w:type="dxa"/>
            <w:vAlign w:val="bottom"/>
            <w:gridSpan w:val="2"/>
          </w:tcPr>
          <w:p>
            <w:pPr>
              <w:jc w:val="right"/>
              <w:ind w:right="291"/>
              <w:spacing w:after="0"/>
              <w:rPr>
                <w:sz w:val="20"/>
                <w:szCs w:val="20"/>
                <w:color w:val="auto"/>
              </w:rPr>
            </w:pPr>
            <w:r>
              <w:rPr>
                <w:rFonts w:ascii="Arial" w:cs="Arial" w:eastAsia="Arial" w:hAnsi="Arial"/>
                <w:sz w:val="18"/>
                <w:szCs w:val="18"/>
                <w:color w:val="auto"/>
              </w:rPr>
              <w:t>35.0%</w:t>
            </w:r>
          </w:p>
        </w:tc>
      </w:tr>
      <w:tr>
        <w:trPr>
          <w:trHeight w:val="377"/>
        </w:trPr>
        <w:tc>
          <w:tcPr>
            <w:tcW w:w="4200" w:type="dxa"/>
            <w:vAlign w:val="bottom"/>
          </w:tcPr>
          <w:p>
            <w:pPr>
              <w:spacing w:after="0"/>
              <w:rPr>
                <w:sz w:val="24"/>
                <w:szCs w:val="24"/>
                <w:color w:val="auto"/>
              </w:rPr>
            </w:pPr>
          </w:p>
        </w:tc>
        <w:tc>
          <w:tcPr>
            <w:tcW w:w="4000" w:type="dxa"/>
            <w:vAlign w:val="bottom"/>
          </w:tcPr>
          <w:p>
            <w:pPr>
              <w:jc w:val="right"/>
              <w:ind w:right="2350"/>
              <w:spacing w:after="0"/>
              <w:rPr>
                <w:sz w:val="20"/>
                <w:szCs w:val="20"/>
                <w:color w:val="auto"/>
              </w:rPr>
            </w:pPr>
            <w:r>
              <w:rPr>
                <w:rFonts w:ascii="Arial" w:cs="Arial" w:eastAsia="Arial" w:hAnsi="Arial"/>
                <w:sz w:val="18"/>
                <w:szCs w:val="18"/>
                <w:color w:val="auto"/>
              </w:rPr>
              <w:t>1</w:t>
            </w: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420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Loan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compares our forecast of consumer loan collection rates as of September 30, 2008, with the forecasts as of June 30, 2008,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 and at the time of assignment, segmented by year of assignment: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Loan Assignment</w:t>
            </w:r>
          </w:p>
        </w:tc>
        <w:tc>
          <w:tcPr>
            <w:tcW w:w="9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Forecasted Collection Percentage as of</w:t>
            </w:r>
          </w:p>
        </w:tc>
        <w:tc>
          <w:tcPr>
            <w:tcW w:w="7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520" w:type="dxa"/>
            <w:vAlign w:val="bottom"/>
            <w:tcBorders>
              <w:bottom w:val="single" w:sz="8" w:color="auto"/>
            </w:tcBorders>
            <w:gridSpan w:val="5"/>
          </w:tcPr>
          <w:p>
            <w:pPr>
              <w:jc w:val="right"/>
              <w:ind w:right="131"/>
              <w:spacing w:after="0"/>
              <w:rPr>
                <w:sz w:val="20"/>
                <w:szCs w:val="20"/>
                <w:color w:val="auto"/>
              </w:rPr>
            </w:pPr>
            <w:r>
              <w:rPr>
                <w:rFonts w:ascii="Arial" w:cs="Arial" w:eastAsia="Arial" w:hAnsi="Arial"/>
                <w:sz w:val="14"/>
                <w:szCs w:val="14"/>
                <w:b w:val="1"/>
                <w:bCs w:val="1"/>
                <w:color w:val="auto"/>
                <w:w w:val="97"/>
              </w:rPr>
              <w:t>Variance in Forecasted Collection Percentage from</w:t>
            </w:r>
          </w:p>
        </w:tc>
        <w:tc>
          <w:tcPr>
            <w:tcW w:w="0" w:type="dxa"/>
            <w:vAlign w:val="bottom"/>
          </w:tcPr>
          <w:p>
            <w:pPr>
              <w:spacing w:after="0"/>
              <w:rPr>
                <w:sz w:val="1"/>
                <w:szCs w:val="1"/>
                <w:color w:val="auto"/>
              </w:rPr>
            </w:pPr>
          </w:p>
        </w:tc>
      </w:tr>
      <w:tr>
        <w:trPr>
          <w:trHeight w:val="119"/>
        </w:trPr>
        <w:tc>
          <w:tcPr>
            <w:tcW w:w="2920" w:type="dxa"/>
            <w:vAlign w:val="bottom"/>
            <w:gridSpan w:val="2"/>
            <w:vMerge w:val="continue"/>
          </w:tcPr>
          <w:p>
            <w:pPr>
              <w:spacing w:after="0"/>
              <w:rPr>
                <w:sz w:val="10"/>
                <w:szCs w:val="10"/>
                <w:color w:val="auto"/>
              </w:rPr>
            </w:pPr>
          </w:p>
        </w:tc>
        <w:tc>
          <w:tcPr>
            <w:tcW w:w="900" w:type="dxa"/>
            <w:vAlign w:val="bottom"/>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420" w:type="dxa"/>
            <w:vAlign w:val="bottom"/>
          </w:tcPr>
          <w:p>
            <w:pPr>
              <w:spacing w:after="0"/>
              <w:rPr>
                <w:sz w:val="10"/>
                <w:szCs w:val="10"/>
                <w:color w:val="auto"/>
              </w:rPr>
            </w:pPr>
          </w:p>
        </w:tc>
        <w:tc>
          <w:tcPr>
            <w:tcW w:w="78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June 30,</w:t>
            </w:r>
          </w:p>
        </w:tc>
        <w:tc>
          <w:tcPr>
            <w:tcW w:w="420" w:type="dxa"/>
            <w:vAlign w:val="bottom"/>
          </w:tcPr>
          <w:p>
            <w:pPr>
              <w:spacing w:after="0"/>
              <w:rPr>
                <w:sz w:val="10"/>
                <w:szCs w:val="10"/>
                <w:color w:val="auto"/>
              </w:rPr>
            </w:pPr>
          </w:p>
        </w:tc>
        <w:tc>
          <w:tcPr>
            <w:tcW w:w="12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Initial</w:t>
            </w:r>
          </w:p>
        </w:tc>
        <w:tc>
          <w:tcPr>
            <w:tcW w:w="420" w:type="dxa"/>
            <w:vAlign w:val="bottom"/>
          </w:tcPr>
          <w:p>
            <w:pPr>
              <w:spacing w:after="0"/>
              <w:rPr>
                <w:sz w:val="10"/>
                <w:szCs w:val="10"/>
                <w:color w:val="auto"/>
              </w:rPr>
            </w:pPr>
          </w:p>
        </w:tc>
        <w:tc>
          <w:tcPr>
            <w:tcW w:w="800" w:type="dxa"/>
            <w:vAlign w:val="bottom"/>
          </w:tcPr>
          <w:p>
            <w:pPr>
              <w:ind w:left="160"/>
              <w:spacing w:after="0" w:line="119" w:lineRule="exact"/>
              <w:rPr>
                <w:sz w:val="20"/>
                <w:szCs w:val="20"/>
                <w:color w:val="auto"/>
              </w:rPr>
            </w:pPr>
            <w:r>
              <w:rPr>
                <w:rFonts w:ascii="Arial" w:cs="Arial" w:eastAsia="Arial" w:hAnsi="Arial"/>
                <w:sz w:val="13"/>
                <w:szCs w:val="13"/>
                <w:b w:val="1"/>
                <w:bCs w:val="1"/>
                <w:color w:val="auto"/>
              </w:rPr>
              <w:t>June 30,</w:t>
            </w:r>
          </w:p>
        </w:tc>
        <w:tc>
          <w:tcPr>
            <w:tcW w:w="460" w:type="dxa"/>
            <w:vAlign w:val="bottom"/>
          </w:tcPr>
          <w:p>
            <w:pPr>
              <w:spacing w:after="0"/>
              <w:rPr>
                <w:sz w:val="10"/>
                <w:szCs w:val="10"/>
                <w:color w:val="auto"/>
              </w:rPr>
            </w:pPr>
          </w:p>
        </w:tc>
        <w:tc>
          <w:tcPr>
            <w:tcW w:w="840" w:type="dxa"/>
            <w:vAlign w:val="bottom"/>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440" w:type="dxa"/>
            <w:vAlign w:val="bottom"/>
          </w:tcPr>
          <w:p>
            <w:pPr>
              <w:spacing w:after="0"/>
              <w:rPr>
                <w:sz w:val="10"/>
                <w:szCs w:val="10"/>
                <w:color w:val="auto"/>
              </w:rPr>
            </w:pPr>
          </w:p>
        </w:tc>
        <w:tc>
          <w:tcPr>
            <w:tcW w:w="980" w:type="dxa"/>
            <w:vAlign w:val="bottom"/>
          </w:tcPr>
          <w:p>
            <w:pPr>
              <w:jc w:val="right"/>
              <w:ind w:right="231"/>
              <w:spacing w:after="0" w:line="119" w:lineRule="exact"/>
              <w:rPr>
                <w:sz w:val="20"/>
                <w:szCs w:val="20"/>
                <w:color w:val="auto"/>
              </w:rPr>
            </w:pPr>
            <w:r>
              <w:rPr>
                <w:rFonts w:ascii="Arial" w:cs="Arial" w:eastAsia="Arial" w:hAnsi="Arial"/>
                <w:sz w:val="13"/>
                <w:szCs w:val="13"/>
                <w:b w:val="1"/>
                <w:bCs w:val="1"/>
                <w:color w:val="auto"/>
              </w:rPr>
              <w:t>Initial</w:t>
            </w:r>
          </w:p>
        </w:tc>
        <w:tc>
          <w:tcPr>
            <w:tcW w:w="0" w:type="dxa"/>
            <w:vAlign w:val="bottom"/>
          </w:tcPr>
          <w:p>
            <w:pPr>
              <w:spacing w:after="0"/>
              <w:rPr>
                <w:sz w:val="1"/>
                <w:szCs w:val="1"/>
                <w:color w:val="auto"/>
              </w:rPr>
            </w:pPr>
          </w:p>
        </w:tc>
      </w:tr>
      <w:tr>
        <w:trPr>
          <w:trHeight w:val="171"/>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4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2008</w:t>
            </w:r>
          </w:p>
        </w:tc>
        <w:tc>
          <w:tcPr>
            <w:tcW w:w="4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2008</w:t>
            </w:r>
          </w:p>
        </w:tc>
        <w:tc>
          <w:tcPr>
            <w:tcW w:w="4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2007 (1)</w:t>
            </w:r>
          </w:p>
        </w:tc>
        <w:tc>
          <w:tcPr>
            <w:tcW w:w="4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Forecast</w:t>
            </w:r>
          </w:p>
        </w:tc>
        <w:tc>
          <w:tcPr>
            <w:tcW w:w="4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2008</w:t>
            </w:r>
          </w:p>
        </w:tc>
        <w:tc>
          <w:tcPr>
            <w:tcW w:w="4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440" w:type="dxa"/>
            <w:vAlign w:val="bottom"/>
          </w:tcPr>
          <w:p>
            <w:pPr>
              <w:spacing w:after="0"/>
              <w:rPr>
                <w:sz w:val="14"/>
                <w:szCs w:val="14"/>
                <w:color w:val="auto"/>
              </w:rPr>
            </w:pPr>
          </w:p>
        </w:tc>
        <w:tc>
          <w:tcPr>
            <w:tcW w:w="9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Forecast</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1999</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72.1%</w:t>
            </w:r>
          </w:p>
        </w:tc>
        <w:tc>
          <w:tcPr>
            <w:tcW w:w="12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90"/>
              </w:rPr>
              <w:t>72.1%</w:t>
            </w:r>
          </w:p>
        </w:tc>
        <w:tc>
          <w:tcPr>
            <w:tcW w:w="126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72.0%</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73.6%</w:t>
            </w:r>
          </w:p>
        </w:tc>
        <w:tc>
          <w:tcPr>
            <w:tcW w:w="122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2"/>
              </w:rPr>
              <w:t>0.0%</w:t>
            </w:r>
          </w:p>
        </w:tc>
        <w:tc>
          <w:tcPr>
            <w:tcW w:w="13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2"/>
              </w:rPr>
              <w:t>0.1%</w:t>
            </w:r>
          </w:p>
        </w:tc>
        <w:tc>
          <w:tcPr>
            <w:tcW w:w="142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50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4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72.5%</w:t>
            </w:r>
          </w:p>
        </w:tc>
        <w:tc>
          <w:tcPr>
            <w:tcW w:w="1200" w:type="dxa"/>
            <w:vAlign w:val="bottom"/>
            <w:gridSpan w:val="2"/>
          </w:tcPr>
          <w:p>
            <w:pPr>
              <w:jc w:val="center"/>
              <w:ind w:left="332"/>
              <w:spacing w:after="0"/>
              <w:rPr>
                <w:sz w:val="20"/>
                <w:szCs w:val="20"/>
                <w:color w:val="auto"/>
              </w:rPr>
            </w:pPr>
            <w:r>
              <w:rPr>
                <w:rFonts w:ascii="Arial" w:cs="Arial" w:eastAsia="Arial" w:hAnsi="Arial"/>
                <w:sz w:val="18"/>
                <w:szCs w:val="18"/>
                <w:color w:val="auto"/>
                <w:w w:val="90"/>
              </w:rPr>
              <w:t>72.5%</w:t>
            </w:r>
          </w:p>
        </w:tc>
        <w:tc>
          <w:tcPr>
            <w:tcW w:w="126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72.4%</w:t>
            </w:r>
          </w:p>
        </w:tc>
        <w:tc>
          <w:tcPr>
            <w:tcW w:w="4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72.8%</w:t>
            </w:r>
          </w:p>
        </w:tc>
        <w:tc>
          <w:tcPr>
            <w:tcW w:w="1220" w:type="dxa"/>
            <w:vAlign w:val="bottom"/>
            <w:gridSpan w:val="2"/>
          </w:tcPr>
          <w:p>
            <w:pPr>
              <w:jc w:val="center"/>
              <w:ind w:left="350"/>
              <w:spacing w:after="0"/>
              <w:rPr>
                <w:sz w:val="20"/>
                <w:szCs w:val="20"/>
                <w:color w:val="auto"/>
              </w:rPr>
            </w:pPr>
            <w:r>
              <w:rPr>
                <w:rFonts w:ascii="Arial" w:cs="Arial" w:eastAsia="Arial" w:hAnsi="Arial"/>
                <w:sz w:val="18"/>
                <w:szCs w:val="18"/>
                <w:color w:val="auto"/>
                <w:w w:val="92"/>
              </w:rPr>
              <w:t>0.0%</w:t>
            </w:r>
          </w:p>
        </w:tc>
        <w:tc>
          <w:tcPr>
            <w:tcW w:w="1300" w:type="dxa"/>
            <w:vAlign w:val="bottom"/>
            <w:gridSpan w:val="2"/>
          </w:tcPr>
          <w:p>
            <w:pPr>
              <w:jc w:val="center"/>
              <w:ind w:left="350"/>
              <w:spacing w:after="0"/>
              <w:rPr>
                <w:sz w:val="20"/>
                <w:szCs w:val="20"/>
                <w:color w:val="auto"/>
              </w:rPr>
            </w:pPr>
            <w:r>
              <w:rPr>
                <w:rFonts w:ascii="Arial" w:cs="Arial" w:eastAsia="Arial" w:hAnsi="Arial"/>
                <w:sz w:val="18"/>
                <w:szCs w:val="18"/>
                <w:color w:val="auto"/>
                <w:w w:val="92"/>
              </w:rPr>
              <w:t>0.1%</w:t>
            </w:r>
          </w:p>
        </w:tc>
        <w:tc>
          <w:tcPr>
            <w:tcW w:w="1420" w:type="dxa"/>
            <w:vAlign w:val="bottom"/>
            <w:gridSpan w:val="2"/>
          </w:tcPr>
          <w:p>
            <w:pPr>
              <w:jc w:val="right"/>
              <w:ind w:right="1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67.4%</w:t>
            </w:r>
          </w:p>
        </w:tc>
        <w:tc>
          <w:tcPr>
            <w:tcW w:w="12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90"/>
              </w:rPr>
              <w:t>67.4%</w:t>
            </w:r>
          </w:p>
        </w:tc>
        <w:tc>
          <w:tcPr>
            <w:tcW w:w="126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67.3%</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70.4%</w:t>
            </w:r>
          </w:p>
        </w:tc>
        <w:tc>
          <w:tcPr>
            <w:tcW w:w="122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2"/>
              </w:rPr>
              <w:t>0.0%</w:t>
            </w:r>
          </w:p>
        </w:tc>
        <w:tc>
          <w:tcPr>
            <w:tcW w:w="13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2"/>
              </w:rPr>
              <w:t>0.1%</w:t>
            </w:r>
          </w:p>
        </w:tc>
        <w:tc>
          <w:tcPr>
            <w:tcW w:w="142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50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4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70.4%</w:t>
            </w:r>
          </w:p>
        </w:tc>
        <w:tc>
          <w:tcPr>
            <w:tcW w:w="1200" w:type="dxa"/>
            <w:vAlign w:val="bottom"/>
            <w:gridSpan w:val="2"/>
          </w:tcPr>
          <w:p>
            <w:pPr>
              <w:jc w:val="center"/>
              <w:ind w:left="332"/>
              <w:spacing w:after="0"/>
              <w:rPr>
                <w:sz w:val="20"/>
                <w:szCs w:val="20"/>
                <w:color w:val="auto"/>
              </w:rPr>
            </w:pPr>
            <w:r>
              <w:rPr>
                <w:rFonts w:ascii="Arial" w:cs="Arial" w:eastAsia="Arial" w:hAnsi="Arial"/>
                <w:sz w:val="18"/>
                <w:szCs w:val="18"/>
                <w:color w:val="auto"/>
                <w:w w:val="90"/>
              </w:rPr>
              <w:t>70.4%</w:t>
            </w:r>
          </w:p>
        </w:tc>
        <w:tc>
          <w:tcPr>
            <w:tcW w:w="126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70.6%</w:t>
            </w:r>
          </w:p>
        </w:tc>
        <w:tc>
          <w:tcPr>
            <w:tcW w:w="4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67.9%</w:t>
            </w:r>
          </w:p>
        </w:tc>
        <w:tc>
          <w:tcPr>
            <w:tcW w:w="1220" w:type="dxa"/>
            <w:vAlign w:val="bottom"/>
            <w:gridSpan w:val="2"/>
          </w:tcPr>
          <w:p>
            <w:pPr>
              <w:jc w:val="center"/>
              <w:ind w:left="350"/>
              <w:spacing w:after="0"/>
              <w:rPr>
                <w:sz w:val="20"/>
                <w:szCs w:val="20"/>
                <w:color w:val="auto"/>
              </w:rPr>
            </w:pPr>
            <w:r>
              <w:rPr>
                <w:rFonts w:ascii="Arial" w:cs="Arial" w:eastAsia="Arial" w:hAnsi="Arial"/>
                <w:sz w:val="18"/>
                <w:szCs w:val="18"/>
                <w:color w:val="auto"/>
                <w:w w:val="92"/>
              </w:rPr>
              <w:t>0.0%</w:t>
            </w:r>
          </w:p>
        </w:tc>
        <w:tc>
          <w:tcPr>
            <w:tcW w:w="130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-0.2%</w:t>
            </w:r>
          </w:p>
        </w:tc>
        <w:tc>
          <w:tcPr>
            <w:tcW w:w="1420" w:type="dxa"/>
            <w:vAlign w:val="bottom"/>
            <w:gridSpan w:val="2"/>
          </w:tcPr>
          <w:p>
            <w:pPr>
              <w:jc w:val="right"/>
              <w:ind w:right="1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73.9%</w:t>
            </w:r>
          </w:p>
        </w:tc>
        <w:tc>
          <w:tcPr>
            <w:tcW w:w="12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90"/>
              </w:rPr>
              <w:t>74.0%</w:t>
            </w:r>
          </w:p>
        </w:tc>
        <w:tc>
          <w:tcPr>
            <w:tcW w:w="126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74.1%</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72.0%</w:t>
            </w:r>
          </w:p>
        </w:tc>
        <w:tc>
          <w:tcPr>
            <w:tcW w:w="122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3"/>
              </w:rPr>
              <w:t>-0.1%</w:t>
            </w:r>
          </w:p>
        </w:tc>
        <w:tc>
          <w:tcPr>
            <w:tcW w:w="130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3"/>
              </w:rPr>
              <w:t>-0.2%</w:t>
            </w:r>
          </w:p>
        </w:tc>
        <w:tc>
          <w:tcPr>
            <w:tcW w:w="142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50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4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73.5%</w:t>
            </w:r>
          </w:p>
        </w:tc>
        <w:tc>
          <w:tcPr>
            <w:tcW w:w="1200" w:type="dxa"/>
            <w:vAlign w:val="bottom"/>
            <w:gridSpan w:val="2"/>
          </w:tcPr>
          <w:p>
            <w:pPr>
              <w:jc w:val="center"/>
              <w:ind w:left="332"/>
              <w:spacing w:after="0"/>
              <w:rPr>
                <w:sz w:val="20"/>
                <w:szCs w:val="20"/>
                <w:color w:val="auto"/>
              </w:rPr>
            </w:pPr>
            <w:r>
              <w:rPr>
                <w:rFonts w:ascii="Arial" w:cs="Arial" w:eastAsia="Arial" w:hAnsi="Arial"/>
                <w:sz w:val="18"/>
                <w:szCs w:val="18"/>
                <w:color w:val="auto"/>
                <w:w w:val="90"/>
              </w:rPr>
              <w:t>73.5%</w:t>
            </w:r>
          </w:p>
        </w:tc>
        <w:tc>
          <w:tcPr>
            <w:tcW w:w="126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73.5%</w:t>
            </w:r>
          </w:p>
        </w:tc>
        <w:tc>
          <w:tcPr>
            <w:tcW w:w="4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73.0%</w:t>
            </w:r>
          </w:p>
        </w:tc>
        <w:tc>
          <w:tcPr>
            <w:tcW w:w="1220" w:type="dxa"/>
            <w:vAlign w:val="bottom"/>
            <w:gridSpan w:val="2"/>
          </w:tcPr>
          <w:p>
            <w:pPr>
              <w:jc w:val="center"/>
              <w:ind w:left="350"/>
              <w:spacing w:after="0"/>
              <w:rPr>
                <w:sz w:val="20"/>
                <w:szCs w:val="20"/>
                <w:color w:val="auto"/>
              </w:rPr>
            </w:pPr>
            <w:r>
              <w:rPr>
                <w:rFonts w:ascii="Arial" w:cs="Arial" w:eastAsia="Arial" w:hAnsi="Arial"/>
                <w:sz w:val="18"/>
                <w:szCs w:val="18"/>
                <w:color w:val="auto"/>
                <w:w w:val="92"/>
              </w:rPr>
              <w:t>0.0%</w:t>
            </w:r>
          </w:p>
        </w:tc>
        <w:tc>
          <w:tcPr>
            <w:tcW w:w="1300" w:type="dxa"/>
            <w:vAlign w:val="bottom"/>
            <w:gridSpan w:val="2"/>
          </w:tcPr>
          <w:p>
            <w:pPr>
              <w:jc w:val="center"/>
              <w:ind w:left="350"/>
              <w:spacing w:after="0"/>
              <w:rPr>
                <w:sz w:val="20"/>
                <w:szCs w:val="20"/>
                <w:color w:val="auto"/>
              </w:rPr>
            </w:pPr>
            <w:r>
              <w:rPr>
                <w:rFonts w:ascii="Arial" w:cs="Arial" w:eastAsia="Arial" w:hAnsi="Arial"/>
                <w:sz w:val="18"/>
                <w:szCs w:val="18"/>
                <w:color w:val="auto"/>
                <w:w w:val="92"/>
              </w:rPr>
              <w:t>0.0%</w:t>
            </w:r>
          </w:p>
        </w:tc>
        <w:tc>
          <w:tcPr>
            <w:tcW w:w="1420" w:type="dxa"/>
            <w:vAlign w:val="bottom"/>
            <w:gridSpan w:val="2"/>
          </w:tcPr>
          <w:p>
            <w:pPr>
              <w:jc w:val="right"/>
              <w:ind w:right="1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74.1%</w:t>
            </w:r>
          </w:p>
        </w:tc>
        <w:tc>
          <w:tcPr>
            <w:tcW w:w="12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90"/>
              </w:rPr>
              <w:t>74.1%</w:t>
            </w:r>
          </w:p>
        </w:tc>
        <w:tc>
          <w:tcPr>
            <w:tcW w:w="126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73.8%</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74.0%</w:t>
            </w:r>
          </w:p>
        </w:tc>
        <w:tc>
          <w:tcPr>
            <w:tcW w:w="122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2"/>
              </w:rPr>
              <w:t>0.0%</w:t>
            </w:r>
          </w:p>
        </w:tc>
        <w:tc>
          <w:tcPr>
            <w:tcW w:w="13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2"/>
              </w:rPr>
              <w:t>0.3%</w:t>
            </w:r>
          </w:p>
        </w:tc>
        <w:tc>
          <w:tcPr>
            <w:tcW w:w="142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5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4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70.3%</w:t>
            </w:r>
          </w:p>
        </w:tc>
        <w:tc>
          <w:tcPr>
            <w:tcW w:w="1200" w:type="dxa"/>
            <w:vAlign w:val="bottom"/>
            <w:gridSpan w:val="2"/>
          </w:tcPr>
          <w:p>
            <w:pPr>
              <w:jc w:val="center"/>
              <w:ind w:left="332"/>
              <w:spacing w:after="0"/>
              <w:rPr>
                <w:sz w:val="20"/>
                <w:szCs w:val="20"/>
                <w:color w:val="auto"/>
              </w:rPr>
            </w:pPr>
            <w:r>
              <w:rPr>
                <w:rFonts w:ascii="Arial" w:cs="Arial" w:eastAsia="Arial" w:hAnsi="Arial"/>
                <w:sz w:val="18"/>
                <w:szCs w:val="18"/>
                <w:color w:val="auto"/>
                <w:w w:val="90"/>
              </w:rPr>
              <w:t>70.2%</w:t>
            </w:r>
          </w:p>
        </w:tc>
        <w:tc>
          <w:tcPr>
            <w:tcW w:w="126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70.9%</w:t>
            </w:r>
          </w:p>
        </w:tc>
        <w:tc>
          <w:tcPr>
            <w:tcW w:w="4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71.4%</w:t>
            </w:r>
          </w:p>
        </w:tc>
        <w:tc>
          <w:tcPr>
            <w:tcW w:w="1220" w:type="dxa"/>
            <w:vAlign w:val="bottom"/>
            <w:gridSpan w:val="2"/>
          </w:tcPr>
          <w:p>
            <w:pPr>
              <w:jc w:val="center"/>
              <w:ind w:left="350"/>
              <w:spacing w:after="0"/>
              <w:rPr>
                <w:sz w:val="20"/>
                <w:szCs w:val="20"/>
                <w:color w:val="auto"/>
              </w:rPr>
            </w:pPr>
            <w:r>
              <w:rPr>
                <w:rFonts w:ascii="Arial" w:cs="Arial" w:eastAsia="Arial" w:hAnsi="Arial"/>
                <w:sz w:val="18"/>
                <w:szCs w:val="18"/>
                <w:color w:val="auto"/>
                <w:w w:val="92"/>
              </w:rPr>
              <w:t>0.1%</w:t>
            </w:r>
          </w:p>
        </w:tc>
        <w:tc>
          <w:tcPr>
            <w:tcW w:w="130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-0.6%</w:t>
            </w:r>
          </w:p>
        </w:tc>
        <w:tc>
          <w:tcPr>
            <w:tcW w:w="1420" w:type="dxa"/>
            <w:vAlign w:val="bottom"/>
            <w:gridSpan w:val="2"/>
          </w:tcPr>
          <w:p>
            <w:pPr>
              <w:jc w:val="right"/>
              <w:ind w:right="1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68.2%</w:t>
            </w:r>
          </w:p>
        </w:tc>
        <w:tc>
          <w:tcPr>
            <w:tcW w:w="12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90"/>
              </w:rPr>
              <w:t>68.2%</w:t>
            </w:r>
          </w:p>
        </w:tc>
        <w:tc>
          <w:tcPr>
            <w:tcW w:w="126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71.1%</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70.7%</w:t>
            </w:r>
          </w:p>
        </w:tc>
        <w:tc>
          <w:tcPr>
            <w:tcW w:w="122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2"/>
              </w:rPr>
              <w:t>0.0%</w:t>
            </w:r>
          </w:p>
        </w:tc>
        <w:tc>
          <w:tcPr>
            <w:tcW w:w="130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3"/>
              </w:rPr>
              <w:t>-2.9%</w:t>
            </w:r>
          </w:p>
        </w:tc>
        <w:tc>
          <w:tcPr>
            <w:tcW w:w="142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5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4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68.2%</w:t>
            </w:r>
          </w:p>
        </w:tc>
        <w:tc>
          <w:tcPr>
            <w:tcW w:w="1200" w:type="dxa"/>
            <w:vAlign w:val="bottom"/>
            <w:gridSpan w:val="2"/>
          </w:tcPr>
          <w:p>
            <w:pPr>
              <w:jc w:val="center"/>
              <w:ind w:left="332"/>
              <w:spacing w:after="0"/>
              <w:rPr>
                <w:sz w:val="20"/>
                <w:szCs w:val="20"/>
                <w:color w:val="auto"/>
              </w:rPr>
            </w:pPr>
            <w:r>
              <w:rPr>
                <w:rFonts w:ascii="Arial" w:cs="Arial" w:eastAsia="Arial" w:hAnsi="Arial"/>
                <w:sz w:val="18"/>
                <w:szCs w:val="18"/>
                <w:color w:val="auto"/>
                <w:w w:val="90"/>
              </w:rPr>
              <w:t>69.0%</w:t>
            </w:r>
          </w:p>
        </w:tc>
        <w:tc>
          <w:tcPr>
            <w:tcW w:w="42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69.7%</w:t>
            </w:r>
          </w:p>
        </w:tc>
        <w:tc>
          <w:tcPr>
            <w:tcW w:w="1220" w:type="dxa"/>
            <w:vAlign w:val="bottom"/>
            <w:gridSpan w:val="2"/>
          </w:tcPr>
          <w:p>
            <w:pPr>
              <w:jc w:val="center"/>
              <w:ind w:left="330"/>
              <w:spacing w:after="0"/>
              <w:rPr>
                <w:sz w:val="20"/>
                <w:szCs w:val="20"/>
                <w:color w:val="auto"/>
              </w:rPr>
            </w:pPr>
            <w:r>
              <w:rPr>
                <w:rFonts w:ascii="Arial" w:cs="Arial" w:eastAsia="Arial" w:hAnsi="Arial"/>
                <w:sz w:val="18"/>
                <w:szCs w:val="18"/>
                <w:color w:val="auto"/>
                <w:w w:val="93"/>
              </w:rPr>
              <w:t>-0.8%</w:t>
            </w:r>
          </w:p>
        </w:tc>
        <w:tc>
          <w:tcPr>
            <w:tcW w:w="4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200" w:hanging="452"/>
        <w:spacing w:after="0" w:line="26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These forecasted collection percentages differ from those previously reported in our Annual Report on Form 10-K for the year ended December 31, 2007 and our 2007 earnings release as they have been revised for a new methodology for forecasting future collections on loans that we implemented during the first quarter of 2008.</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Both GAAP net income and adjusted net income, for the three and nine months ended September 30, 2008, were negatively impacted by a reduction in our forecasted collection rates during the second quarter of 2008. We forecast future loan cash flows by comparing loans in our current portfolio to historical loans with the same attributes. The attributes include both variables captured at loan origination like credit bureau data, application data, loan data and vehicle data as well as variables captured subsequent to loan origination such as collection and delinquency data. Our forecast as of March 31, 2008 assumed that loans within our current portfolio would produce similar collection rates as produced by historical loans with the same attributes. During the second quarter of 2008, we modified our forecasting methodology, which now assumes that loans originated in 2006, 2007 and 2008 will perform 100 to 300 basis points worse than historical loans with the same attributes.</w:t>
      </w:r>
    </w:p>
    <w:p>
      <w:pPr>
        <w:spacing w:after="0" w:line="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During the third quarter, actual loan performance for 2007 and prior originations was consistent with our revised forecast. As a result, forecasted collection rates on 2007 and prior loans remained consistent with our forecasts for these same loans three months ago. Actual loan performance was slightly worse than expected for 2008 originations. As a result, the table above shows a decline in the forecasted collection rate for 2008 loans from 69.0% to 68.2%. The forecasted collection rate for 2008 loans as of September 30, 2008 includes both loans that were in our portfolio as of June 30, 2008 and loans received during the most recent quarter. The following table summarizes the change in our forecast for each of these segments: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60" w:type="dxa"/>
            <w:vAlign w:val="bottom"/>
            <w:tcBorders>
              <w:bottom w:val="single" w:sz="8" w:color="auto"/>
            </w:tcBorders>
            <w:gridSpan w:val="3"/>
          </w:tcPr>
          <w:p>
            <w:pPr>
              <w:jc w:val="right"/>
              <w:ind w:right="118"/>
              <w:spacing w:after="0"/>
              <w:rPr>
                <w:sz w:val="20"/>
                <w:szCs w:val="20"/>
                <w:color w:val="auto"/>
              </w:rPr>
            </w:pPr>
            <w:r>
              <w:rPr>
                <w:rFonts w:ascii="Arial" w:cs="Arial" w:eastAsia="Arial" w:hAnsi="Arial"/>
                <w:sz w:val="14"/>
                <w:szCs w:val="14"/>
                <w:b w:val="1"/>
                <w:bCs w:val="1"/>
                <w:color w:val="auto"/>
                <w:w w:val="96"/>
              </w:rPr>
              <w:t>Forecasted Collection Percentage as of</w:t>
            </w: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160" w:type="dxa"/>
            <w:vAlign w:val="bottom"/>
            <w:gridSpan w:val="2"/>
            <w:vMerge w:val="restart"/>
          </w:tcPr>
          <w:p>
            <w:pPr>
              <w:ind w:left="2400"/>
              <w:spacing w:after="0"/>
              <w:rPr>
                <w:sz w:val="20"/>
                <w:szCs w:val="20"/>
                <w:color w:val="auto"/>
              </w:rPr>
            </w:pPr>
            <w:r>
              <w:rPr>
                <w:rFonts w:ascii="Arial" w:cs="Arial" w:eastAsia="Arial" w:hAnsi="Arial"/>
                <w:sz w:val="14"/>
                <w:szCs w:val="14"/>
                <w:b w:val="1"/>
                <w:bCs w:val="1"/>
                <w:color w:val="auto"/>
              </w:rPr>
              <w:t>2008 Loan Assignment Period</w:t>
            </w:r>
          </w:p>
        </w:tc>
        <w:tc>
          <w:tcPr>
            <w:tcW w:w="108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September 30,</w:t>
            </w:r>
          </w:p>
        </w:tc>
        <w:tc>
          <w:tcPr>
            <w:tcW w:w="620" w:type="dxa"/>
            <w:vAlign w:val="bottom"/>
          </w:tcPr>
          <w:p>
            <w:pPr>
              <w:spacing w:after="0"/>
              <w:rPr>
                <w:sz w:val="10"/>
                <w:szCs w:val="10"/>
                <w:color w:val="auto"/>
              </w:rPr>
            </w:pPr>
          </w:p>
        </w:tc>
        <w:tc>
          <w:tcPr>
            <w:tcW w:w="1060" w:type="dxa"/>
            <w:vAlign w:val="bottom"/>
          </w:tcPr>
          <w:p>
            <w:pPr>
              <w:jc w:val="right"/>
              <w:ind w:right="198"/>
              <w:spacing w:after="0" w:line="119" w:lineRule="exact"/>
              <w:rPr>
                <w:sz w:val="20"/>
                <w:szCs w:val="20"/>
                <w:color w:val="auto"/>
              </w:rPr>
            </w:pPr>
            <w:r>
              <w:rPr>
                <w:rFonts w:ascii="Arial" w:cs="Arial" w:eastAsia="Arial" w:hAnsi="Arial"/>
                <w:sz w:val="13"/>
                <w:szCs w:val="13"/>
                <w:b w:val="1"/>
                <w:bCs w:val="1"/>
                <w:color w:val="auto"/>
              </w:rPr>
              <w:t>June 30,</w:t>
            </w:r>
          </w:p>
        </w:tc>
        <w:tc>
          <w:tcPr>
            <w:tcW w:w="500" w:type="dxa"/>
            <w:vAlign w:val="bottom"/>
          </w:tcPr>
          <w:p>
            <w:pPr>
              <w:spacing w:after="0"/>
              <w:rPr>
                <w:sz w:val="10"/>
                <w:szCs w:val="10"/>
                <w:color w:val="auto"/>
              </w:rPr>
            </w:pPr>
          </w:p>
        </w:tc>
        <w:tc>
          <w:tcPr>
            <w:tcW w:w="9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60" w:type="dxa"/>
            <w:vAlign w:val="bottom"/>
            <w:gridSpan w:val="2"/>
            <w:vMerge w:val="continue"/>
          </w:tcPr>
          <w:p>
            <w:pPr>
              <w:spacing w:after="0"/>
              <w:rPr>
                <w:sz w:val="14"/>
                <w:szCs w:val="14"/>
                <w:color w:val="auto"/>
              </w:rPr>
            </w:pPr>
          </w:p>
        </w:tc>
        <w:tc>
          <w:tcPr>
            <w:tcW w:w="1080" w:type="dxa"/>
            <w:vAlign w:val="bottom"/>
          </w:tcPr>
          <w:p>
            <w:pPr>
              <w:ind w:left="400"/>
              <w:spacing w:after="0"/>
              <w:rPr>
                <w:sz w:val="20"/>
                <w:szCs w:val="20"/>
                <w:color w:val="auto"/>
              </w:rPr>
            </w:pPr>
            <w:r>
              <w:rPr>
                <w:rFonts w:ascii="Arial" w:cs="Arial" w:eastAsia="Arial" w:hAnsi="Arial"/>
                <w:sz w:val="14"/>
                <w:szCs w:val="14"/>
                <w:b w:val="1"/>
                <w:bCs w:val="1"/>
                <w:color w:val="auto"/>
              </w:rPr>
              <w:t>2008</w:t>
            </w:r>
          </w:p>
        </w:tc>
        <w:tc>
          <w:tcPr>
            <w:tcW w:w="1680" w:type="dxa"/>
            <w:vAlign w:val="bottom"/>
            <w:gridSpan w:val="2"/>
          </w:tcPr>
          <w:p>
            <w:pPr>
              <w:jc w:val="right"/>
              <w:ind w:right="298"/>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January 1, 2008 through June 30, 2008</w:t>
            </w:r>
          </w:p>
        </w:tc>
        <w:tc>
          <w:tcPr>
            <w:tcW w:w="520" w:type="dxa"/>
            <w:vAlign w:val="bottom"/>
          </w:tcPr>
          <w:p>
            <w:pPr>
              <w:spacing w:after="0"/>
              <w:rPr>
                <w:sz w:val="16"/>
                <w:szCs w:val="16"/>
                <w:color w:val="auto"/>
              </w:rPr>
            </w:pPr>
          </w:p>
        </w:tc>
        <w:tc>
          <w:tcPr>
            <w:tcW w:w="1080" w:type="dxa"/>
            <w:vAlign w:val="bottom"/>
            <w:tcBorders>
              <w:top w:val="single" w:sz="8" w:color="auto"/>
            </w:tcBorders>
          </w:tcPr>
          <w:p>
            <w:pPr>
              <w:ind w:left="380"/>
              <w:spacing w:after="0" w:line="195" w:lineRule="exact"/>
              <w:rPr>
                <w:sz w:val="20"/>
                <w:szCs w:val="20"/>
                <w:color w:val="auto"/>
              </w:rPr>
            </w:pPr>
            <w:r>
              <w:rPr>
                <w:rFonts w:ascii="Arial" w:cs="Arial" w:eastAsia="Arial" w:hAnsi="Arial"/>
                <w:sz w:val="18"/>
                <w:szCs w:val="18"/>
                <w:color w:val="auto"/>
              </w:rPr>
              <w:t>68.3%</w:t>
            </w:r>
          </w:p>
        </w:tc>
        <w:tc>
          <w:tcPr>
            <w:tcW w:w="620" w:type="dxa"/>
            <w:vAlign w:val="bottom"/>
          </w:tcPr>
          <w:p>
            <w:pPr>
              <w:spacing w:after="0"/>
              <w:rPr>
                <w:sz w:val="16"/>
                <w:szCs w:val="16"/>
                <w:color w:val="auto"/>
              </w:rPr>
            </w:pPr>
          </w:p>
        </w:tc>
        <w:tc>
          <w:tcPr>
            <w:tcW w:w="1060" w:type="dxa"/>
            <w:vAlign w:val="bottom"/>
            <w:tcBorders>
              <w:top w:val="single" w:sz="8" w:color="auto"/>
            </w:tcBorders>
          </w:tcPr>
          <w:p>
            <w:pPr>
              <w:jc w:val="right"/>
              <w:ind w:right="138"/>
              <w:spacing w:after="0" w:line="195" w:lineRule="exact"/>
              <w:rPr>
                <w:sz w:val="20"/>
                <w:szCs w:val="20"/>
                <w:color w:val="auto"/>
              </w:rPr>
            </w:pPr>
            <w:r>
              <w:rPr>
                <w:rFonts w:ascii="Arial" w:cs="Arial" w:eastAsia="Arial" w:hAnsi="Arial"/>
                <w:sz w:val="18"/>
                <w:szCs w:val="18"/>
                <w:color w:val="auto"/>
              </w:rPr>
              <w:t>69.0%</w:t>
            </w:r>
          </w:p>
        </w:tc>
        <w:tc>
          <w:tcPr>
            <w:tcW w:w="500" w:type="dxa"/>
            <w:vAlign w:val="bottom"/>
          </w:tcPr>
          <w:p>
            <w:pPr>
              <w:spacing w:after="0"/>
              <w:rPr>
                <w:sz w:val="16"/>
                <w:szCs w:val="16"/>
                <w:color w:val="auto"/>
              </w:rPr>
            </w:pPr>
          </w:p>
        </w:tc>
        <w:tc>
          <w:tcPr>
            <w:tcW w:w="980" w:type="dxa"/>
            <w:vAlign w:val="bottom"/>
            <w:tcBorders>
              <w:top w:val="single" w:sz="8" w:color="auto"/>
            </w:tcBorders>
          </w:tcPr>
          <w:p>
            <w:pPr>
              <w:jc w:val="right"/>
              <w:ind w:right="96"/>
              <w:spacing w:after="0" w:line="195"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7180" w:type="dxa"/>
            <w:vAlign w:val="bottom"/>
            <w:gridSpan w:val="3"/>
          </w:tcPr>
          <w:p>
            <w:pPr>
              <w:spacing w:after="0"/>
              <w:rPr>
                <w:sz w:val="20"/>
                <w:szCs w:val="20"/>
                <w:color w:val="auto"/>
              </w:rPr>
            </w:pPr>
            <w:r>
              <w:rPr>
                <w:rFonts w:ascii="Arial" w:cs="Arial" w:eastAsia="Arial" w:hAnsi="Arial"/>
                <w:sz w:val="18"/>
                <w:szCs w:val="18"/>
                <w:color w:val="auto"/>
              </w:rPr>
              <w:t>July 1, 2008 through September 30, 2008</w:t>
            </w:r>
          </w:p>
        </w:tc>
        <w:tc>
          <w:tcPr>
            <w:tcW w:w="1080" w:type="dxa"/>
            <w:vAlign w:val="bottom"/>
          </w:tcPr>
          <w:p>
            <w:pPr>
              <w:ind w:left="380"/>
              <w:spacing w:after="0"/>
              <w:rPr>
                <w:sz w:val="20"/>
                <w:szCs w:val="20"/>
                <w:color w:val="auto"/>
              </w:rPr>
            </w:pPr>
            <w:r>
              <w:rPr>
                <w:rFonts w:ascii="Arial" w:cs="Arial" w:eastAsia="Arial" w:hAnsi="Arial"/>
                <w:sz w:val="18"/>
                <w:szCs w:val="18"/>
                <w:color w:val="auto"/>
              </w:rPr>
              <w:t>68.0%</w:t>
            </w:r>
          </w:p>
        </w:tc>
        <w:tc>
          <w:tcPr>
            <w:tcW w:w="620" w:type="dxa"/>
            <w:vAlign w:val="bottom"/>
          </w:tcPr>
          <w:p>
            <w:pPr>
              <w:spacing w:after="0"/>
              <w:rPr>
                <w:sz w:val="20"/>
                <w:szCs w:val="20"/>
                <w:color w:val="auto"/>
              </w:rPr>
            </w:pPr>
          </w:p>
        </w:tc>
        <w:tc>
          <w:tcPr>
            <w:tcW w:w="1060" w:type="dxa"/>
            <w:vAlign w:val="bottom"/>
          </w:tcPr>
          <w:p>
            <w:pPr>
              <w:jc w:val="right"/>
              <w:ind w:right="298"/>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9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a result of the current economic uncertainty, we are cautious about our forecasts of future collection percentages. However, we believe our current estimates are reasonable for the following reasons:</w:t>
      </w:r>
    </w:p>
    <w:p>
      <w:pPr>
        <w:spacing w:after="0" w:line="62"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forecasts start with the assumption that loans in our current portfolio will perform like historical loans with similar attributes.</w:t>
      </w:r>
    </w:p>
    <w:p>
      <w:pPr>
        <w:spacing w:after="0" w:line="130"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We reduced our forecasts during the second quarter on loans originated in 2006 through 2008 by 100 to 300 basis points based on recent trends and a concern about the worsening economic environment.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ind w:left="660" w:hanging="436"/>
        <w:spacing w:after="0"/>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Actual loan performance during the third quarter was consistent with our forecast as of June 30, 2008 for loans originated in 2007 and prior periods.</w:t>
      </w:r>
    </w:p>
    <w:p>
      <w:pPr>
        <w:spacing w:after="0" w:line="153" w:lineRule="exact"/>
        <w:rPr>
          <w:rFonts w:ascii="Arial" w:cs="Arial" w:eastAsia="Arial" w:hAnsi="Arial"/>
          <w:sz w:val="16"/>
          <w:szCs w:val="16"/>
          <w:b w:val="1"/>
          <w:bCs w:val="1"/>
          <w:color w:val="auto"/>
        </w:rPr>
      </w:pPr>
    </w:p>
    <w:p>
      <w:pPr>
        <w:ind w:left="660" w:right="10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Actual loan performance during the third quarter was slightly below our forecast as of June 30, 2008 for loans originated during the first six months of 2008, and our forecasted collection rate for these loans was reduced accordingly.</w:t>
      </w:r>
    </w:p>
    <w:p>
      <w:pPr>
        <w:spacing w:after="0" w:line="75" w:lineRule="exact"/>
        <w:rPr>
          <w:rFonts w:ascii="Arial" w:cs="Arial" w:eastAsia="Arial" w:hAnsi="Arial"/>
          <w:sz w:val="18"/>
          <w:szCs w:val="18"/>
          <w:b w:val="1"/>
          <w:bCs w:val="1"/>
          <w:color w:val="auto"/>
        </w:rPr>
      </w:pPr>
    </w:p>
    <w:p>
      <w:pPr>
        <w:ind w:left="660" w:right="600" w:hanging="436"/>
        <w:spacing w:after="0" w:line="308" w:lineRule="auto"/>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We have reduced the forecasted collection rate used at loan inception to price new loan originations. As of September 1, 2008, the forecasted collection rate used at loan inception is approximately 300 basis points lower than identical loans originated a year ago.</w:t>
      </w:r>
    </w:p>
    <w:p>
      <w:pPr>
        <w:spacing w:after="0" w:line="51" w:lineRule="exact"/>
        <w:rPr>
          <w:rFonts w:ascii="Arial" w:cs="Arial" w:eastAsia="Arial" w:hAnsi="Arial"/>
          <w:sz w:val="17"/>
          <w:szCs w:val="17"/>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current forecasting methodology, when applied against historical data, produces a consistent result as the loans age.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the economic environment continues to deteriorate, our loan collection rates may continue to decline. Knowing this, we set prices at loan inception to increase the likelihood of achieving an acceptable return on capital, even if collection results are worse than we currently forecast. A 100 basis point change in the collection rate impacts the after-tax return on capital by approximately 30 basis points for dealer loans, and approximately 65 basis points for purchased loans.</w:t>
      </w:r>
    </w:p>
    <w:p>
      <w:pPr>
        <w:spacing w:after="0" w:line="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following table presents forecasted consumer loan collection rates, advance rates (includes amounts paid to acquire purchased loans), the spread (the forecasted collection rate less the advance rate), and the percentage of the forecasted collections that had been realized as of September 30, 2008. Payments of dealer holdback and accelerated payments of dealer holdback are not included in the advance percentage paid to the dealer-partner. All amounts are presented as a percentage of the initial balance of the consumer loan (principal + interest). The table includes both dealer loans and purchased loans.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As of September 30, 2008</w:t>
            </w: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Loan Assignment Year</w:t>
            </w:r>
          </w:p>
        </w:tc>
        <w:tc>
          <w:tcPr>
            <w:tcW w:w="580" w:type="dxa"/>
            <w:vAlign w:val="bottom"/>
            <w:vMerge w:val="restart"/>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Forecasted</w:t>
            </w:r>
          </w:p>
        </w:tc>
        <w:tc>
          <w:tcPr>
            <w:tcW w:w="56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Advance %</w:t>
            </w:r>
          </w:p>
        </w:tc>
        <w:tc>
          <w:tcPr>
            <w:tcW w:w="58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Spread %</w:t>
            </w:r>
          </w:p>
        </w:tc>
        <w:tc>
          <w:tcPr>
            <w:tcW w:w="58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Forecast</w:t>
            </w:r>
          </w:p>
        </w:tc>
        <w:tc>
          <w:tcPr>
            <w:tcW w:w="0" w:type="dxa"/>
            <w:vAlign w:val="bottom"/>
          </w:tcPr>
          <w:p>
            <w:pPr>
              <w:spacing w:after="0"/>
              <w:rPr>
                <w:sz w:val="1"/>
                <w:szCs w:val="1"/>
                <w:color w:val="auto"/>
              </w:rPr>
            </w:pPr>
          </w:p>
        </w:tc>
      </w:tr>
      <w:tr>
        <w:trPr>
          <w:trHeight w:val="171"/>
        </w:trPr>
        <w:tc>
          <w:tcPr>
            <w:tcW w:w="5880" w:type="dxa"/>
            <w:vAlign w:val="bottom"/>
            <w:tcBorders>
              <w:bottom w:val="single" w:sz="8" w:color="auto"/>
            </w:tcBorders>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Collection %</w:t>
            </w:r>
          </w:p>
        </w:tc>
        <w:tc>
          <w:tcPr>
            <w:tcW w:w="56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Realized</w:t>
            </w: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1999</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72.1%</w:t>
            </w:r>
          </w:p>
        </w:tc>
        <w:tc>
          <w:tcPr>
            <w:tcW w:w="136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0"/>
              </w:rPr>
              <w:t>48.7%</w:t>
            </w:r>
          </w:p>
        </w:tc>
        <w:tc>
          <w:tcPr>
            <w:tcW w:w="136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0"/>
              </w:rPr>
              <w:t>23.4%</w:t>
            </w:r>
          </w:p>
        </w:tc>
        <w:tc>
          <w:tcPr>
            <w:tcW w:w="144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0"/>
              </w:rPr>
              <w:t>99.6%</w:t>
            </w:r>
          </w:p>
        </w:tc>
        <w:tc>
          <w:tcPr>
            <w:tcW w:w="0" w:type="dxa"/>
            <w:vAlign w:val="bottom"/>
          </w:tcPr>
          <w:p>
            <w:pPr>
              <w:spacing w:after="0"/>
              <w:rPr>
                <w:sz w:val="1"/>
                <w:szCs w:val="1"/>
                <w:color w:val="auto"/>
              </w:rPr>
            </w:pPr>
          </w:p>
        </w:tc>
      </w:tr>
      <w:tr>
        <w:trPr>
          <w:trHeight w:val="216"/>
        </w:trPr>
        <w:tc>
          <w:tcPr>
            <w:tcW w:w="588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72.5%</w:t>
            </w:r>
          </w:p>
        </w:tc>
        <w:tc>
          <w:tcPr>
            <w:tcW w:w="136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47.9%</w:t>
            </w:r>
          </w:p>
        </w:tc>
        <w:tc>
          <w:tcPr>
            <w:tcW w:w="136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24.6%</w:t>
            </w:r>
          </w:p>
        </w:tc>
        <w:tc>
          <w:tcPr>
            <w:tcW w:w="144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99.2%</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67.4%</w:t>
            </w:r>
          </w:p>
        </w:tc>
        <w:tc>
          <w:tcPr>
            <w:tcW w:w="136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0"/>
              </w:rPr>
              <w:t>46.0%</w:t>
            </w:r>
          </w:p>
        </w:tc>
        <w:tc>
          <w:tcPr>
            <w:tcW w:w="136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0"/>
              </w:rPr>
              <w:t>21.4%</w:t>
            </w:r>
          </w:p>
        </w:tc>
        <w:tc>
          <w:tcPr>
            <w:tcW w:w="144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0"/>
              </w:rPr>
              <w:t>98.7%</w:t>
            </w:r>
          </w:p>
        </w:tc>
        <w:tc>
          <w:tcPr>
            <w:tcW w:w="0" w:type="dxa"/>
            <w:vAlign w:val="bottom"/>
          </w:tcPr>
          <w:p>
            <w:pPr>
              <w:spacing w:after="0"/>
              <w:rPr>
                <w:sz w:val="1"/>
                <w:szCs w:val="1"/>
                <w:color w:val="auto"/>
              </w:rPr>
            </w:pPr>
          </w:p>
        </w:tc>
      </w:tr>
      <w:tr>
        <w:trPr>
          <w:trHeight w:val="216"/>
        </w:trPr>
        <w:tc>
          <w:tcPr>
            <w:tcW w:w="588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70.4%</w:t>
            </w:r>
          </w:p>
        </w:tc>
        <w:tc>
          <w:tcPr>
            <w:tcW w:w="136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42.2%</w:t>
            </w:r>
          </w:p>
        </w:tc>
        <w:tc>
          <w:tcPr>
            <w:tcW w:w="136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28.2%</w:t>
            </w:r>
          </w:p>
        </w:tc>
        <w:tc>
          <w:tcPr>
            <w:tcW w:w="144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98.3%</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73.9%</w:t>
            </w:r>
          </w:p>
        </w:tc>
        <w:tc>
          <w:tcPr>
            <w:tcW w:w="136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0"/>
              </w:rPr>
              <w:t>43.4%</w:t>
            </w:r>
          </w:p>
        </w:tc>
        <w:tc>
          <w:tcPr>
            <w:tcW w:w="136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0"/>
              </w:rPr>
              <w:t>30.5%</w:t>
            </w:r>
          </w:p>
        </w:tc>
        <w:tc>
          <w:tcPr>
            <w:tcW w:w="144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0"/>
              </w:rPr>
              <w:t>97.8%</w:t>
            </w:r>
          </w:p>
        </w:tc>
        <w:tc>
          <w:tcPr>
            <w:tcW w:w="0" w:type="dxa"/>
            <w:vAlign w:val="bottom"/>
          </w:tcPr>
          <w:p>
            <w:pPr>
              <w:spacing w:after="0"/>
              <w:rPr>
                <w:sz w:val="1"/>
                <w:szCs w:val="1"/>
                <w:color w:val="auto"/>
              </w:rPr>
            </w:pPr>
          </w:p>
        </w:tc>
      </w:tr>
      <w:tr>
        <w:trPr>
          <w:trHeight w:val="216"/>
        </w:trPr>
        <w:tc>
          <w:tcPr>
            <w:tcW w:w="588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73.5%</w:t>
            </w:r>
          </w:p>
        </w:tc>
        <w:tc>
          <w:tcPr>
            <w:tcW w:w="136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44.0%</w:t>
            </w:r>
          </w:p>
        </w:tc>
        <w:tc>
          <w:tcPr>
            <w:tcW w:w="136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29.5%</w:t>
            </w:r>
          </w:p>
        </w:tc>
        <w:tc>
          <w:tcPr>
            <w:tcW w:w="144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96.7%</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74.1%</w:t>
            </w:r>
          </w:p>
        </w:tc>
        <w:tc>
          <w:tcPr>
            <w:tcW w:w="136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0"/>
              </w:rPr>
              <w:t>46.9%</w:t>
            </w:r>
          </w:p>
        </w:tc>
        <w:tc>
          <w:tcPr>
            <w:tcW w:w="136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0"/>
              </w:rPr>
              <w:t>27.2%</w:t>
            </w:r>
          </w:p>
        </w:tc>
        <w:tc>
          <w:tcPr>
            <w:tcW w:w="144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0"/>
              </w:rPr>
              <w:t>94.0%</w:t>
            </w:r>
          </w:p>
        </w:tc>
        <w:tc>
          <w:tcPr>
            <w:tcW w:w="0" w:type="dxa"/>
            <w:vAlign w:val="bottom"/>
          </w:tcPr>
          <w:p>
            <w:pPr>
              <w:spacing w:after="0"/>
              <w:rPr>
                <w:sz w:val="1"/>
                <w:szCs w:val="1"/>
                <w:color w:val="auto"/>
              </w:rPr>
            </w:pPr>
          </w:p>
        </w:tc>
      </w:tr>
      <w:tr>
        <w:trPr>
          <w:trHeight w:val="216"/>
        </w:trPr>
        <w:tc>
          <w:tcPr>
            <w:tcW w:w="588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70.3%</w:t>
            </w:r>
          </w:p>
        </w:tc>
        <w:tc>
          <w:tcPr>
            <w:tcW w:w="136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46.6%</w:t>
            </w:r>
          </w:p>
        </w:tc>
        <w:tc>
          <w:tcPr>
            <w:tcW w:w="136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23.7%</w:t>
            </w:r>
          </w:p>
        </w:tc>
        <w:tc>
          <w:tcPr>
            <w:tcW w:w="144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78.5%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68.2%</w:t>
            </w:r>
          </w:p>
        </w:tc>
        <w:tc>
          <w:tcPr>
            <w:tcW w:w="136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0"/>
              </w:rPr>
              <w:t>46.5%</w:t>
            </w:r>
          </w:p>
        </w:tc>
        <w:tc>
          <w:tcPr>
            <w:tcW w:w="136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0"/>
              </w:rPr>
              <w:t>21.7%</w:t>
            </w:r>
          </w:p>
        </w:tc>
        <w:tc>
          <w:tcPr>
            <w:tcW w:w="144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90"/>
              </w:rPr>
              <w:t>48.1%</w:t>
            </w:r>
          </w:p>
        </w:tc>
        <w:tc>
          <w:tcPr>
            <w:tcW w:w="0" w:type="dxa"/>
            <w:vAlign w:val="bottom"/>
          </w:tcPr>
          <w:p>
            <w:pPr>
              <w:spacing w:after="0"/>
              <w:rPr>
                <w:sz w:val="1"/>
                <w:szCs w:val="1"/>
                <w:color w:val="auto"/>
              </w:rPr>
            </w:pPr>
          </w:p>
        </w:tc>
      </w:tr>
      <w:tr>
        <w:trPr>
          <w:trHeight w:val="230"/>
        </w:trPr>
        <w:tc>
          <w:tcPr>
            <w:tcW w:w="588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58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68.2%</w:t>
            </w:r>
          </w:p>
        </w:tc>
        <w:tc>
          <w:tcPr>
            <w:tcW w:w="136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44.9%</w:t>
            </w:r>
          </w:p>
        </w:tc>
        <w:tc>
          <w:tcPr>
            <w:tcW w:w="136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23.3%</w:t>
            </w:r>
          </w:p>
        </w:tc>
        <w:tc>
          <w:tcPr>
            <w:tcW w:w="144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15.1%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following table presents forecasted consumer loan collection rates, advance rates (includes amounts paid to acquire purchased loans), and the spread (the forecasted collection rate less the advance rate) as of September 30, 2008 for purchased loans and dealer loans separately: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Loan Assignment Year</w:t>
            </w:r>
          </w:p>
        </w:tc>
        <w:tc>
          <w:tcPr>
            <w:tcW w:w="46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Forecasted</w:t>
            </w:r>
          </w:p>
        </w:tc>
        <w:tc>
          <w:tcPr>
            <w:tcW w:w="480" w:type="dxa"/>
            <w:vAlign w:val="bottom"/>
          </w:tcPr>
          <w:p>
            <w:pPr>
              <w:spacing w:after="0"/>
              <w:rPr>
                <w:sz w:val="14"/>
                <w:szCs w:val="14"/>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Advance %</w:t>
            </w:r>
          </w:p>
        </w:tc>
        <w:tc>
          <w:tcPr>
            <w:tcW w:w="480" w:type="dxa"/>
            <w:vAlign w:val="bottom"/>
          </w:tcPr>
          <w:p>
            <w:pPr>
              <w:spacing w:after="0"/>
              <w:rPr>
                <w:sz w:val="14"/>
                <w:szCs w:val="14"/>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Spread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56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Collection %</w:t>
            </w:r>
          </w:p>
        </w:tc>
        <w:tc>
          <w:tcPr>
            <w:tcW w:w="48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Purchased loans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68.0%</w:t>
            </w:r>
          </w:p>
        </w:tc>
        <w:tc>
          <w:tcPr>
            <w:tcW w:w="14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48.9%</w:t>
            </w:r>
          </w:p>
        </w:tc>
        <w:tc>
          <w:tcPr>
            <w:tcW w:w="1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460" w:type="dxa"/>
            <w:vAlign w:val="bottom"/>
            <w:gridSpan w:val="2"/>
          </w:tcPr>
          <w:p>
            <w:pPr>
              <w:jc w:val="right"/>
              <w:ind w:right="108"/>
              <w:spacing w:after="0"/>
              <w:rPr>
                <w:sz w:val="20"/>
                <w:szCs w:val="20"/>
                <w:color w:val="auto"/>
              </w:rPr>
            </w:pPr>
            <w:r>
              <w:rPr>
                <w:rFonts w:ascii="Arial" w:cs="Arial" w:eastAsia="Arial" w:hAnsi="Arial"/>
                <w:sz w:val="18"/>
                <w:szCs w:val="18"/>
                <w:color w:val="auto"/>
              </w:rPr>
              <w:t>67.5%</w:t>
            </w:r>
          </w:p>
        </w:tc>
        <w:tc>
          <w:tcPr>
            <w:tcW w:w="1480" w:type="dxa"/>
            <w:vAlign w:val="bottom"/>
            <w:gridSpan w:val="2"/>
          </w:tcPr>
          <w:p>
            <w:pPr>
              <w:jc w:val="right"/>
              <w:ind w:right="108"/>
              <w:spacing w:after="0"/>
              <w:rPr>
                <w:sz w:val="20"/>
                <w:szCs w:val="20"/>
                <w:color w:val="auto"/>
              </w:rPr>
            </w:pPr>
            <w:r>
              <w:rPr>
                <w:rFonts w:ascii="Arial" w:cs="Arial" w:eastAsia="Arial" w:hAnsi="Arial"/>
                <w:sz w:val="18"/>
                <w:szCs w:val="18"/>
                <w:color w:val="auto"/>
              </w:rPr>
              <w:t>47.2%</w:t>
            </w:r>
          </w:p>
        </w:tc>
        <w:tc>
          <w:tcPr>
            <w:tcW w:w="1460" w:type="dxa"/>
            <w:vAlign w:val="bottom"/>
            <w:gridSpan w:val="2"/>
          </w:tcPr>
          <w:p>
            <w:pPr>
              <w:jc w:val="right"/>
              <w:ind w:right="108"/>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Dealer loans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68.2%</w:t>
            </w:r>
          </w:p>
        </w:tc>
        <w:tc>
          <w:tcPr>
            <w:tcW w:w="14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45.9%</w:t>
            </w:r>
          </w:p>
        </w:tc>
        <w:tc>
          <w:tcPr>
            <w:tcW w:w="14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460" w:type="dxa"/>
            <w:vAlign w:val="bottom"/>
            <w:gridSpan w:val="2"/>
          </w:tcPr>
          <w:p>
            <w:pPr>
              <w:jc w:val="right"/>
              <w:ind w:right="108"/>
              <w:spacing w:after="0"/>
              <w:rPr>
                <w:sz w:val="20"/>
                <w:szCs w:val="20"/>
                <w:color w:val="auto"/>
              </w:rPr>
            </w:pPr>
            <w:r>
              <w:rPr>
                <w:rFonts w:ascii="Arial" w:cs="Arial" w:eastAsia="Arial" w:hAnsi="Arial"/>
                <w:sz w:val="18"/>
                <w:szCs w:val="18"/>
                <w:color w:val="auto"/>
              </w:rPr>
              <w:t>68.6%</w:t>
            </w:r>
          </w:p>
        </w:tc>
        <w:tc>
          <w:tcPr>
            <w:tcW w:w="1480" w:type="dxa"/>
            <w:vAlign w:val="bottom"/>
            <w:gridSpan w:val="2"/>
          </w:tcPr>
          <w:p>
            <w:pPr>
              <w:jc w:val="right"/>
              <w:ind w:right="108"/>
              <w:spacing w:after="0"/>
              <w:rPr>
                <w:sz w:val="20"/>
                <w:szCs w:val="20"/>
                <w:color w:val="auto"/>
              </w:rPr>
            </w:pPr>
            <w:r>
              <w:rPr>
                <w:rFonts w:ascii="Arial" w:cs="Arial" w:eastAsia="Arial" w:hAnsi="Arial"/>
                <w:sz w:val="18"/>
                <w:szCs w:val="18"/>
                <w:color w:val="auto"/>
              </w:rPr>
              <w:t>43.7%</w:t>
            </w:r>
          </w:p>
        </w:tc>
        <w:tc>
          <w:tcPr>
            <w:tcW w:w="1460" w:type="dxa"/>
            <w:vAlign w:val="bottom"/>
            <w:gridSpan w:val="2"/>
          </w:tcPr>
          <w:p>
            <w:pPr>
              <w:jc w:val="right"/>
              <w:ind w:right="108"/>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Although the advance rate on purchased loans is higher as compared to the advance rate on dealer loans, purchased loans do not require the Company to pay dealer holdback. The increase in the spread between the forecasted collection rate and the advance rate occurred as a result of pricing changes implemented during the first nine months of 2008.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Loan Volume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experienced strong demand for its product during the quarter. During 2008, the competitive environment has allowed the Company to reduce advance rates and maintain strong growth in unit volumes. The following table summarizes changes in loan volume and active dealer-partners during the most recent quarter: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4"/>
              </w:rPr>
              <w:t>Three Months Ended September 30,</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820" w:type="dxa"/>
            <w:vAlign w:val="bottom"/>
            <w:tcBorders>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Borders>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Consumer loan unit volume</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27,636</w:t>
            </w:r>
          </w:p>
        </w:tc>
        <w:tc>
          <w:tcPr>
            <w:tcW w:w="17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21,784</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Active dealer-partners (1)</w:t>
            </w: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2,270</w:t>
            </w:r>
          </w:p>
        </w:tc>
        <w:tc>
          <w:tcPr>
            <w:tcW w:w="180" w:type="dxa"/>
            <w:vAlign w:val="bottom"/>
          </w:tcPr>
          <w:p>
            <w:pPr>
              <w:spacing w:after="0"/>
              <w:rPr>
                <w:sz w:val="19"/>
                <w:szCs w:val="19"/>
                <w:color w:val="auto"/>
              </w:rPr>
            </w:pPr>
          </w:p>
        </w:tc>
        <w:tc>
          <w:tcPr>
            <w:tcW w:w="960" w:type="dxa"/>
            <w:vAlign w:val="bottom"/>
            <w:gridSpan w:val="3"/>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1,953</w:t>
            </w:r>
          </w:p>
        </w:tc>
        <w:tc>
          <w:tcPr>
            <w:tcW w:w="52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Average volume per active dealer-partner</w:t>
            </w:r>
          </w:p>
        </w:tc>
        <w:tc>
          <w:tcPr>
            <w:tcW w:w="3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432"/>
        </w:trPr>
        <w:tc>
          <w:tcPr>
            <w:tcW w:w="7120" w:type="dxa"/>
            <w:vAlign w:val="bottom"/>
            <w:gridSpan w:val="2"/>
          </w:tcPr>
          <w:p>
            <w:pPr>
              <w:spacing w:after="0"/>
              <w:rPr>
                <w:sz w:val="20"/>
                <w:szCs w:val="20"/>
                <w:color w:val="auto"/>
              </w:rPr>
            </w:pPr>
            <w:r>
              <w:rPr>
                <w:rFonts w:ascii="Arial" w:cs="Arial" w:eastAsia="Arial" w:hAnsi="Arial"/>
                <w:sz w:val="18"/>
                <w:szCs w:val="18"/>
                <w:color w:val="auto"/>
              </w:rPr>
              <w:t>Consumer loan unit volume from dealer-partners active both periods</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18,393</w:t>
            </w:r>
          </w:p>
        </w:tc>
        <w:tc>
          <w:tcPr>
            <w:tcW w:w="1780" w:type="dxa"/>
            <w:vAlign w:val="bottom"/>
            <w:gridSpan w:val="5"/>
          </w:tcPr>
          <w:p>
            <w:pPr>
              <w:jc w:val="right"/>
              <w:ind w:right="320"/>
              <w:spacing w:after="0"/>
              <w:rPr>
                <w:sz w:val="20"/>
                <w:szCs w:val="20"/>
                <w:color w:val="auto"/>
              </w:rPr>
            </w:pPr>
            <w:r>
              <w:rPr>
                <w:rFonts w:ascii="Arial" w:cs="Arial" w:eastAsia="Arial" w:hAnsi="Arial"/>
                <w:sz w:val="18"/>
                <w:szCs w:val="18"/>
                <w:color w:val="auto"/>
              </w:rPr>
              <w:t>17,293</w:t>
            </w:r>
          </w:p>
        </w:tc>
        <w:tc>
          <w:tcPr>
            <w:tcW w:w="520" w:type="dxa"/>
            <w:vAlign w:val="bottom"/>
          </w:tcPr>
          <w:p>
            <w:pPr>
              <w:spacing w:after="0"/>
              <w:rPr>
                <w:sz w:val="24"/>
                <w:szCs w:val="24"/>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Dealer-partners active both periods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80" w:type="dxa"/>
            <w:vAlign w:val="bottom"/>
            <w:shd w:val="clear" w:color="auto" w:fill="CCEEFF"/>
          </w:tcPr>
          <w:p>
            <w:pPr>
              <w:spacing w:after="0"/>
              <w:rPr>
                <w:sz w:val="18"/>
                <w:szCs w:val="18"/>
                <w:color w:val="auto"/>
              </w:rPr>
            </w:pPr>
          </w:p>
        </w:tc>
        <w:tc>
          <w:tcPr>
            <w:tcW w:w="17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1,244</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4"/>
        </w:trPr>
        <w:tc>
          <w:tcPr>
            <w:tcW w:w="7120" w:type="dxa"/>
            <w:vAlign w:val="bottom"/>
            <w:gridSpan w:val="2"/>
          </w:tcPr>
          <w:p>
            <w:pPr>
              <w:spacing w:after="0"/>
              <w:rPr>
                <w:sz w:val="20"/>
                <w:szCs w:val="20"/>
                <w:color w:val="auto"/>
              </w:rPr>
            </w:pPr>
            <w:r>
              <w:rPr>
                <w:rFonts w:ascii="Arial" w:cs="Arial" w:eastAsia="Arial" w:hAnsi="Arial"/>
                <w:sz w:val="18"/>
                <w:szCs w:val="18"/>
                <w:color w:val="auto"/>
              </w:rPr>
              <w:t>Average volume per dealer-partners active both periods</w:t>
            </w:r>
          </w:p>
        </w:tc>
        <w:tc>
          <w:tcPr>
            <w:tcW w:w="3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19"/>
                <w:szCs w:val="19"/>
                <w:color w:val="auto"/>
              </w:rPr>
            </w:pPr>
          </w:p>
        </w:tc>
        <w:tc>
          <w:tcPr>
            <w:tcW w:w="960" w:type="dxa"/>
            <w:vAlign w:val="bottom"/>
            <w:gridSpan w:val="3"/>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Consumer loan unit volume from new dealer-partners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80" w:type="dxa"/>
            <w:vAlign w:val="bottom"/>
            <w:shd w:val="clear" w:color="auto" w:fill="CCEEFF"/>
          </w:tcPr>
          <w:p>
            <w:pPr>
              <w:spacing w:after="0"/>
              <w:rPr>
                <w:sz w:val="18"/>
                <w:szCs w:val="18"/>
                <w:color w:val="auto"/>
              </w:rPr>
            </w:pPr>
          </w:p>
        </w:tc>
        <w:tc>
          <w:tcPr>
            <w:tcW w:w="17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1,190</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New active dealer-partners (2)</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8"/>
                <w:szCs w:val="18"/>
                <w:color w:val="auto"/>
              </w:rPr>
            </w:pPr>
          </w:p>
        </w:tc>
        <w:tc>
          <w:tcPr>
            <w:tcW w:w="960" w:type="dxa"/>
            <w:vAlign w:val="bottom"/>
            <w:gridSpan w:val="3"/>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258</w:t>
            </w:r>
          </w:p>
        </w:tc>
        <w:tc>
          <w:tcPr>
            <w:tcW w:w="52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Average volume per new active dealer-partners</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432"/>
        </w:trPr>
        <w:tc>
          <w:tcPr>
            <w:tcW w:w="7120" w:type="dxa"/>
            <w:vAlign w:val="bottom"/>
            <w:gridSpan w:val="2"/>
          </w:tcPr>
          <w:p>
            <w:pPr>
              <w:spacing w:after="0"/>
              <w:rPr>
                <w:sz w:val="20"/>
                <w:szCs w:val="20"/>
                <w:color w:val="auto"/>
              </w:rPr>
            </w:pPr>
            <w:r>
              <w:rPr>
                <w:rFonts w:ascii="Arial" w:cs="Arial" w:eastAsia="Arial" w:hAnsi="Arial"/>
                <w:sz w:val="18"/>
                <w:szCs w:val="18"/>
                <w:color w:val="auto"/>
              </w:rPr>
              <w:t>Attrition (3)</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20.6%</w:t>
            </w:r>
          </w:p>
        </w:tc>
        <w:tc>
          <w:tcPr>
            <w:tcW w:w="1780" w:type="dxa"/>
            <w:vAlign w:val="bottom"/>
            <w:gridSpan w:val="5"/>
          </w:tcPr>
          <w:p>
            <w:pPr>
              <w:jc w:val="right"/>
              <w:ind w:right="160"/>
              <w:spacing w:after="0"/>
              <w:rPr>
                <w:sz w:val="20"/>
                <w:szCs w:val="20"/>
                <w:color w:val="auto"/>
              </w:rPr>
            </w:pPr>
            <w:r>
              <w:rPr>
                <w:rFonts w:ascii="Arial" w:cs="Arial" w:eastAsia="Arial" w:hAnsi="Arial"/>
                <w:sz w:val="18"/>
                <w:szCs w:val="18"/>
                <w:color w:val="auto"/>
              </w:rPr>
              <w:t>19.5%</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Active dealer-partners are dealer-partners who have received funding for at least one dealer loan or purchased loan during the period.</w:t>
      </w:r>
    </w:p>
    <w:p>
      <w:pPr>
        <w:spacing w:after="0" w:line="76"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active dealer-partners are dealer-partners who enrolled in our program and have received funding for their first dealer loan or purchased loan from us during the periods presented.</w:t>
      </w:r>
    </w:p>
    <w:p>
      <w:pPr>
        <w:spacing w:after="0" w:line="21" w:lineRule="exact"/>
        <w:rPr>
          <w:rFonts w:ascii="Arial" w:cs="Arial" w:eastAsia="Arial" w:hAnsi="Arial"/>
          <w:sz w:val="18"/>
          <w:szCs w:val="18"/>
          <w:color w:val="auto"/>
        </w:rPr>
      </w:pPr>
    </w:p>
    <w:p>
      <w:pPr>
        <w:ind w:left="460" w:right="2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Attrition is measured according to the following formula: decrease in consumer loan unit volume from dealer-partners who have received funding for at least one dealer loan or purchased loan during the comparable period of the prior year but did not receive funding for any dealer loans or purchased loans during the current period divided by prior year comparable period consumer loan unit volume.</w:t>
      </w:r>
    </w:p>
    <w:p>
      <w:pPr>
        <w:spacing w:after="0" w:line="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increase in unit volume for the quarter resulted from increased volume per active dealer-partner as well as an increase in the number of active dealer-partners.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consumer loan dollar growth in each of the last seven quarters compared with the same period in the previous year: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480" w:type="dxa"/>
            <w:vAlign w:val="bottom"/>
            <w:gridSpan w:val="3"/>
          </w:tcPr>
          <w:p>
            <w:pPr>
              <w:jc w:val="right"/>
              <w:ind w:right="5168"/>
              <w:spacing w:after="0"/>
              <w:rPr>
                <w:sz w:val="20"/>
                <w:szCs w:val="20"/>
                <w:color w:val="auto"/>
              </w:rPr>
            </w:pPr>
            <w:r>
              <w:rPr>
                <w:rFonts w:ascii="Arial" w:cs="Arial" w:eastAsia="Arial" w:hAnsi="Arial"/>
                <w:sz w:val="14"/>
                <w:szCs w:val="14"/>
                <w:b w:val="1"/>
                <w:bCs w:val="1"/>
                <w:color w:val="auto"/>
              </w:rPr>
              <w:t>Year over Year</w:t>
            </w:r>
          </w:p>
        </w:tc>
      </w:tr>
      <w:tr>
        <w:trPr>
          <w:trHeight w:val="171"/>
        </w:trPr>
        <w:tc>
          <w:tcPr>
            <w:tcW w:w="20" w:type="dxa"/>
            <w:vAlign w:val="bottom"/>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gridSpan w:val="3"/>
          </w:tcPr>
          <w:p>
            <w:pPr>
              <w:jc w:val="right"/>
              <w:ind w:right="4328"/>
              <w:spacing w:after="0"/>
              <w:rPr>
                <w:sz w:val="20"/>
                <w:szCs w:val="20"/>
                <w:color w:val="auto"/>
              </w:rPr>
            </w:pPr>
            <w:r>
              <w:rPr>
                <w:rFonts w:ascii="Arial" w:cs="Arial" w:eastAsia="Arial" w:hAnsi="Arial"/>
                <w:sz w:val="14"/>
                <w:szCs w:val="14"/>
                <w:b w:val="1"/>
                <w:bCs w:val="1"/>
                <w:color w:val="auto"/>
              </w:rPr>
              <w:t>Growth in Consumer Loan Dollar Volume</w:t>
            </w:r>
          </w:p>
        </w:tc>
      </w:tr>
      <w:tr>
        <w:trPr>
          <w:trHeight w:val="142"/>
        </w:trPr>
        <w:tc>
          <w:tcPr>
            <w:tcW w:w="20" w:type="dxa"/>
            <w:vAlign w:val="bottom"/>
          </w:tcPr>
          <w:p>
            <w:pPr>
              <w:spacing w:after="0"/>
              <w:rPr>
                <w:sz w:val="12"/>
                <w:szCs w:val="12"/>
                <w:color w:val="auto"/>
              </w:rPr>
            </w:pPr>
          </w:p>
        </w:tc>
        <w:tc>
          <w:tcPr>
            <w:tcW w:w="29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Three Months Ended</w:t>
            </w:r>
          </w:p>
        </w:tc>
        <w:tc>
          <w:tcPr>
            <w:tcW w:w="692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 Change</w:t>
            </w: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March 31, 2007</w:t>
            </w:r>
          </w:p>
        </w:tc>
        <w:tc>
          <w:tcPr>
            <w:tcW w:w="848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41.1%</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June 30, 2007</w:t>
            </w:r>
          </w:p>
        </w:tc>
        <w:tc>
          <w:tcPr>
            <w:tcW w:w="8480" w:type="dxa"/>
            <w:vAlign w:val="bottom"/>
            <w:gridSpan w:val="3"/>
          </w:tcPr>
          <w:p>
            <w:pPr>
              <w:jc w:val="right"/>
              <w:ind w:right="108"/>
              <w:spacing w:after="0"/>
              <w:rPr>
                <w:sz w:val="20"/>
                <w:szCs w:val="20"/>
                <w:color w:val="auto"/>
              </w:rPr>
            </w:pPr>
            <w:r>
              <w:rPr>
                <w:rFonts w:ascii="Arial" w:cs="Arial" w:eastAsia="Arial" w:hAnsi="Arial"/>
                <w:sz w:val="18"/>
                <w:szCs w:val="18"/>
                <w:color w:val="auto"/>
              </w:rPr>
              <w:t>43.9%</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2007</w:t>
            </w:r>
          </w:p>
        </w:tc>
        <w:tc>
          <w:tcPr>
            <w:tcW w:w="848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December 31, 2007</w:t>
            </w:r>
          </w:p>
        </w:tc>
        <w:tc>
          <w:tcPr>
            <w:tcW w:w="8480" w:type="dxa"/>
            <w:vAlign w:val="bottom"/>
            <w:gridSpan w:val="3"/>
          </w:tcPr>
          <w:p>
            <w:pPr>
              <w:jc w:val="right"/>
              <w:ind w:right="108"/>
              <w:spacing w:after="0"/>
              <w:rPr>
                <w:sz w:val="20"/>
                <w:szCs w:val="20"/>
                <w:color w:val="auto"/>
              </w:rPr>
            </w:pPr>
            <w:r>
              <w:rPr>
                <w:rFonts w:ascii="Arial" w:cs="Arial" w:eastAsia="Arial" w:hAnsi="Arial"/>
                <w:sz w:val="18"/>
                <w:szCs w:val="18"/>
                <w:color w:val="auto"/>
              </w:rPr>
              <w:t>23.3%</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March 31, 2008</w:t>
            </w:r>
          </w:p>
        </w:tc>
        <w:tc>
          <w:tcPr>
            <w:tcW w:w="848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28.5%</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June 30, 2008</w:t>
            </w:r>
          </w:p>
        </w:tc>
        <w:tc>
          <w:tcPr>
            <w:tcW w:w="8480" w:type="dxa"/>
            <w:vAlign w:val="bottom"/>
            <w:gridSpan w:val="3"/>
          </w:tcPr>
          <w:p>
            <w:pPr>
              <w:jc w:val="right"/>
              <w:ind w:right="108"/>
              <w:spacing w:after="0"/>
              <w:rPr>
                <w:sz w:val="20"/>
                <w:szCs w:val="20"/>
                <w:color w:val="auto"/>
              </w:rPr>
            </w:pPr>
            <w:r>
              <w:rPr>
                <w:rFonts w:ascii="Arial" w:cs="Arial" w:eastAsia="Arial" w:hAnsi="Arial"/>
                <w:sz w:val="18"/>
                <w:szCs w:val="18"/>
                <w:color w:val="auto"/>
              </w:rPr>
              <w:t>40.6%</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2008</w:t>
            </w:r>
          </w:p>
        </w:tc>
        <w:tc>
          <w:tcPr>
            <w:tcW w:w="848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27.5%</w:t>
            </w:r>
          </w:p>
        </w:tc>
      </w:tr>
    </w:tbl>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Unit volume and dollar volume grew at roughly the same rate during the third quarter of 2008 due to various pricing changes implemented at the end of the second quarter and in the third quarter of 2008 that have reduced the average loan size.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table summarizes key information regarding purchased loans: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4"/>
                <w:szCs w:val="14"/>
                <w:color w:val="auto"/>
              </w:rPr>
            </w:pPr>
          </w:p>
        </w:tc>
        <w:tc>
          <w:tcPr>
            <w:tcW w:w="2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right="710"/>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69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900" w:type="dxa"/>
            <w:vAlign w:val="bottom"/>
            <w:vMerge w:val="restart"/>
          </w:tcPr>
          <w:p>
            <w:pPr>
              <w:spacing w:after="0"/>
              <w:rPr>
                <w:sz w:val="20"/>
                <w:szCs w:val="20"/>
                <w:color w:val="auto"/>
              </w:rPr>
            </w:pPr>
            <w:r>
              <w:rPr>
                <w:rFonts w:ascii="Arial" w:cs="Arial" w:eastAsia="Arial" w:hAnsi="Arial"/>
                <w:sz w:val="18"/>
                <w:szCs w:val="18"/>
                <w:color w:val="auto"/>
              </w:rPr>
              <w:t>New purchased loan unit volume as a percentage of total unit volume</w:t>
            </w:r>
          </w:p>
        </w:tc>
        <w:tc>
          <w:tcPr>
            <w:tcW w:w="820" w:type="dxa"/>
            <w:vAlign w:val="bottom"/>
          </w:tcPr>
          <w:p>
            <w:pPr>
              <w:ind w:left="360"/>
              <w:spacing w:after="0" w:line="142" w:lineRule="exact"/>
              <w:rPr>
                <w:sz w:val="20"/>
                <w:szCs w:val="20"/>
                <w:color w:val="auto"/>
              </w:rPr>
            </w:pPr>
            <w:r>
              <w:rPr>
                <w:rFonts w:ascii="Arial" w:cs="Arial" w:eastAsia="Arial" w:hAnsi="Arial"/>
                <w:sz w:val="14"/>
                <w:szCs w:val="14"/>
                <w:b w:val="1"/>
                <w:bCs w:val="1"/>
                <w:color w:val="auto"/>
              </w:rPr>
              <w:t>2008</w:t>
            </w:r>
          </w:p>
        </w:tc>
        <w:tc>
          <w:tcPr>
            <w:tcW w:w="1680" w:type="dxa"/>
            <w:vAlign w:val="bottom"/>
            <w:gridSpan w:val="3"/>
          </w:tcPr>
          <w:p>
            <w:pPr>
              <w:ind w:left="1060"/>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2"/>
                <w:szCs w:val="12"/>
                <w:color w:val="auto"/>
              </w:rPr>
            </w:pPr>
          </w:p>
        </w:tc>
        <w:tc>
          <w:tcPr>
            <w:tcW w:w="800" w:type="dxa"/>
            <w:vAlign w:val="bottom"/>
          </w:tcPr>
          <w:p>
            <w:pPr>
              <w:ind w:left="340"/>
              <w:spacing w:after="0" w:line="142" w:lineRule="exact"/>
              <w:rPr>
                <w:sz w:val="20"/>
                <w:szCs w:val="20"/>
                <w:color w:val="auto"/>
              </w:rPr>
            </w:pPr>
            <w:r>
              <w:rPr>
                <w:rFonts w:ascii="Arial" w:cs="Arial" w:eastAsia="Arial" w:hAnsi="Arial"/>
                <w:sz w:val="14"/>
                <w:szCs w:val="14"/>
                <w:b w:val="1"/>
                <w:bCs w:val="1"/>
                <w:color w:val="auto"/>
              </w:rPr>
              <w:t>2008</w:t>
            </w:r>
          </w:p>
        </w:tc>
        <w:tc>
          <w:tcPr>
            <w:tcW w:w="1700" w:type="dxa"/>
            <w:vAlign w:val="bottom"/>
            <w:gridSpan w:val="3"/>
          </w:tcPr>
          <w:p>
            <w:pPr>
              <w:ind w:left="1060"/>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24"/>
        </w:trPr>
        <w:tc>
          <w:tcPr>
            <w:tcW w:w="5900" w:type="dxa"/>
            <w:vAlign w:val="bottom"/>
            <w:vMerge w:val="continue"/>
          </w:tcPr>
          <w:p>
            <w:pPr>
              <w:spacing w:after="0"/>
              <w:rPr>
                <w:sz w:val="19"/>
                <w:szCs w:val="19"/>
                <w:color w:val="auto"/>
              </w:rPr>
            </w:pPr>
          </w:p>
        </w:tc>
        <w:tc>
          <w:tcPr>
            <w:tcW w:w="8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90"/>
              </w:rPr>
              <w:t>30.8%</w:t>
            </w:r>
          </w:p>
        </w:tc>
        <w:tc>
          <w:tcPr>
            <w:tcW w:w="1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25.5%</w:t>
            </w:r>
          </w:p>
        </w:tc>
        <w:tc>
          <w:tcPr>
            <w:tcW w:w="520" w:type="dxa"/>
            <w:vAlign w:val="bottom"/>
          </w:tcPr>
          <w:p>
            <w:pPr>
              <w:spacing w:after="0"/>
              <w:rPr>
                <w:sz w:val="19"/>
                <w:szCs w:val="19"/>
                <w:color w:val="auto"/>
              </w:rPr>
            </w:pPr>
          </w:p>
        </w:tc>
        <w:tc>
          <w:tcPr>
            <w:tcW w:w="80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86"/>
              </w:rPr>
              <w:t>31.6%</w:t>
            </w:r>
          </w:p>
        </w:tc>
        <w:tc>
          <w:tcPr>
            <w:tcW w:w="1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404"/>
        </w:trPr>
        <w:tc>
          <w:tcPr>
            <w:tcW w:w="5900" w:type="dxa"/>
            <w:vAlign w:val="bottom"/>
          </w:tcPr>
          <w:p>
            <w:pPr>
              <w:spacing w:after="0"/>
              <w:rPr>
                <w:sz w:val="20"/>
                <w:szCs w:val="20"/>
                <w:color w:val="auto"/>
              </w:rPr>
            </w:pPr>
            <w:r>
              <w:rPr>
                <w:rFonts w:ascii="Arial" w:cs="Arial" w:eastAsia="Arial" w:hAnsi="Arial"/>
                <w:sz w:val="18"/>
                <w:szCs w:val="18"/>
                <w:color w:val="auto"/>
              </w:rPr>
              <w:t>Net purchased loan receivable balance as a percentage of the total net</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receivable balance as of the end of the period</w:t>
            </w:r>
          </w:p>
        </w:tc>
        <w:tc>
          <w:tcPr>
            <w:tcW w:w="820" w:type="dxa"/>
            <w:vAlign w:val="bottom"/>
          </w:tcPr>
          <w:p>
            <w:pPr>
              <w:ind w:left="340"/>
              <w:spacing w:after="0"/>
              <w:rPr>
                <w:sz w:val="20"/>
                <w:szCs w:val="20"/>
                <w:color w:val="auto"/>
              </w:rPr>
            </w:pPr>
            <w:r>
              <w:rPr>
                <w:rFonts w:ascii="Arial" w:cs="Arial" w:eastAsia="Arial" w:hAnsi="Arial"/>
                <w:sz w:val="18"/>
                <w:szCs w:val="18"/>
                <w:color w:val="auto"/>
                <w:w w:val="90"/>
              </w:rPr>
              <w:t>30.0%</w:t>
            </w:r>
          </w:p>
        </w:tc>
        <w:tc>
          <w:tcPr>
            <w:tcW w:w="1680" w:type="dxa"/>
            <w:vAlign w:val="bottom"/>
            <w:gridSpan w:val="3"/>
          </w:tcPr>
          <w:p>
            <w:pPr>
              <w:ind w:left="1040"/>
              <w:spacing w:after="0"/>
              <w:rPr>
                <w:sz w:val="20"/>
                <w:szCs w:val="20"/>
                <w:color w:val="auto"/>
              </w:rPr>
            </w:pPr>
            <w:r>
              <w:rPr>
                <w:rFonts w:ascii="Arial" w:cs="Arial" w:eastAsia="Arial" w:hAnsi="Arial"/>
                <w:sz w:val="18"/>
                <w:szCs w:val="18"/>
                <w:color w:val="auto"/>
              </w:rPr>
              <w:t>12.1%</w:t>
            </w:r>
          </w:p>
        </w:tc>
        <w:tc>
          <w:tcPr>
            <w:tcW w:w="1320" w:type="dxa"/>
            <w:vAlign w:val="bottom"/>
            <w:gridSpan w:val="2"/>
          </w:tcPr>
          <w:p>
            <w:pPr>
              <w:ind w:left="860"/>
              <w:spacing w:after="0"/>
              <w:rPr>
                <w:sz w:val="20"/>
                <w:szCs w:val="20"/>
                <w:color w:val="auto"/>
              </w:rPr>
            </w:pPr>
            <w:r>
              <w:rPr>
                <w:rFonts w:ascii="Arial" w:cs="Arial" w:eastAsia="Arial" w:hAnsi="Arial"/>
                <w:sz w:val="18"/>
                <w:szCs w:val="18"/>
                <w:color w:val="auto"/>
                <w:w w:val="86"/>
              </w:rPr>
              <w:t>30.0%</w:t>
            </w:r>
          </w:p>
        </w:tc>
        <w:tc>
          <w:tcPr>
            <w:tcW w:w="1700" w:type="dxa"/>
            <w:vAlign w:val="bottom"/>
            <w:gridSpan w:val="3"/>
          </w:tcPr>
          <w:p>
            <w:pPr>
              <w:ind w:left="10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Access to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Since the beginning of 2008, we have:</w:t>
      </w:r>
    </w:p>
    <w:p>
      <w:pPr>
        <w:spacing w:after="0" w:line="117"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Expanded our bank line of credit to $153.5 million and renewed to June 2010</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Renewed our $325.0 million warehouse facility to August 2009</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Completed a $150.0 million asset-backed secured financing with an institutional investor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Completed a $50.0 million two-year revolving warehouse facility with another institutional investor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Renewed our $50.0 million residual credit facility to August 2009</w:t>
      </w:r>
    </w:p>
    <w:p>
      <w:pPr>
        <w:spacing w:after="0" w:line="11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Based on our available capital, we are targeting a 10% reduction in year-over-year consumer loan unit volume for the fourth quarter of 2008. Our target growth rate in 2009 will depend on our success in securing additional financing and renewing our existing debt facilities. If no additional capital is obtained, during the first six months of 2009, we expect to continue to target unit volumes that are approximately 10% lower than the prior year comparable period.</w:t>
      </w:r>
    </w:p>
    <w:p>
      <w:pPr>
        <w:spacing w:after="0" w:line="3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August of 2009, our $325.0 million warehouse facility and our $50.0 million residual credit facility (collectively referred to as the “maturing facilities”) mature. If we are unsuccessful in renewing the maturing facilities, and alternative financing cannot be obtained, additional reductions in loan origination volumes will be required. Given current conditions in the credit markets, there can be no assurance that the maturing facilities will be renewed or that alternative financing will be obtained. In the event that the maturing facilities are not renewed, no further advances would be made under the maturing facilities. Assuming the Company continues to be in compliance with all debt covenants, the amount outstanding would be repaid over time as the collections on the loans securing the maturing facilities are received.</w:t>
      </w:r>
    </w:p>
    <w:p>
      <w:pPr>
        <w:spacing w:after="0" w:line="8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following table summarizes targeted loan origination volumes under two scenarios: (1) the maturing facilities are renewed (or replaced) but no other additional capital is obtained during 2009; and (2) no additional capital is obtained during 2009 and the maturing facilities are not renewed.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780" w:type="dxa"/>
            <w:vAlign w:val="bottom"/>
            <w:tcBorders>
              <w:bottom w:val="single" w:sz="8" w:color="auto"/>
            </w:tcBorders>
            <w:gridSpan w:val="7"/>
          </w:tcPr>
          <w:p>
            <w:pPr>
              <w:jc w:val="right"/>
              <w:ind w:right="750"/>
              <w:spacing w:after="0"/>
              <w:rPr>
                <w:sz w:val="20"/>
                <w:szCs w:val="20"/>
                <w:color w:val="auto"/>
              </w:rPr>
            </w:pPr>
            <w:r>
              <w:rPr>
                <w:rFonts w:ascii="Arial" w:cs="Arial" w:eastAsia="Arial" w:hAnsi="Arial"/>
                <w:sz w:val="14"/>
                <w:szCs w:val="14"/>
                <w:b w:val="1"/>
                <w:bCs w:val="1"/>
                <w:color w:val="auto"/>
              </w:rPr>
              <w:t>Estimated Loan Origination Volume for the Years Ended December 31,</w:t>
            </w:r>
          </w:p>
        </w:tc>
      </w:tr>
      <w:tr>
        <w:trPr>
          <w:trHeight w:val="142"/>
        </w:trPr>
        <w:tc>
          <w:tcPr>
            <w:tcW w:w="5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585"/>
              <w:spacing w:after="0" w:line="142" w:lineRule="exact"/>
              <w:rPr>
                <w:sz w:val="20"/>
                <w:szCs w:val="20"/>
                <w:color w:val="auto"/>
              </w:rPr>
            </w:pPr>
            <w:r>
              <w:rPr>
                <w:rFonts w:ascii="Arial" w:cs="Arial" w:eastAsia="Arial" w:hAnsi="Arial"/>
                <w:sz w:val="14"/>
                <w:szCs w:val="14"/>
                <w:b w:val="1"/>
                <w:bCs w:val="1"/>
                <w:color w:val="auto"/>
              </w:rPr>
              <w:t>2009</w:t>
            </w:r>
          </w:p>
        </w:tc>
        <w:tc>
          <w:tcPr>
            <w:tcW w:w="1420" w:type="dxa"/>
            <w:vAlign w:val="bottom"/>
            <w:tcBorders>
              <w:bottom w:val="single" w:sz="8" w:color="auto"/>
            </w:tcBorders>
          </w:tcPr>
          <w:p>
            <w:pPr>
              <w:spacing w:after="0"/>
              <w:rPr>
                <w:sz w:val="12"/>
                <w:szCs w:val="12"/>
                <w:color w:val="auto"/>
              </w:rPr>
            </w:pPr>
          </w:p>
        </w:tc>
      </w:tr>
      <w:tr>
        <w:trPr>
          <w:trHeight w:val="119"/>
        </w:trPr>
        <w:tc>
          <w:tcPr>
            <w:tcW w:w="5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9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Assuming Maturing</w:t>
            </w:r>
          </w:p>
        </w:tc>
        <w:tc>
          <w:tcPr>
            <w:tcW w:w="380" w:type="dxa"/>
            <w:vAlign w:val="bottom"/>
          </w:tcPr>
          <w:p>
            <w:pPr>
              <w:spacing w:after="0"/>
              <w:rPr>
                <w:sz w:val="10"/>
                <w:szCs w:val="10"/>
                <w:color w:val="auto"/>
              </w:rPr>
            </w:pPr>
          </w:p>
        </w:tc>
        <w:tc>
          <w:tcPr>
            <w:tcW w:w="21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Assuming Maturing</w:t>
            </w:r>
          </w:p>
        </w:tc>
      </w:tr>
      <w:tr>
        <w:trPr>
          <w:trHeight w:val="149"/>
        </w:trPr>
        <w:tc>
          <w:tcPr>
            <w:tcW w:w="5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Facilities are Renewed</w:t>
            </w:r>
          </w:p>
        </w:tc>
        <w:tc>
          <w:tcPr>
            <w:tcW w:w="380" w:type="dxa"/>
            <w:vAlign w:val="bottom"/>
          </w:tcPr>
          <w:p>
            <w:pPr>
              <w:spacing w:after="0"/>
              <w:rPr>
                <w:sz w:val="12"/>
                <w:szCs w:val="12"/>
                <w:color w:val="auto"/>
              </w:rPr>
            </w:pPr>
          </w:p>
        </w:tc>
        <w:tc>
          <w:tcPr>
            <w:tcW w:w="2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Facilities are Not Renewed</w:t>
            </w:r>
          </w:p>
        </w:tc>
      </w:tr>
      <w:tr>
        <w:trPr>
          <w:trHeight w:val="171"/>
        </w:trPr>
        <w:tc>
          <w:tcPr>
            <w:tcW w:w="5380" w:type="dxa"/>
            <w:vAlign w:val="bottom"/>
          </w:tcPr>
          <w:p>
            <w:pPr>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(or Replaced)</w:t>
            </w:r>
          </w:p>
        </w:tc>
        <w:tc>
          <w:tcPr>
            <w:tcW w:w="380" w:type="dxa"/>
            <w:vAlign w:val="bottom"/>
          </w:tcPr>
          <w:p>
            <w:pPr>
              <w:spacing w:after="0"/>
              <w:rPr>
                <w:sz w:val="14"/>
                <w:szCs w:val="14"/>
                <w:color w:val="auto"/>
              </w:rPr>
            </w:pPr>
          </w:p>
        </w:tc>
        <w:tc>
          <w:tcPr>
            <w:tcW w:w="2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(or Replaced)</w:t>
            </w:r>
          </w:p>
        </w:tc>
      </w:tr>
      <w:tr>
        <w:trPr>
          <w:trHeight w:val="195"/>
        </w:trPr>
        <w:tc>
          <w:tcPr>
            <w:tcW w:w="5380" w:type="dxa"/>
            <w:vAlign w:val="bottom"/>
          </w:tcPr>
          <w:p>
            <w:pPr>
              <w:spacing w:after="0" w:line="195" w:lineRule="exact"/>
              <w:rPr>
                <w:sz w:val="20"/>
                <w:szCs w:val="20"/>
                <w:color w:val="auto"/>
              </w:rPr>
            </w:pPr>
            <w:r>
              <w:rPr>
                <w:rFonts w:ascii="Arial" w:cs="Arial" w:eastAsia="Arial" w:hAnsi="Arial"/>
                <w:sz w:val="18"/>
                <w:szCs w:val="18"/>
                <w:color w:val="auto"/>
              </w:rPr>
              <w:t>Loan dollar volume</w:t>
            </w:r>
          </w:p>
        </w:tc>
        <w:tc>
          <w:tcPr>
            <w:tcW w:w="2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77"/>
              <w:spacing w:after="0" w:line="195" w:lineRule="exact"/>
              <w:rPr>
                <w:sz w:val="20"/>
                <w:szCs w:val="20"/>
                <w:color w:val="auto"/>
              </w:rPr>
            </w:pPr>
            <w:r>
              <w:rPr>
                <w:rFonts w:ascii="Arial" w:cs="Arial" w:eastAsia="Arial" w:hAnsi="Arial"/>
                <w:sz w:val="18"/>
                <w:szCs w:val="18"/>
                <w:color w:val="auto"/>
              </w:rPr>
              <w:t>800,000</w:t>
            </w:r>
          </w:p>
        </w:tc>
        <w:tc>
          <w:tcPr>
            <w:tcW w:w="380" w:type="dxa"/>
            <w:vAlign w:val="bottom"/>
          </w:tcPr>
          <w:p>
            <w:pPr>
              <w:spacing w:after="0"/>
              <w:rPr>
                <w:sz w:val="16"/>
                <w:szCs w:val="16"/>
                <w:color w:val="auto"/>
              </w:rPr>
            </w:pP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490"/>
              <w:spacing w:after="0" w:line="195" w:lineRule="exact"/>
              <w:rPr>
                <w:sz w:val="20"/>
                <w:szCs w:val="20"/>
                <w:color w:val="auto"/>
              </w:rPr>
            </w:pPr>
            <w:r>
              <w:rPr>
                <w:rFonts w:ascii="Arial" w:cs="Arial" w:eastAsia="Arial" w:hAnsi="Arial"/>
                <w:sz w:val="18"/>
                <w:szCs w:val="18"/>
                <w:color w:val="auto"/>
              </w:rPr>
              <w:t>600,000</w:t>
            </w:r>
          </w:p>
        </w:tc>
        <w:tc>
          <w:tcPr>
            <w:tcW w:w="380" w:type="dxa"/>
            <w:vAlign w:val="bottom"/>
          </w:tcPr>
          <w:p>
            <w:pPr>
              <w:spacing w:after="0"/>
              <w:rPr>
                <w:sz w:val="16"/>
                <w:szCs w:val="16"/>
                <w:color w:val="auto"/>
              </w:rPr>
            </w:pP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610"/>
              <w:spacing w:after="0" w:line="195" w:lineRule="exact"/>
              <w:rPr>
                <w:sz w:val="20"/>
                <w:szCs w:val="20"/>
                <w:color w:val="auto"/>
              </w:rPr>
            </w:pPr>
            <w:r>
              <w:rPr>
                <w:rFonts w:ascii="Arial" w:cs="Arial" w:eastAsia="Arial" w:hAnsi="Arial"/>
                <w:sz w:val="18"/>
                <w:szCs w:val="18"/>
                <w:color w:val="auto"/>
              </w:rPr>
              <w:t>550,000</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Average loans receivable balance, net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7"/>
              <w:spacing w:after="0"/>
              <w:rPr>
                <w:sz w:val="20"/>
                <w:szCs w:val="20"/>
                <w:color w:val="auto"/>
              </w:rPr>
            </w:pPr>
            <w:r>
              <w:rPr>
                <w:rFonts w:ascii="Arial" w:cs="Arial" w:eastAsia="Arial" w:hAnsi="Arial"/>
                <w:sz w:val="18"/>
                <w:szCs w:val="18"/>
                <w:color w:val="auto"/>
                <w:w w:val="87"/>
              </w:rPr>
              <w:t>1,000,000</w:t>
            </w: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90"/>
              <w:spacing w:after="0"/>
              <w:rPr>
                <w:sz w:val="20"/>
                <w:szCs w:val="20"/>
                <w:color w:val="auto"/>
              </w:rPr>
            </w:pPr>
            <w:r>
              <w:rPr>
                <w:rFonts w:ascii="Arial" w:cs="Arial" w:eastAsia="Arial" w:hAnsi="Arial"/>
                <w:sz w:val="18"/>
                <w:szCs w:val="18"/>
                <w:color w:val="auto"/>
                <w:w w:val="89"/>
              </w:rPr>
              <w:t>1,100,000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610"/>
              <w:spacing w:after="0"/>
              <w:rPr>
                <w:sz w:val="20"/>
                <w:szCs w:val="20"/>
                <w:color w:val="auto"/>
              </w:rPr>
            </w:pPr>
            <w:r>
              <w:rPr>
                <w:rFonts w:ascii="Arial" w:cs="Arial" w:eastAsia="Arial" w:hAnsi="Arial"/>
                <w:sz w:val="18"/>
                <w:szCs w:val="18"/>
                <w:color w:val="auto"/>
                <w:w w:val="87"/>
              </w:rPr>
              <w:t>1,050,000</w:t>
            </w:r>
          </w:p>
        </w:tc>
      </w:tr>
      <w:tr>
        <w:trPr>
          <w:trHeight w:val="405"/>
        </w:trPr>
        <w:tc>
          <w:tcPr>
            <w:tcW w:w="5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777"/>
              <w:spacing w:after="0"/>
              <w:rPr>
                <w:sz w:val="20"/>
                <w:szCs w:val="20"/>
                <w:color w:val="auto"/>
              </w:rPr>
            </w:pPr>
            <w:r>
              <w:rPr>
                <w:rFonts w:ascii="Arial" w:cs="Arial" w:eastAsia="Arial" w:hAnsi="Arial"/>
                <w:sz w:val="18"/>
                <w:szCs w:val="18"/>
                <w:color w:val="auto"/>
                <w:w w:val="99"/>
              </w:rPr>
              <w:t>5</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6"/>
        </w:trPr>
        <w:tc>
          <w:tcPr>
            <w:tcW w:w="53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Adjusted Financial Results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Adjusted financial results are provided to help shareholders understand our financial performance. The financial data below is non-GAAP, unless labeled otherwise. We use adjusted financial information internally to measure financial performance and to determine incentive compensation. The table below shows our results following adjustments to reflect non-GAAP accounting methods. These adjustments are explained in the table footnotes and the subsequent “Floating Yield Adjustment” and “License Fee Yield Adjustment” sections. Measures such as adjusted average capital, adjusted net income, adjusted net income per diluted share, adjusted net income plus interest expense after-tax, adjusted return on capital, adjusted revenue, adjusted operating expenses, and economic profit are all non-GAAP financial measures. These non-GAAP financial measures should be viewed in addition to, and not as an alternative for, our reported results prepared in accordance with GAAP.</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Adjusted financial results for the three and nine months ended September 30, 2008, compared to the same periods in 2007, include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w w:val="99"/>
              </w:rPr>
              <w:t>Three Months Ended</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4"/>
                <w:szCs w:val="14"/>
                <w:b w:val="1"/>
                <w:bCs w:val="1"/>
                <w:color w:val="auto"/>
                <w:w w:val="93"/>
              </w:rPr>
              <w:t>September 30,</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w w:val="96"/>
              </w:rPr>
              <w:t>September 30,</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6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9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00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Adjusted average capital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1,031,581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724,884</w:t>
            </w:r>
          </w:p>
        </w:tc>
        <w:tc>
          <w:tcPr>
            <w:tcW w:w="12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42.3%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961,944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687,604</w:t>
            </w: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Adjusted net income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22,260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15,754</w:t>
            </w:r>
          </w:p>
        </w:tc>
        <w:tc>
          <w:tcPr>
            <w:tcW w:w="1220" w:type="dxa"/>
            <w:vAlign w:val="bottom"/>
            <w:gridSpan w:val="2"/>
          </w:tcPr>
          <w:p>
            <w:pPr>
              <w:jc w:val="right"/>
              <w:ind w:right="88"/>
              <w:spacing w:after="0"/>
              <w:rPr>
                <w:sz w:val="20"/>
                <w:szCs w:val="20"/>
                <w:color w:val="auto"/>
              </w:rPr>
            </w:pPr>
            <w:r>
              <w:rPr>
                <w:rFonts w:ascii="Arial" w:cs="Arial" w:eastAsia="Arial" w:hAnsi="Arial"/>
                <w:sz w:val="18"/>
                <w:szCs w:val="18"/>
                <w:color w:val="auto"/>
              </w:rPr>
              <w:t>41.3%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59,220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46,786</w:t>
            </w: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Adjusted interest expense after-tax</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7,081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5,689</w:t>
            </w:r>
          </w:p>
        </w:tc>
        <w:tc>
          <w:tcPr>
            <w:tcW w:w="12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24.5%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19,996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16,870</w:t>
            </w: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2"/>
        </w:trPr>
        <w:tc>
          <w:tcPr>
            <w:tcW w:w="3060" w:type="dxa"/>
            <w:vAlign w:val="bottom"/>
          </w:tcPr>
          <w:p>
            <w:pPr>
              <w:spacing w:after="0" w:line="201" w:lineRule="exact"/>
              <w:rPr>
                <w:sz w:val="20"/>
                <w:szCs w:val="20"/>
                <w:color w:val="auto"/>
              </w:rPr>
            </w:pPr>
            <w:r>
              <w:rPr>
                <w:rFonts w:ascii="Arial" w:cs="Arial" w:eastAsia="Arial" w:hAnsi="Arial"/>
                <w:sz w:val="18"/>
                <w:szCs w:val="18"/>
                <w:color w:val="auto"/>
              </w:rPr>
              <w:t>Adjusted net income plus interest</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20"/>
              <w:spacing w:after="0"/>
              <w:rPr>
                <w:sz w:val="20"/>
                <w:szCs w:val="20"/>
                <w:color w:val="auto"/>
              </w:rPr>
            </w:pPr>
            <w:r>
              <w:rPr>
                <w:rFonts w:ascii="Arial" w:cs="Arial" w:eastAsia="Arial" w:hAnsi="Arial"/>
                <w:sz w:val="18"/>
                <w:szCs w:val="18"/>
                <w:color w:val="auto"/>
              </w:rPr>
              <w:t>expense after-tax</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29,341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21,443</w:t>
            </w:r>
          </w:p>
        </w:tc>
        <w:tc>
          <w:tcPr>
            <w:tcW w:w="1220" w:type="dxa"/>
            <w:vAlign w:val="bottom"/>
            <w:gridSpan w:val="2"/>
          </w:tcPr>
          <w:p>
            <w:pPr>
              <w:jc w:val="right"/>
              <w:ind w:right="88"/>
              <w:spacing w:after="0"/>
              <w:rPr>
                <w:sz w:val="20"/>
                <w:szCs w:val="20"/>
                <w:color w:val="auto"/>
              </w:rPr>
            </w:pPr>
            <w:r>
              <w:rPr>
                <w:rFonts w:ascii="Arial" w:cs="Arial" w:eastAsia="Arial" w:hAnsi="Arial"/>
                <w:sz w:val="18"/>
                <w:szCs w:val="18"/>
                <w:color w:val="auto"/>
              </w:rPr>
              <w:t>36.8%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79,216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63,656</w:t>
            </w: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Adjusted return on capital</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12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Cost of capital</w:t>
            </w:r>
          </w:p>
        </w:tc>
        <w:tc>
          <w:tcPr>
            <w:tcW w:w="20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1220" w:type="dxa"/>
            <w:vAlign w:val="bottom"/>
            <w:gridSpan w:val="2"/>
          </w:tcPr>
          <w:p>
            <w:pPr>
              <w:jc w:val="right"/>
              <w:ind w:right="88"/>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Economic profit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12,636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8,606</w:t>
            </w:r>
          </w:p>
        </w:tc>
        <w:tc>
          <w:tcPr>
            <w:tcW w:w="12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46.8%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32,466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26,971</w:t>
            </w: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2"/>
        </w:trPr>
        <w:tc>
          <w:tcPr>
            <w:tcW w:w="3060" w:type="dxa"/>
            <w:vAlign w:val="bottom"/>
          </w:tcPr>
          <w:p>
            <w:pPr>
              <w:spacing w:after="0" w:line="201" w:lineRule="exact"/>
              <w:rPr>
                <w:sz w:val="20"/>
                <w:szCs w:val="20"/>
                <w:color w:val="auto"/>
              </w:rPr>
            </w:pPr>
            <w:r>
              <w:rPr>
                <w:rFonts w:ascii="Arial" w:cs="Arial" w:eastAsia="Arial" w:hAnsi="Arial"/>
                <w:sz w:val="18"/>
                <w:szCs w:val="18"/>
                <w:color w:val="auto"/>
              </w:rPr>
              <w:t>GAAP diluted weighted average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20"/>
              <w:spacing w:after="0"/>
              <w:rPr>
                <w:sz w:val="20"/>
                <w:szCs w:val="20"/>
                <w:color w:val="auto"/>
              </w:rPr>
            </w:pPr>
            <w:r>
              <w:rPr>
                <w:rFonts w:ascii="Arial" w:cs="Arial" w:eastAsia="Arial" w:hAnsi="Arial"/>
                <w:sz w:val="18"/>
                <w:szCs w:val="18"/>
                <w:color w:val="auto"/>
              </w:rPr>
              <w:t>shares outstanding</w:t>
            </w:r>
          </w:p>
        </w:tc>
        <w:tc>
          <w:tcPr>
            <w:tcW w:w="200" w:type="dxa"/>
            <w:vAlign w:val="bottom"/>
          </w:tcPr>
          <w:p>
            <w:pPr>
              <w:spacing w:after="0"/>
              <w:rPr>
                <w:sz w:val="20"/>
                <w:szCs w:val="20"/>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w w:val="88"/>
              </w:rPr>
              <w:t>31,024,455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w w:val="88"/>
              </w:rPr>
              <w:t>31,139,612</w:t>
            </w:r>
          </w:p>
        </w:tc>
        <w:tc>
          <w:tcPr>
            <w:tcW w:w="1220" w:type="dxa"/>
            <w:vAlign w:val="bottom"/>
            <w:gridSpan w:val="2"/>
          </w:tcPr>
          <w:p>
            <w:pPr>
              <w:jc w:val="right"/>
              <w:ind w:right="88"/>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w w:val="88"/>
              </w:rPr>
              <w:t>30,994,466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w w:val="88"/>
              </w:rPr>
              <w:t>31,228,893</w:t>
            </w: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per diluted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0.72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0.51</w:t>
            </w:r>
          </w:p>
        </w:tc>
        <w:tc>
          <w:tcPr>
            <w:tcW w:w="12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41.2%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1.50</w:t>
            </w: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Economic profit increased 46.8% and 20.4% for the three and nine months ended September 30, 2008, respectively, as compared to the same periods in 2007.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Economic profit is a function of the return on capital in excess of the cost of capital and the amount of capital invested in the business.</w:t>
      </w:r>
    </w:p>
    <w:p>
      <w:pPr>
        <w:spacing w:after="0" w:line="10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For the three months ended September 30, 2008, adjusted average capital grew by 42.3% and adjusted return on capital declined from 11.8% to 11.4%. For the nine months ended September 30, 2008, adjusted average capital grew by 39.9% while the adjusted return on capital declined from 12.3% to 11.0%.</w:t>
      </w:r>
    </w:p>
    <w:p>
      <w:pPr>
        <w:spacing w:after="0" w:line="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Although the return on capital is lower as compared to the prior year period, the return on capital improved during the third quarter of 2008 as compared to the second quarter of 2008. As we discussed in prior quarters, the decline in the return on capital experienced through the first quarter of 2008 was the result of lower yields produced by loans originated in 2006 and 2007 as a result of pricing reductions made during these periods in response to a difficult competitive environment. During the latter part of 2007 and during 2008, we increased prices which positively impacted the yield and return on capital of new originations. While the sequential improvement in the return on capital was less than it would have been had we not reduced our estimate of future loan collection rates during the second quarter of 2008, the return on capital improved to 11.4% during the quarter compared to 10.8% during the second quarter of 2008.</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ind w:right="620"/>
        <w:spacing w:after="0" w:line="277" w:lineRule="auto"/>
        <w:rPr>
          <w:sz w:val="20"/>
          <w:szCs w:val="20"/>
          <w:color w:val="auto"/>
        </w:rPr>
      </w:pPr>
      <w:r>
        <w:rPr>
          <w:rFonts w:ascii="Arial" w:cs="Arial" w:eastAsia="Arial" w:hAnsi="Arial"/>
          <w:sz w:val="18"/>
          <w:szCs w:val="18"/>
          <w:color w:val="auto"/>
        </w:rPr>
        <w:t>The following table shows adjusted revenue and adjusted operating expenses as a percentage of adjusted average capital and the percentage change in adjusted average capital for each of the last seven quarters, compared to the same periods in the prior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92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Sept. 30,</w:t>
            </w:r>
          </w:p>
        </w:tc>
        <w:tc>
          <w:tcPr>
            <w:tcW w:w="380" w:type="dxa"/>
            <w:vAlign w:val="bottom"/>
          </w:tcPr>
          <w:p>
            <w:pPr>
              <w:spacing w:after="0"/>
              <w:rPr>
                <w:sz w:val="10"/>
                <w:szCs w:val="10"/>
                <w:color w:val="auto"/>
              </w:rPr>
            </w:pPr>
          </w:p>
        </w:tc>
        <w:tc>
          <w:tcPr>
            <w:tcW w:w="90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Jun. 30,</w:t>
            </w:r>
          </w:p>
        </w:tc>
        <w:tc>
          <w:tcPr>
            <w:tcW w:w="380" w:type="dxa"/>
            <w:vAlign w:val="bottom"/>
          </w:tcPr>
          <w:p>
            <w:pPr>
              <w:spacing w:after="0"/>
              <w:rPr>
                <w:sz w:val="10"/>
                <w:szCs w:val="10"/>
                <w:color w:val="auto"/>
              </w:rPr>
            </w:pPr>
          </w:p>
        </w:tc>
        <w:tc>
          <w:tcPr>
            <w:tcW w:w="94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Mar. 31,</w:t>
            </w:r>
          </w:p>
        </w:tc>
        <w:tc>
          <w:tcPr>
            <w:tcW w:w="380" w:type="dxa"/>
            <w:vAlign w:val="bottom"/>
          </w:tcPr>
          <w:p>
            <w:pPr>
              <w:spacing w:after="0"/>
              <w:rPr>
                <w:sz w:val="10"/>
                <w:szCs w:val="10"/>
                <w:color w:val="auto"/>
              </w:rPr>
            </w:pPr>
          </w:p>
        </w:tc>
        <w:tc>
          <w:tcPr>
            <w:tcW w:w="1300" w:type="dxa"/>
            <w:vAlign w:val="bottom"/>
            <w:gridSpan w:val="4"/>
          </w:tcPr>
          <w:p>
            <w:pPr>
              <w:jc w:val="center"/>
              <w:ind w:right="380"/>
              <w:spacing w:after="0" w:line="119" w:lineRule="exact"/>
              <w:rPr>
                <w:sz w:val="20"/>
                <w:szCs w:val="20"/>
                <w:color w:val="auto"/>
              </w:rPr>
            </w:pPr>
            <w:r>
              <w:rPr>
                <w:rFonts w:ascii="Arial" w:cs="Arial" w:eastAsia="Arial" w:hAnsi="Arial"/>
                <w:sz w:val="13"/>
                <w:szCs w:val="13"/>
                <w:b w:val="1"/>
                <w:bCs w:val="1"/>
                <w:color w:val="auto"/>
                <w:w w:val="97"/>
              </w:rPr>
              <w:t>Dec. 31,</w:t>
            </w:r>
          </w:p>
        </w:tc>
        <w:tc>
          <w:tcPr>
            <w:tcW w:w="940" w:type="dxa"/>
            <w:vAlign w:val="bottom"/>
            <w:gridSpan w:val="3"/>
          </w:tcPr>
          <w:p>
            <w:pPr>
              <w:ind w:left="220"/>
              <w:spacing w:after="0" w:line="119" w:lineRule="exact"/>
              <w:rPr>
                <w:sz w:val="20"/>
                <w:szCs w:val="20"/>
                <w:color w:val="auto"/>
              </w:rPr>
            </w:pPr>
            <w:r>
              <w:rPr>
                <w:rFonts w:ascii="Arial" w:cs="Arial" w:eastAsia="Arial" w:hAnsi="Arial"/>
                <w:sz w:val="13"/>
                <w:szCs w:val="13"/>
                <w:b w:val="1"/>
                <w:bCs w:val="1"/>
                <w:color w:val="auto"/>
              </w:rPr>
              <w:t>Sept. 30,</w:t>
            </w:r>
          </w:p>
        </w:tc>
        <w:tc>
          <w:tcPr>
            <w:tcW w:w="380" w:type="dxa"/>
            <w:vAlign w:val="bottom"/>
          </w:tcPr>
          <w:p>
            <w:pPr>
              <w:spacing w:after="0"/>
              <w:rPr>
                <w:sz w:val="10"/>
                <w:szCs w:val="10"/>
                <w:color w:val="auto"/>
              </w:rPr>
            </w:pPr>
          </w:p>
        </w:tc>
        <w:tc>
          <w:tcPr>
            <w:tcW w:w="920" w:type="dxa"/>
            <w:vAlign w:val="bottom"/>
            <w:gridSpan w:val="3"/>
          </w:tcPr>
          <w:p>
            <w:pPr>
              <w:ind w:left="220"/>
              <w:spacing w:after="0" w:line="119" w:lineRule="exact"/>
              <w:rPr>
                <w:sz w:val="20"/>
                <w:szCs w:val="20"/>
                <w:color w:val="auto"/>
              </w:rPr>
            </w:pPr>
            <w:r>
              <w:rPr>
                <w:rFonts w:ascii="Arial" w:cs="Arial" w:eastAsia="Arial" w:hAnsi="Arial"/>
                <w:sz w:val="13"/>
                <w:szCs w:val="13"/>
                <w:b w:val="1"/>
                <w:bCs w:val="1"/>
                <w:color w:val="auto"/>
              </w:rPr>
              <w:t>Jun. 30,</w:t>
            </w:r>
          </w:p>
        </w:tc>
        <w:tc>
          <w:tcPr>
            <w:tcW w:w="380" w:type="dxa"/>
            <w:vAlign w:val="bottom"/>
          </w:tcPr>
          <w:p>
            <w:pPr>
              <w:spacing w:after="0"/>
              <w:rPr>
                <w:sz w:val="10"/>
                <w:szCs w:val="10"/>
                <w:color w:val="auto"/>
              </w:rPr>
            </w:pPr>
          </w:p>
        </w:tc>
        <w:tc>
          <w:tcPr>
            <w:tcW w:w="940" w:type="dxa"/>
            <w:vAlign w:val="bottom"/>
            <w:gridSpan w:val="3"/>
          </w:tcPr>
          <w:p>
            <w:pPr>
              <w:ind w:left="220"/>
              <w:spacing w:after="0" w:line="119" w:lineRule="exact"/>
              <w:rPr>
                <w:sz w:val="20"/>
                <w:szCs w:val="20"/>
                <w:color w:val="auto"/>
              </w:rPr>
            </w:pPr>
            <w:r>
              <w:rPr>
                <w:rFonts w:ascii="Arial" w:cs="Arial" w:eastAsia="Arial" w:hAnsi="Arial"/>
                <w:sz w:val="13"/>
                <w:szCs w:val="13"/>
                <w:b w:val="1"/>
                <w:bCs w:val="1"/>
                <w:color w:val="auto"/>
              </w:rPr>
              <w:t>Mar.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1000" w:type="dxa"/>
            <w:vAlign w:val="bottom"/>
            <w:gridSpan w:val="3"/>
          </w:tcPr>
          <w:p>
            <w:pPr>
              <w:ind w:left="700"/>
              <w:spacing w:after="0"/>
              <w:rPr>
                <w:sz w:val="20"/>
                <w:szCs w:val="20"/>
                <w:color w:val="auto"/>
              </w:rPr>
            </w:pPr>
            <w:r>
              <w:rPr>
                <w:rFonts w:ascii="Arial" w:cs="Arial" w:eastAsia="Arial" w:hAnsi="Arial"/>
                <w:sz w:val="14"/>
                <w:szCs w:val="14"/>
                <w:b w:val="1"/>
                <w:bCs w:val="1"/>
                <w:color w:val="auto"/>
                <w:w w:val="89"/>
              </w:rPr>
              <w:t>2007</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b w:val="1"/>
                <w:bCs w:val="1"/>
                <w:color w:val="auto"/>
                <w:w w:val="83"/>
              </w:rPr>
              <w:t>2007</w:t>
            </w:r>
          </w:p>
        </w:tc>
        <w:tc>
          <w:tcPr>
            <w:tcW w:w="320" w:type="dxa"/>
            <w:vAlign w:val="bottom"/>
          </w:tcPr>
          <w:p>
            <w:pPr>
              <w:spacing w:after="0"/>
              <w:rPr>
                <w:sz w:val="14"/>
                <w:szCs w:val="14"/>
                <w:color w:val="auto"/>
              </w:rPr>
            </w:pPr>
          </w:p>
        </w:tc>
        <w:tc>
          <w:tcPr>
            <w:tcW w:w="1000" w:type="dxa"/>
            <w:vAlign w:val="bottom"/>
            <w:gridSpan w:val="3"/>
          </w:tcPr>
          <w:p>
            <w:pPr>
              <w:ind w:left="700"/>
              <w:spacing w:after="0"/>
              <w:rPr>
                <w:sz w:val="20"/>
                <w:szCs w:val="20"/>
                <w:color w:val="auto"/>
              </w:rPr>
            </w:pPr>
            <w:r>
              <w:rPr>
                <w:rFonts w:ascii="Arial" w:cs="Arial" w:eastAsia="Arial" w:hAnsi="Arial"/>
                <w:sz w:val="14"/>
                <w:szCs w:val="14"/>
                <w:b w:val="1"/>
                <w:bCs w:val="1"/>
                <w:color w:val="auto"/>
                <w:w w:val="89"/>
              </w:rPr>
              <w:t>2007</w:t>
            </w:r>
          </w:p>
        </w:tc>
        <w:tc>
          <w:tcPr>
            <w:tcW w:w="300" w:type="dxa"/>
            <w:vAlign w:val="bottom"/>
          </w:tcPr>
          <w:p>
            <w:pPr>
              <w:spacing w:after="0"/>
              <w:rPr>
                <w:sz w:val="14"/>
                <w:szCs w:val="14"/>
                <w:color w:val="auto"/>
              </w:rPr>
            </w:pPr>
          </w:p>
        </w:tc>
        <w:tc>
          <w:tcPr>
            <w:tcW w:w="1000" w:type="dxa"/>
            <w:vAlign w:val="bottom"/>
            <w:gridSpan w:val="3"/>
          </w:tcPr>
          <w:p>
            <w:pPr>
              <w:ind w:left="720"/>
              <w:spacing w:after="0"/>
              <w:rPr>
                <w:sz w:val="20"/>
                <w:szCs w:val="20"/>
                <w:color w:val="auto"/>
              </w:rPr>
            </w:pPr>
            <w:r>
              <w:rPr>
                <w:rFonts w:ascii="Arial" w:cs="Arial" w:eastAsia="Arial" w:hAnsi="Arial"/>
                <w:sz w:val="14"/>
                <w:szCs w:val="14"/>
                <w:b w:val="1"/>
                <w:bCs w:val="1"/>
                <w:color w:val="auto"/>
                <w:w w:val="83"/>
              </w:rPr>
              <w:t>2007</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Adjusted revenue as a</w:t>
            </w:r>
          </w:p>
        </w:tc>
        <w:tc>
          <w:tcPr>
            <w:tcW w:w="2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percentage of adjusted</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capital</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28.9%</w:t>
            </w:r>
          </w:p>
        </w:tc>
        <w:tc>
          <w:tcPr>
            <w:tcW w:w="12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28.5%</w:t>
            </w:r>
          </w:p>
        </w:tc>
        <w:tc>
          <w:tcPr>
            <w:tcW w:w="13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130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31.7%</w:t>
            </w:r>
          </w:p>
        </w:tc>
        <w:tc>
          <w:tcPr>
            <w:tcW w:w="3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32.5%</w:t>
            </w:r>
          </w:p>
        </w:tc>
        <w:tc>
          <w:tcPr>
            <w:tcW w:w="130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32.3%</w:t>
            </w:r>
          </w:p>
        </w:tc>
        <w:tc>
          <w:tcPr>
            <w:tcW w:w="132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2660" w:type="dxa"/>
            <w:vAlign w:val="bottom"/>
            <w:gridSpan w:val="2"/>
            <w:vMerge w:val="restart"/>
          </w:tcPr>
          <w:p>
            <w:pPr>
              <w:spacing w:after="0"/>
              <w:rPr>
                <w:sz w:val="20"/>
                <w:szCs w:val="20"/>
                <w:color w:val="auto"/>
              </w:rPr>
            </w:pPr>
            <w:r>
              <w:rPr>
                <w:rFonts w:ascii="Arial" w:cs="Arial" w:eastAsia="Arial" w:hAnsi="Arial"/>
                <w:sz w:val="18"/>
                <w:szCs w:val="18"/>
                <w:color w:val="auto"/>
              </w:rPr>
              <w:t>Adjusted operating expenses as</w:t>
            </w: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6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200"/>
              <w:spacing w:after="0"/>
              <w:rPr>
                <w:sz w:val="20"/>
                <w:szCs w:val="20"/>
                <w:color w:val="auto"/>
              </w:rPr>
            </w:pPr>
            <w:r>
              <w:rPr>
                <w:rFonts w:ascii="Arial" w:cs="Arial" w:eastAsia="Arial" w:hAnsi="Arial"/>
                <w:sz w:val="18"/>
                <w:szCs w:val="18"/>
                <w:color w:val="auto"/>
              </w:rPr>
              <w:t>a percentage of adjusted</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200"/>
              <w:spacing w:after="0"/>
              <w:rPr>
                <w:sz w:val="20"/>
                <w:szCs w:val="20"/>
                <w:color w:val="auto"/>
              </w:rPr>
            </w:pPr>
            <w:r>
              <w:rPr>
                <w:rFonts w:ascii="Arial" w:cs="Arial" w:eastAsia="Arial" w:hAnsi="Arial"/>
                <w:sz w:val="18"/>
                <w:szCs w:val="18"/>
                <w:color w:val="auto"/>
              </w:rPr>
              <w:t>average capital</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10.8%</w:t>
            </w:r>
          </w:p>
        </w:tc>
        <w:tc>
          <w:tcPr>
            <w:tcW w:w="1280" w:type="dxa"/>
            <w:vAlign w:val="bottom"/>
            <w:gridSpan w:val="4"/>
          </w:tcPr>
          <w:p>
            <w:pPr>
              <w:jc w:val="right"/>
              <w:ind w:right="160"/>
              <w:spacing w:after="0"/>
              <w:rPr>
                <w:sz w:val="20"/>
                <w:szCs w:val="20"/>
                <w:color w:val="auto"/>
              </w:rPr>
            </w:pPr>
            <w:r>
              <w:rPr>
                <w:rFonts w:ascii="Arial" w:cs="Arial" w:eastAsia="Arial" w:hAnsi="Arial"/>
                <w:sz w:val="18"/>
                <w:szCs w:val="18"/>
                <w:color w:val="auto"/>
              </w:rPr>
              <w:t>11.3%</w:t>
            </w:r>
          </w:p>
        </w:tc>
        <w:tc>
          <w:tcPr>
            <w:tcW w:w="1320" w:type="dxa"/>
            <w:vAlign w:val="bottom"/>
            <w:gridSpan w:val="4"/>
          </w:tcPr>
          <w:p>
            <w:pPr>
              <w:jc w:val="right"/>
              <w:ind w:right="160"/>
              <w:spacing w:after="0"/>
              <w:rPr>
                <w:sz w:val="20"/>
                <w:szCs w:val="20"/>
                <w:color w:val="auto"/>
              </w:rPr>
            </w:pPr>
            <w:r>
              <w:rPr>
                <w:rFonts w:ascii="Arial" w:cs="Arial" w:eastAsia="Arial" w:hAnsi="Arial"/>
                <w:sz w:val="18"/>
                <w:szCs w:val="18"/>
                <w:color w:val="auto"/>
              </w:rPr>
              <w:t>13.6%</w:t>
            </w:r>
          </w:p>
        </w:tc>
        <w:tc>
          <w:tcPr>
            <w:tcW w:w="1300" w:type="dxa"/>
            <w:vAlign w:val="bottom"/>
            <w:gridSpan w:val="4"/>
          </w:tcPr>
          <w:p>
            <w:pPr>
              <w:ind w:left="680"/>
              <w:spacing w:after="0"/>
              <w:rPr>
                <w:sz w:val="20"/>
                <w:szCs w:val="20"/>
                <w:color w:val="auto"/>
              </w:rPr>
            </w:pPr>
            <w:r>
              <w:rPr>
                <w:rFonts w:ascii="Arial" w:cs="Arial" w:eastAsia="Arial" w:hAnsi="Arial"/>
                <w:sz w:val="18"/>
                <w:szCs w:val="18"/>
                <w:color w:val="auto"/>
              </w:rPr>
              <w:t>14.7%</w:t>
            </w:r>
          </w:p>
        </w:tc>
        <w:tc>
          <w:tcPr>
            <w:tcW w:w="380" w:type="dxa"/>
            <w:vAlign w:val="bottom"/>
          </w:tcPr>
          <w:p>
            <w:pPr>
              <w:spacing w:after="0"/>
              <w:rPr>
                <w:sz w:val="20"/>
                <w:szCs w:val="20"/>
                <w:color w:val="auto"/>
              </w:rPr>
            </w:pPr>
          </w:p>
        </w:tc>
        <w:tc>
          <w:tcPr>
            <w:tcW w:w="940" w:type="dxa"/>
            <w:vAlign w:val="bottom"/>
            <w:gridSpan w:val="3"/>
          </w:tcPr>
          <w:p>
            <w:pPr>
              <w:ind w:left="320"/>
              <w:spacing w:after="0"/>
              <w:rPr>
                <w:sz w:val="20"/>
                <w:szCs w:val="20"/>
                <w:color w:val="auto"/>
              </w:rPr>
            </w:pPr>
            <w:r>
              <w:rPr>
                <w:rFonts w:ascii="Arial" w:cs="Arial" w:eastAsia="Arial" w:hAnsi="Arial"/>
                <w:sz w:val="18"/>
                <w:szCs w:val="18"/>
                <w:color w:val="auto"/>
              </w:rPr>
              <w:t>13.6%</w:t>
            </w:r>
          </w:p>
        </w:tc>
        <w:tc>
          <w:tcPr>
            <w:tcW w:w="1300" w:type="dxa"/>
            <w:vAlign w:val="bottom"/>
            <w:gridSpan w:val="4"/>
          </w:tcPr>
          <w:p>
            <w:pPr>
              <w:ind w:left="680"/>
              <w:spacing w:after="0"/>
              <w:rPr>
                <w:sz w:val="20"/>
                <w:szCs w:val="20"/>
                <w:color w:val="auto"/>
              </w:rPr>
            </w:pPr>
            <w:r>
              <w:rPr>
                <w:rFonts w:ascii="Arial" w:cs="Arial" w:eastAsia="Arial" w:hAnsi="Arial"/>
                <w:sz w:val="18"/>
                <w:szCs w:val="18"/>
                <w:color w:val="auto"/>
              </w:rPr>
              <w:t>13.6%</w:t>
            </w:r>
          </w:p>
        </w:tc>
        <w:tc>
          <w:tcPr>
            <w:tcW w:w="1320" w:type="dxa"/>
            <w:vAlign w:val="bottom"/>
            <w:gridSpan w:val="4"/>
          </w:tcPr>
          <w:p>
            <w:pPr>
              <w:ind w:left="7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Adjusted return on capital</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c>
          <w:tcPr>
            <w:tcW w:w="12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13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130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rPr>
              <w:t>10.7%</w:t>
            </w:r>
          </w:p>
        </w:tc>
        <w:tc>
          <w:tcPr>
            <w:tcW w:w="3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11.8%</w:t>
            </w:r>
          </w:p>
        </w:tc>
        <w:tc>
          <w:tcPr>
            <w:tcW w:w="130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11.8%</w:t>
            </w:r>
          </w:p>
        </w:tc>
        <w:tc>
          <w:tcPr>
            <w:tcW w:w="132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660" w:type="dxa"/>
            <w:vAlign w:val="bottom"/>
            <w:gridSpan w:val="2"/>
            <w:vMerge w:val="restart"/>
          </w:tcPr>
          <w:p>
            <w:pPr>
              <w:spacing w:after="0"/>
              <w:rPr>
                <w:sz w:val="20"/>
                <w:szCs w:val="20"/>
                <w:color w:val="auto"/>
              </w:rPr>
            </w:pPr>
            <w:r>
              <w:rPr>
                <w:rFonts w:ascii="Arial" w:cs="Arial" w:eastAsia="Arial" w:hAnsi="Arial"/>
                <w:sz w:val="18"/>
                <w:szCs w:val="18"/>
                <w:color w:val="auto"/>
              </w:rPr>
              <w:t>Percentage change in adjusted</w:t>
            </w: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6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200"/>
              <w:spacing w:after="0"/>
              <w:rPr>
                <w:sz w:val="20"/>
                <w:szCs w:val="20"/>
                <w:color w:val="auto"/>
              </w:rPr>
            </w:pPr>
            <w:r>
              <w:rPr>
                <w:rFonts w:ascii="Arial" w:cs="Arial" w:eastAsia="Arial" w:hAnsi="Arial"/>
                <w:sz w:val="18"/>
                <w:szCs w:val="18"/>
                <w:color w:val="auto"/>
              </w:rPr>
              <w:t>average capital compared to</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200"/>
              <w:spacing w:after="0"/>
              <w:rPr>
                <w:sz w:val="20"/>
                <w:szCs w:val="20"/>
                <w:color w:val="auto"/>
              </w:rPr>
            </w:pPr>
            <w:r>
              <w:rPr>
                <w:rFonts w:ascii="Arial" w:cs="Arial" w:eastAsia="Arial" w:hAnsi="Arial"/>
                <w:sz w:val="18"/>
                <w:szCs w:val="18"/>
                <w:color w:val="auto"/>
              </w:rPr>
              <w:t>the same period in the prior</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200"/>
              <w:spacing w:after="0"/>
              <w:rPr>
                <w:sz w:val="20"/>
                <w:szCs w:val="20"/>
                <w:color w:val="auto"/>
              </w:rPr>
            </w:pPr>
            <w:r>
              <w:rPr>
                <w:rFonts w:ascii="Arial" w:cs="Arial" w:eastAsia="Arial" w:hAnsi="Arial"/>
                <w:sz w:val="18"/>
                <w:szCs w:val="18"/>
                <w:color w:val="auto"/>
              </w:rPr>
              <w:t>year</w:t>
            </w:r>
          </w:p>
        </w:tc>
        <w:tc>
          <w:tcPr>
            <w:tcW w:w="28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42.3%</w:t>
            </w:r>
          </w:p>
        </w:tc>
        <w:tc>
          <w:tcPr>
            <w:tcW w:w="1280" w:type="dxa"/>
            <w:vAlign w:val="bottom"/>
            <w:gridSpan w:val="4"/>
          </w:tcPr>
          <w:p>
            <w:pPr>
              <w:jc w:val="right"/>
              <w:ind w:right="160"/>
              <w:spacing w:after="0"/>
              <w:rPr>
                <w:sz w:val="20"/>
                <w:szCs w:val="20"/>
                <w:color w:val="auto"/>
              </w:rPr>
            </w:pPr>
            <w:r>
              <w:rPr>
                <w:rFonts w:ascii="Arial" w:cs="Arial" w:eastAsia="Arial" w:hAnsi="Arial"/>
                <w:sz w:val="18"/>
                <w:szCs w:val="18"/>
                <w:color w:val="auto"/>
              </w:rPr>
              <w:t>39.6%</w:t>
            </w:r>
          </w:p>
        </w:tc>
        <w:tc>
          <w:tcPr>
            <w:tcW w:w="1320" w:type="dxa"/>
            <w:vAlign w:val="bottom"/>
            <w:gridSpan w:val="4"/>
          </w:tcPr>
          <w:p>
            <w:pPr>
              <w:jc w:val="right"/>
              <w:ind w:right="160"/>
              <w:spacing w:after="0"/>
              <w:rPr>
                <w:sz w:val="20"/>
                <w:szCs w:val="20"/>
                <w:color w:val="auto"/>
              </w:rPr>
            </w:pPr>
            <w:r>
              <w:rPr>
                <w:rFonts w:ascii="Arial" w:cs="Arial" w:eastAsia="Arial" w:hAnsi="Arial"/>
                <w:sz w:val="18"/>
                <w:szCs w:val="18"/>
                <w:color w:val="auto"/>
              </w:rPr>
              <w:t>37.5%</w:t>
            </w:r>
          </w:p>
        </w:tc>
        <w:tc>
          <w:tcPr>
            <w:tcW w:w="1300" w:type="dxa"/>
            <w:vAlign w:val="bottom"/>
            <w:gridSpan w:val="4"/>
          </w:tcPr>
          <w:p>
            <w:pPr>
              <w:ind w:left="680"/>
              <w:spacing w:after="0"/>
              <w:rPr>
                <w:sz w:val="20"/>
                <w:szCs w:val="20"/>
                <w:color w:val="auto"/>
              </w:rPr>
            </w:pPr>
            <w:r>
              <w:rPr>
                <w:rFonts w:ascii="Arial" w:cs="Arial" w:eastAsia="Arial" w:hAnsi="Arial"/>
                <w:sz w:val="18"/>
                <w:szCs w:val="18"/>
                <w:color w:val="auto"/>
              </w:rPr>
              <w:t>35.5%</w:t>
            </w:r>
          </w:p>
        </w:tc>
        <w:tc>
          <w:tcPr>
            <w:tcW w:w="380" w:type="dxa"/>
            <w:vAlign w:val="bottom"/>
          </w:tcPr>
          <w:p>
            <w:pPr>
              <w:spacing w:after="0"/>
              <w:rPr>
                <w:sz w:val="20"/>
                <w:szCs w:val="20"/>
                <w:color w:val="auto"/>
              </w:rPr>
            </w:pPr>
          </w:p>
        </w:tc>
        <w:tc>
          <w:tcPr>
            <w:tcW w:w="940" w:type="dxa"/>
            <w:vAlign w:val="bottom"/>
            <w:gridSpan w:val="3"/>
          </w:tcPr>
          <w:p>
            <w:pPr>
              <w:ind w:left="320"/>
              <w:spacing w:after="0"/>
              <w:rPr>
                <w:sz w:val="20"/>
                <w:szCs w:val="20"/>
                <w:color w:val="auto"/>
              </w:rPr>
            </w:pPr>
            <w:r>
              <w:rPr>
                <w:rFonts w:ascii="Arial" w:cs="Arial" w:eastAsia="Arial" w:hAnsi="Arial"/>
                <w:sz w:val="18"/>
                <w:szCs w:val="18"/>
                <w:color w:val="auto"/>
              </w:rPr>
              <w:t>34.2%</w:t>
            </w:r>
          </w:p>
        </w:tc>
        <w:tc>
          <w:tcPr>
            <w:tcW w:w="1300" w:type="dxa"/>
            <w:vAlign w:val="bottom"/>
            <w:gridSpan w:val="4"/>
          </w:tcPr>
          <w:p>
            <w:pPr>
              <w:ind w:left="680"/>
              <w:spacing w:after="0"/>
              <w:rPr>
                <w:sz w:val="20"/>
                <w:szCs w:val="20"/>
                <w:color w:val="auto"/>
              </w:rPr>
            </w:pPr>
            <w:r>
              <w:rPr>
                <w:rFonts w:ascii="Arial" w:cs="Arial" w:eastAsia="Arial" w:hAnsi="Arial"/>
                <w:sz w:val="18"/>
                <w:szCs w:val="18"/>
                <w:color w:val="auto"/>
              </w:rPr>
              <w:t>29.4%</w:t>
            </w:r>
          </w:p>
        </w:tc>
        <w:tc>
          <w:tcPr>
            <w:tcW w:w="1320" w:type="dxa"/>
            <w:vAlign w:val="bottom"/>
            <w:gridSpan w:val="4"/>
          </w:tcPr>
          <w:p>
            <w:pPr>
              <w:ind w:left="7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right="540"/>
        <w:spacing w:after="0" w:line="277" w:lineRule="auto"/>
        <w:rPr>
          <w:sz w:val="20"/>
          <w:szCs w:val="20"/>
          <w:color w:val="auto"/>
        </w:rPr>
      </w:pPr>
      <w:r>
        <w:rPr>
          <w:rFonts w:ascii="Arial" w:cs="Arial" w:eastAsia="Arial" w:hAnsi="Arial"/>
          <w:sz w:val="18"/>
          <w:szCs w:val="18"/>
          <w:color w:val="auto"/>
        </w:rPr>
        <w:t>The following tables show how non-GAAP measures reconcile to GAAP measures. All after-tax adjustments are calculated using a 37% tax rate as we estimate that to be our long term average effective tax rate. Amounts do not recalculate due to rounding.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gridSpan w:val="9"/>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100" w:type="dxa"/>
            <w:vAlign w:val="bottom"/>
          </w:tcPr>
          <w:p>
            <w:pPr>
              <w:spacing w:after="0"/>
              <w:rPr>
                <w:sz w:val="14"/>
                <w:szCs w:val="14"/>
                <w:color w:val="auto"/>
              </w:rPr>
            </w:pPr>
          </w:p>
        </w:tc>
        <w:tc>
          <w:tcPr>
            <w:tcW w:w="302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w w:val="96"/>
              </w:rPr>
              <w:t>Three Months Ended September 30,</w:t>
            </w: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4"/>
                <w:szCs w:val="14"/>
                <w:color w:val="auto"/>
              </w:rPr>
            </w:pPr>
          </w:p>
        </w:tc>
        <w:tc>
          <w:tcPr>
            <w:tcW w:w="29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7"/>
              </w:rPr>
              <w:t>Nine Months Ended September 30,</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4"/>
              </w:rPr>
              <w:t>% Change</w:t>
            </w:r>
          </w:p>
        </w:tc>
        <w:tc>
          <w:tcPr>
            <w:tcW w:w="0" w:type="dxa"/>
            <w:vAlign w:val="bottom"/>
          </w:tcPr>
          <w:p>
            <w:pPr>
              <w:spacing w:after="0"/>
              <w:rPr>
                <w:sz w:val="1"/>
                <w:szCs w:val="1"/>
                <w:color w:val="auto"/>
              </w:rPr>
            </w:pPr>
          </w:p>
        </w:tc>
      </w:tr>
      <w:tr>
        <w:trPr>
          <w:trHeight w:val="142"/>
        </w:trPr>
        <w:tc>
          <w:tcPr>
            <w:tcW w:w="3240" w:type="dxa"/>
            <w:vAlign w:val="bottom"/>
            <w:gridSpan w:val="9"/>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2008</w:t>
            </w: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2007</w:t>
            </w:r>
          </w:p>
        </w:tc>
        <w:tc>
          <w:tcPr>
            <w:tcW w:w="5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2008</w:t>
            </w: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2007</w:t>
            </w:r>
          </w:p>
        </w:tc>
        <w:tc>
          <w:tcPr>
            <w:tcW w:w="5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20" w:type="dxa"/>
            <w:vAlign w:val="bottom"/>
            <w:gridSpan w:val="8"/>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Adjusted net income</w:t>
            </w: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GAAP net income</w:t>
            </w:r>
          </w:p>
        </w:tc>
        <w:tc>
          <w:tcPr>
            <w:tcW w:w="1660" w:type="dxa"/>
            <w:vAlign w:val="bottom"/>
            <w:tcBorders>
              <w:top w:val="single" w:sz="8" w:color="CCEEFF"/>
            </w:tcBorders>
            <w:gridSpan w:val="4"/>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20,657</w:t>
            </w: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tcBorders>
            <w:gridSpan w:val="2"/>
          </w:tcPr>
          <w:p>
            <w:pPr>
              <w:jc w:val="right"/>
              <w:ind w:right="500"/>
              <w:spacing w:after="0"/>
              <w:rPr>
                <w:sz w:val="20"/>
                <w:szCs w:val="20"/>
                <w:color w:val="auto"/>
              </w:rPr>
            </w:pPr>
            <w:r>
              <w:rPr>
                <w:rFonts w:ascii="Arial" w:cs="Arial" w:eastAsia="Arial" w:hAnsi="Arial"/>
                <w:sz w:val="18"/>
                <w:szCs w:val="18"/>
                <w:color w:val="auto"/>
              </w:rPr>
              <w:t>14,742</w:t>
            </w:r>
          </w:p>
        </w:tc>
        <w:tc>
          <w:tcPr>
            <w:tcW w:w="116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40.1%</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CCEEFF"/>
            </w:tcBorders>
            <w:gridSpan w:val="2"/>
          </w:tcPr>
          <w:p>
            <w:pPr>
              <w:jc w:val="right"/>
              <w:ind w:right="760"/>
              <w:spacing w:after="0"/>
              <w:rPr>
                <w:sz w:val="20"/>
                <w:szCs w:val="20"/>
                <w:color w:val="auto"/>
              </w:rPr>
            </w:pPr>
            <w:r>
              <w:rPr>
                <w:rFonts w:ascii="Arial" w:cs="Arial" w:eastAsia="Arial" w:hAnsi="Arial"/>
                <w:sz w:val="18"/>
                <w:szCs w:val="18"/>
                <w:color w:val="auto"/>
              </w:rPr>
              <w:t>48,621</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CCEEFF"/>
            </w:tcBorders>
            <w:gridSpan w:val="2"/>
          </w:tcPr>
          <w:p>
            <w:pPr>
              <w:jc w:val="right"/>
              <w:ind w:right="480"/>
              <w:spacing w:after="0"/>
              <w:rPr>
                <w:sz w:val="20"/>
                <w:szCs w:val="20"/>
                <w:color w:val="auto"/>
              </w:rPr>
            </w:pPr>
            <w:r>
              <w:rPr>
                <w:rFonts w:ascii="Arial" w:cs="Arial" w:eastAsia="Arial" w:hAnsi="Arial"/>
                <w:sz w:val="18"/>
                <w:szCs w:val="18"/>
                <w:color w:val="auto"/>
              </w:rPr>
              <w:t>42,432</w:t>
            </w:r>
          </w:p>
        </w:tc>
        <w:tc>
          <w:tcPr>
            <w:tcW w:w="8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Floating yield adjustment (after-tax)</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1,183</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1,265</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8,955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1,964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8"/>
          </w:tcPr>
          <w:p>
            <w:pPr>
              <w:spacing w:after="0"/>
              <w:rPr>
                <w:sz w:val="20"/>
                <w:szCs w:val="20"/>
                <w:color w:val="auto"/>
              </w:rPr>
            </w:pPr>
            <w:r>
              <w:rPr>
                <w:rFonts w:ascii="Arial" w:cs="Arial" w:eastAsia="Arial" w:hAnsi="Arial"/>
                <w:sz w:val="18"/>
                <w:szCs w:val="18"/>
                <w:color w:val="auto"/>
              </w:rPr>
              <w:t>License fee yield adjustment (after-tax)</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925</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3,632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rPr>
              <w:t>Gain from discontinued United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Kingdom segment and other related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items (after-tax)</w:t>
            </w:r>
          </w:p>
        </w:tc>
        <w:tc>
          <w:tcPr>
            <w:tcW w:w="1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(326)</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(1,273)</w:t>
            </w: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(1,082)</w:t>
            </w: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8"/>
          </w:tcPr>
          <w:p>
            <w:pPr>
              <w:spacing w:after="0"/>
              <w:rPr>
                <w:sz w:val="20"/>
                <w:szCs w:val="20"/>
                <w:color w:val="auto"/>
              </w:rPr>
            </w:pPr>
            <w:r>
              <w:rPr>
                <w:rFonts w:ascii="Arial" w:cs="Arial" w:eastAsia="Arial" w:hAnsi="Arial"/>
                <w:sz w:val="18"/>
                <w:szCs w:val="18"/>
                <w:color w:val="auto"/>
              </w:rPr>
              <w:t>Litigation</w:t>
            </w:r>
          </w:p>
        </w:tc>
        <w:tc>
          <w:tcPr>
            <w:tcW w:w="100" w:type="dxa"/>
            <w:vAlign w:val="bottom"/>
          </w:tcPr>
          <w:p>
            <w:pPr>
              <w:spacing w:after="0"/>
              <w:rPr>
                <w:sz w:val="18"/>
                <w:szCs w:val="18"/>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91</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406</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rPr>
              <w:t>Interest expense related to interest rate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swap agreement</w:t>
            </w:r>
          </w:p>
        </w:tc>
        <w:tc>
          <w:tcPr>
            <w:tcW w:w="1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(179)</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8"/>
          </w:tcPr>
          <w:p>
            <w:pPr>
              <w:spacing w:after="0"/>
              <w:rPr>
                <w:sz w:val="20"/>
                <w:szCs w:val="20"/>
                <w:color w:val="auto"/>
              </w:rPr>
            </w:pPr>
            <w:r>
              <w:rPr>
                <w:rFonts w:ascii="Arial" w:cs="Arial" w:eastAsia="Arial" w:hAnsi="Arial"/>
                <w:sz w:val="18"/>
                <w:szCs w:val="18"/>
                <w:color w:val="auto"/>
              </w:rPr>
              <w:t>Adjustment to record taxes at 37% (1)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(566)</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Adjusted net income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15,754</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59,220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46,786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324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Adjusted net income per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240" w:type="dxa"/>
            <w:vAlign w:val="bottom"/>
            <w:gridSpan w:val="9"/>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top w:val="single" w:sz="8" w:color="auto"/>
            </w:tcBorders>
            <w:gridSpan w:val="7"/>
          </w:tcPr>
          <w:p>
            <w:pPr>
              <w:ind w:left="200"/>
              <w:spacing w:after="0" w:line="196" w:lineRule="exact"/>
              <w:rPr>
                <w:sz w:val="20"/>
                <w:szCs w:val="20"/>
                <w:color w:val="auto"/>
              </w:rPr>
            </w:pPr>
            <w:r>
              <w:rPr>
                <w:rFonts w:ascii="Arial" w:cs="Arial" w:eastAsia="Arial" w:hAnsi="Arial"/>
                <w:sz w:val="18"/>
                <w:szCs w:val="18"/>
                <w:b w:val="1"/>
                <w:bCs w:val="1"/>
                <w:color w:val="auto"/>
              </w:rPr>
              <w:t>share</w:t>
            </w:r>
          </w:p>
        </w:tc>
        <w:tc>
          <w:tcPr>
            <w:tcW w:w="7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0.72</w:t>
            </w:r>
          </w:p>
        </w:tc>
        <w:tc>
          <w:tcPr>
            <w:tcW w:w="44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line="196" w:lineRule="exact"/>
              <w:rPr>
                <w:sz w:val="20"/>
                <w:szCs w:val="20"/>
                <w:color w:val="auto"/>
              </w:rPr>
            </w:pPr>
            <w:r>
              <w:rPr>
                <w:rFonts w:ascii="Arial" w:cs="Arial" w:eastAsia="Arial" w:hAnsi="Arial"/>
                <w:sz w:val="18"/>
                <w:szCs w:val="18"/>
                <w:color w:val="auto"/>
              </w:rPr>
              <w:t>0.51</w:t>
            </w:r>
          </w:p>
        </w:tc>
        <w:tc>
          <w:tcPr>
            <w:tcW w:w="116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41.2%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760"/>
              <w:spacing w:after="0" w:line="196" w:lineRule="exact"/>
              <w:rPr>
                <w:sz w:val="20"/>
                <w:szCs w:val="20"/>
                <w:color w:val="auto"/>
              </w:rPr>
            </w:pPr>
            <w:r>
              <w:rPr>
                <w:rFonts w:ascii="Arial" w:cs="Arial" w:eastAsia="Arial" w:hAnsi="Arial"/>
                <w:sz w:val="18"/>
                <w:szCs w:val="18"/>
                <w:color w:val="auto"/>
              </w:rPr>
              <w:t>1.91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80"/>
              <w:spacing w:after="0" w:line="196" w:lineRule="exact"/>
              <w:rPr>
                <w:sz w:val="20"/>
                <w:szCs w:val="20"/>
                <w:color w:val="auto"/>
              </w:rPr>
            </w:pPr>
            <w:r>
              <w:rPr>
                <w:rFonts w:ascii="Arial" w:cs="Arial" w:eastAsia="Arial" w:hAnsi="Arial"/>
                <w:sz w:val="18"/>
                <w:szCs w:val="18"/>
                <w:color w:val="auto"/>
              </w:rPr>
              <w:t>1.50</w:t>
            </w:r>
          </w:p>
        </w:tc>
        <w:tc>
          <w:tcPr>
            <w:tcW w:w="8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2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rPr>
              <w:t>Diluted weighted average shares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31,024,455</w:t>
            </w: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31,139,612</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8"/>
              </w:rPr>
              <w:t>30,994,466</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31,228,893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392"/>
        </w:trPr>
        <w:tc>
          <w:tcPr>
            <w:tcW w:w="3240" w:type="dxa"/>
            <w:vAlign w:val="bottom"/>
            <w:gridSpan w:val="9"/>
          </w:tcPr>
          <w:p>
            <w:pPr>
              <w:spacing w:after="0"/>
              <w:rPr>
                <w:sz w:val="20"/>
                <w:szCs w:val="20"/>
                <w:color w:val="auto"/>
              </w:rPr>
            </w:pPr>
            <w:r>
              <w:rPr>
                <w:rFonts w:ascii="Arial" w:cs="Arial" w:eastAsia="Arial" w:hAnsi="Arial"/>
                <w:sz w:val="18"/>
                <w:szCs w:val="18"/>
                <w:b w:val="1"/>
                <w:bCs w:val="1"/>
                <w:color w:val="auto"/>
              </w:rPr>
              <w:t>Adjusted average capital</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GAAP average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706,637</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477,930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659,193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454,595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8"/>
          </w:tcPr>
          <w:p>
            <w:pPr>
              <w:spacing w:after="0"/>
              <w:rPr>
                <w:sz w:val="20"/>
                <w:szCs w:val="20"/>
                <w:color w:val="auto"/>
              </w:rPr>
            </w:pPr>
            <w:r>
              <w:rPr>
                <w:rFonts w:ascii="Arial" w:cs="Arial" w:eastAsia="Arial" w:hAnsi="Arial"/>
                <w:sz w:val="18"/>
                <w:szCs w:val="18"/>
                <w:color w:val="auto"/>
              </w:rPr>
              <w:t>GAAP average shareholders’ equity</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308,990</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243,922</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8"/>
                <w:szCs w:val="18"/>
                <w:color w:val="auto"/>
              </w:rPr>
              <w:t>293,219</w:t>
            </w: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231,788</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Floating yield adjustment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18,002</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8,348</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12,135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7,669</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8"/>
          </w:tcPr>
          <w:p>
            <w:pPr>
              <w:spacing w:after="0"/>
              <w:rPr>
                <w:sz w:val="20"/>
                <w:szCs w:val="20"/>
                <w:color w:val="auto"/>
              </w:rPr>
            </w:pPr>
            <w:r>
              <w:rPr>
                <w:rFonts w:ascii="Arial" w:cs="Arial" w:eastAsia="Arial" w:hAnsi="Arial"/>
                <w:sz w:val="18"/>
                <w:szCs w:val="18"/>
                <w:color w:val="auto"/>
              </w:rPr>
              <w:t>License fee yield adjustment</w:t>
            </w:r>
          </w:p>
        </w:tc>
        <w:tc>
          <w:tcPr>
            <w:tcW w:w="100" w:type="dxa"/>
            <w:vAlign w:val="bottom"/>
          </w:tcPr>
          <w:p>
            <w:pPr>
              <w:spacing w:after="0"/>
              <w:rPr>
                <w:sz w:val="18"/>
                <w:szCs w:val="18"/>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(2,048)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(5,316)</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(6,448)</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Adjusted average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1,031,581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724,884</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961,944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687,604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0"/>
        </w:trPr>
        <w:tc>
          <w:tcPr>
            <w:tcW w:w="324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Adjusted return on capital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240" w:type="dxa"/>
            <w:vAlign w:val="bottom"/>
            <w:gridSpan w:val="9"/>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22,260</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15,754</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59,220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46,786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gridSpan w:val="8"/>
          </w:tcPr>
          <w:p>
            <w:pPr>
              <w:spacing w:after="0"/>
              <w:rPr>
                <w:sz w:val="20"/>
                <w:szCs w:val="20"/>
                <w:color w:val="auto"/>
              </w:rPr>
            </w:pPr>
            <w:r>
              <w:rPr>
                <w:rFonts w:ascii="Arial" w:cs="Arial" w:eastAsia="Arial" w:hAnsi="Arial"/>
                <w:sz w:val="18"/>
                <w:szCs w:val="18"/>
                <w:color w:val="auto"/>
              </w:rPr>
              <w:t>Adjusted interest expense after-tax</w:t>
            </w: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7,081</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5,689</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8"/>
                <w:szCs w:val="18"/>
                <w:color w:val="auto"/>
              </w:rPr>
              <w:t>19,996</w:t>
            </w:r>
          </w:p>
        </w:tc>
        <w:tc>
          <w:tcPr>
            <w:tcW w:w="100" w:type="dxa"/>
            <w:vAlign w:val="bottom"/>
          </w:tcPr>
          <w:p>
            <w:pPr>
              <w:spacing w:after="0"/>
              <w:rPr>
                <w:sz w:val="19"/>
                <w:szCs w:val="19"/>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16,870</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gridSpan w:val="8"/>
            <w:shd w:val="clear" w:color="auto" w:fill="CCEEFF"/>
          </w:tcPr>
          <w:p>
            <w:pPr>
              <w:ind w:left="200"/>
              <w:spacing w:after="0" w:line="201" w:lineRule="exact"/>
              <w:rPr>
                <w:sz w:val="20"/>
                <w:szCs w:val="20"/>
                <w:color w:val="auto"/>
              </w:rPr>
            </w:pPr>
            <w:r>
              <w:rPr>
                <w:rFonts w:ascii="Arial" w:cs="Arial" w:eastAsia="Arial" w:hAnsi="Arial"/>
                <w:sz w:val="18"/>
                <w:szCs w:val="18"/>
                <w:color w:val="auto"/>
              </w:rPr>
              <w:t>Adjusted net income plus interest</w:t>
            </w: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20" w:type="dxa"/>
            <w:vAlign w:val="bottom"/>
            <w:gridSpan w:val="7"/>
            <w:shd w:val="clear" w:color="auto" w:fill="CCEEFF"/>
          </w:tcPr>
          <w:p>
            <w:pPr>
              <w:ind w:left="200"/>
              <w:spacing w:after="0"/>
              <w:rPr>
                <w:sz w:val="20"/>
                <w:szCs w:val="20"/>
                <w:color w:val="auto"/>
              </w:rPr>
            </w:pPr>
            <w:r>
              <w:rPr>
                <w:rFonts w:ascii="Arial" w:cs="Arial" w:eastAsia="Arial" w:hAnsi="Arial"/>
                <w:sz w:val="18"/>
                <w:szCs w:val="18"/>
                <w:color w:val="auto"/>
              </w:rPr>
              <w:t>expense after-tax</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29,341</w:t>
            </w: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21,443</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79,216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63,656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220" w:type="dxa"/>
            <w:vAlign w:val="bottom"/>
            <w:gridSpan w:val="8"/>
          </w:tcPr>
          <w:p>
            <w:pPr>
              <w:ind w:left="200"/>
              <w:spacing w:after="0"/>
              <w:rPr>
                <w:sz w:val="20"/>
                <w:szCs w:val="20"/>
                <w:color w:val="auto"/>
              </w:rPr>
            </w:pPr>
            <w:r>
              <w:rPr>
                <w:rFonts w:ascii="Arial" w:cs="Arial" w:eastAsia="Arial" w:hAnsi="Arial"/>
                <w:sz w:val="18"/>
                <w:szCs w:val="18"/>
                <w:color w:val="auto"/>
              </w:rPr>
              <w:t>Adjusted return on capital (2)</w:t>
            </w:r>
          </w:p>
        </w:tc>
        <w:tc>
          <w:tcPr>
            <w:tcW w:w="100" w:type="dxa"/>
            <w:vAlign w:val="bottom"/>
          </w:tcPr>
          <w:p>
            <w:pPr>
              <w:spacing w:after="0"/>
              <w:rPr>
                <w:sz w:val="24"/>
                <w:szCs w:val="24"/>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11.8%</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4"/>
                <w:szCs w:val="2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12.3%</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22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Economic profit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gridSpan w:val="8"/>
          </w:tcPr>
          <w:p>
            <w:pPr>
              <w:spacing w:after="0"/>
              <w:rPr>
                <w:sz w:val="20"/>
                <w:szCs w:val="20"/>
                <w:color w:val="auto"/>
              </w:rPr>
            </w:pPr>
            <w:r>
              <w:rPr>
                <w:rFonts w:ascii="Arial" w:cs="Arial" w:eastAsia="Arial" w:hAnsi="Arial"/>
                <w:sz w:val="18"/>
                <w:szCs w:val="18"/>
                <w:color w:val="auto"/>
              </w:rPr>
              <w:t>Adjusted return on capital</w:t>
            </w:r>
          </w:p>
        </w:tc>
        <w:tc>
          <w:tcPr>
            <w:tcW w:w="10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11.8%</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12.3%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Cost of capital (3)</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gridSpan w:val="9"/>
          </w:tcPr>
          <w:p>
            <w:pPr>
              <w:spacing w:after="0"/>
              <w:rPr>
                <w:sz w:val="20"/>
                <w:szCs w:val="20"/>
                <w:color w:val="auto"/>
              </w:rPr>
            </w:pPr>
            <w:r>
              <w:rPr>
                <w:rFonts w:ascii="Arial" w:cs="Arial" w:eastAsia="Arial" w:hAnsi="Arial"/>
                <w:sz w:val="18"/>
                <w:szCs w:val="18"/>
                <w:color w:val="auto"/>
              </w:rPr>
              <w:t>Adjusted return on capital in excess of</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gridSpan w:val="8"/>
          </w:tcPr>
          <w:p>
            <w:pPr>
              <w:ind w:left="200"/>
              <w:spacing w:after="0"/>
              <w:rPr>
                <w:sz w:val="20"/>
                <w:szCs w:val="20"/>
                <w:color w:val="auto"/>
              </w:rPr>
            </w:pPr>
            <w:r>
              <w:rPr>
                <w:rFonts w:ascii="Arial" w:cs="Arial" w:eastAsia="Arial" w:hAnsi="Arial"/>
                <w:sz w:val="18"/>
                <w:szCs w:val="18"/>
                <w:color w:val="auto"/>
              </w:rPr>
              <w:t>cost of capital</w:t>
            </w:r>
          </w:p>
        </w:tc>
        <w:tc>
          <w:tcPr>
            <w:tcW w:w="100" w:type="dxa"/>
            <w:vAlign w:val="bottom"/>
          </w:tcPr>
          <w:p>
            <w:pPr>
              <w:spacing w:after="0"/>
              <w:rPr>
                <w:sz w:val="20"/>
                <w:szCs w:val="20"/>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4.7%</w:t>
            </w: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5.2%</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Adjusted average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1,031,581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724,884</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961,944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687,604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gridSpan w:val="8"/>
          </w:tcPr>
          <w:p>
            <w:pPr>
              <w:ind w:left="200"/>
              <w:spacing w:after="0"/>
              <w:rPr>
                <w:sz w:val="20"/>
                <w:szCs w:val="20"/>
                <w:color w:val="auto"/>
              </w:rPr>
            </w:pPr>
            <w:r>
              <w:rPr>
                <w:rFonts w:ascii="Arial" w:cs="Arial" w:eastAsia="Arial" w:hAnsi="Arial"/>
                <w:sz w:val="18"/>
                <w:szCs w:val="18"/>
                <w:color w:val="auto"/>
              </w:rPr>
              <w:t>Economic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12,636</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8,606</w:t>
            </w:r>
          </w:p>
        </w:tc>
        <w:tc>
          <w:tcPr>
            <w:tcW w:w="50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46.8%</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32,466</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26,971</w:t>
            </w:r>
          </w:p>
        </w:tc>
        <w:tc>
          <w:tcPr>
            <w:tcW w:w="5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prior year reports, we adjusted income taxes by equalizing the tax rate between the two periods presented. Beginning in the first quarter of 2008, we changed our methodology to normalize the tax rate to 37%, as we estimate that to be our long term average effective tax rate. As a result of this change, the adjustment to income taxes and adjusted net income for the three and nine months ended September 30, 2007 differ from what was reported in the prior year.</w:t>
      </w:r>
    </w:p>
    <w:p>
      <w:pPr>
        <w:spacing w:after="0" w:line="38"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return on capital is defined as annualized adjusted net income plus adjusted interest expense after-tax divided by adjusted average capital.</w:t>
      </w:r>
    </w:p>
    <w:p>
      <w:pPr>
        <w:spacing w:after="0" w:line="99" w:lineRule="exact"/>
        <w:rPr>
          <w:rFonts w:ascii="Arial" w:cs="Arial" w:eastAsia="Arial" w:hAnsi="Arial"/>
          <w:sz w:val="16"/>
          <w:szCs w:val="16"/>
          <w:color w:val="auto"/>
        </w:rPr>
      </w:pPr>
    </w:p>
    <w:p>
      <w:pPr>
        <w:ind w:left="460" w:right="120" w:hanging="452"/>
        <w:spacing w:after="0" w:line="293"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cost of capital includes both a cost of equity and a cost of debt. The cost of equity capital is determined based on a formula that considers the risk of the business and the risk associated with our use of debt. The formula utilized for determining the cost of equity capital is as follows: (the average 30 year treasury rate + 5%) + [(1 — tax rate) x (the average 30 year treasury rate + 5% — pre-tax average cost of debt rate) x average debt/(average equity + average debt x tax rate)]. For the three months ended September 30, 2008 and 2007, the average 30 year treasury rate was 4.5% and 4.9%, respectively. The adjusted pre-tax average cost of debt was 6.4% and 7.6%, respectively. For the nine months ended September 30, 2008 and 2007, the average 30 year treasury rate was 4.5% and 4.9%, respectively. The adjusted pre-tax average cost of debt was 6.4% and 7.9%,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Sept. 30,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Jun. 30,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w w:val="99"/>
              </w:rPr>
              <w:t>Mar. 31,</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w w:val="97"/>
              </w:rPr>
              <w:t>Dec. 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w w:val="93"/>
              </w:rPr>
              <w:t>Sept. 30,</w:t>
            </w:r>
          </w:p>
        </w:tc>
        <w:tc>
          <w:tcPr>
            <w:tcW w:w="100" w:type="dxa"/>
            <w:vAlign w:val="bottom"/>
          </w:tcPr>
          <w:p>
            <w:pPr>
              <w:spacing w:after="0"/>
              <w:rPr>
                <w:sz w:val="10"/>
                <w:szCs w:val="10"/>
                <w:color w:val="auto"/>
              </w:rPr>
            </w:pPr>
          </w:p>
        </w:tc>
        <w:tc>
          <w:tcPr>
            <w:tcW w:w="96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w w:val="99"/>
              </w:rPr>
              <w:t>Jun. 30,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11"/>
              <w:spacing w:after="0" w:line="119" w:lineRule="exact"/>
              <w:rPr>
                <w:sz w:val="20"/>
                <w:szCs w:val="20"/>
                <w:color w:val="auto"/>
              </w:rPr>
            </w:pPr>
            <w:r>
              <w:rPr>
                <w:rFonts w:ascii="Arial" w:cs="Arial" w:eastAsia="Arial" w:hAnsi="Arial"/>
                <w:sz w:val="13"/>
                <w:szCs w:val="13"/>
                <w:b w:val="1"/>
                <w:bCs w:val="1"/>
                <w:color w:val="auto"/>
              </w:rPr>
              <w:t>Mar.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40" w:type="dxa"/>
            <w:vAlign w:val="bottom"/>
            <w:gridSpan w:val="7"/>
          </w:tcPr>
          <w:p>
            <w:pPr>
              <w:spacing w:after="0"/>
              <w:rPr>
                <w:sz w:val="20"/>
                <w:szCs w:val="20"/>
                <w:color w:val="auto"/>
              </w:rPr>
            </w:pPr>
            <w:r>
              <w:rPr>
                <w:rFonts w:ascii="Arial" w:cs="Arial" w:eastAsia="Arial" w:hAnsi="Arial"/>
                <w:sz w:val="14"/>
                <w:szCs w:val="14"/>
                <w:color w:val="auto"/>
              </w:rPr>
              <w:t>(Dollars in thousands)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20" w:type="dxa"/>
            <w:vAlign w:val="bottom"/>
            <w:gridSpan w:val="6"/>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Adjusted net income</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GAAP net income</w:t>
            </w:r>
          </w:p>
        </w:tc>
        <w:tc>
          <w:tcPr>
            <w:tcW w:w="1060" w:type="dxa"/>
            <w:vAlign w:val="bottom"/>
            <w:tcBorders>
              <w:top w:val="single" w:sz="8" w:color="CCEEFF"/>
            </w:tcBorders>
            <w:gridSpan w:val="4"/>
          </w:tcPr>
          <w:p>
            <w:pPr>
              <w:spacing w:after="0"/>
              <w:rPr>
                <w:sz w:val="18"/>
                <w:szCs w:val="18"/>
                <w:color w:val="auto"/>
              </w:rPr>
            </w:pPr>
          </w:p>
        </w:tc>
        <w:tc>
          <w:tcPr>
            <w:tcW w:w="3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20,657</w:t>
            </w:r>
          </w:p>
        </w:tc>
        <w:tc>
          <w:tcPr>
            <w:tcW w:w="3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10,344</w:t>
            </w:r>
          </w:p>
        </w:tc>
        <w:tc>
          <w:tcPr>
            <w:tcW w:w="3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17,620</w:t>
            </w:r>
          </w:p>
        </w:tc>
        <w:tc>
          <w:tcPr>
            <w:tcW w:w="3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12,481</w:t>
            </w:r>
          </w:p>
        </w:tc>
        <w:tc>
          <w:tcPr>
            <w:tcW w:w="3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gridSpan w:val="2"/>
          </w:tcPr>
          <w:p>
            <w:pPr>
              <w:jc w:val="right"/>
              <w:ind w:right="560"/>
              <w:spacing w:after="0"/>
              <w:rPr>
                <w:sz w:val="20"/>
                <w:szCs w:val="20"/>
                <w:color w:val="auto"/>
              </w:rPr>
            </w:pPr>
            <w:r>
              <w:rPr>
                <w:rFonts w:ascii="Arial" w:cs="Arial" w:eastAsia="Arial" w:hAnsi="Arial"/>
                <w:sz w:val="18"/>
                <w:szCs w:val="18"/>
                <w:color w:val="auto"/>
              </w:rPr>
              <w:t>14,742</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12,331</w:t>
            </w:r>
          </w:p>
        </w:tc>
        <w:tc>
          <w:tcPr>
            <w:tcW w:w="3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15,359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Floating yield adjustment (after-</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tax)</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9,536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(1,765)</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1,265</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617</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6"/>
          </w:tcPr>
          <w:p>
            <w:pPr>
              <w:spacing w:after="0" w:line="201" w:lineRule="exact"/>
              <w:rPr>
                <w:sz w:val="20"/>
                <w:szCs w:val="20"/>
                <w:color w:val="auto"/>
              </w:rPr>
            </w:pPr>
            <w:r>
              <w:rPr>
                <w:rFonts w:ascii="Arial" w:cs="Arial" w:eastAsia="Arial" w:hAnsi="Arial"/>
                <w:sz w:val="18"/>
                <w:szCs w:val="18"/>
                <w:color w:val="auto"/>
              </w:rPr>
              <w:t>License fee yield adjustment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6"/>
          </w:tcPr>
          <w:p>
            <w:pPr>
              <w:ind w:left="200"/>
              <w:spacing w:after="0"/>
              <w:rPr>
                <w:sz w:val="20"/>
                <w:szCs w:val="20"/>
                <w:color w:val="auto"/>
              </w:rPr>
            </w:pPr>
            <w:r>
              <w:rPr>
                <w:rFonts w:ascii="Arial" w:cs="Arial" w:eastAsia="Arial" w:hAnsi="Arial"/>
                <w:sz w:val="18"/>
                <w:szCs w:val="18"/>
                <w:color w:val="auto"/>
              </w:rPr>
              <w:t>(after-tax)</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506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653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544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1,353</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1,143</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(Gain) loss from discontinued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United Kingdom segment and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other related items (after-tax)</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6"/>
          </w:tcPr>
          <w:p>
            <w:pPr>
              <w:spacing w:after="0"/>
              <w:rPr>
                <w:sz w:val="20"/>
                <w:szCs w:val="20"/>
                <w:color w:val="auto"/>
              </w:rPr>
            </w:pPr>
            <w:r>
              <w:rPr>
                <w:rFonts w:ascii="Arial" w:cs="Arial" w:eastAsia="Arial" w:hAnsi="Arial"/>
                <w:sz w:val="18"/>
                <w:szCs w:val="18"/>
                <w:color w:val="auto"/>
              </w:rPr>
              <w:t>Litigation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Interest expense related to</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interest rate swap agreement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532</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302</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6"/>
          </w:tcPr>
          <w:p>
            <w:pPr>
              <w:spacing w:after="0" w:line="201" w:lineRule="exact"/>
              <w:rPr>
                <w:sz w:val="20"/>
                <w:szCs w:val="20"/>
                <w:color w:val="auto"/>
              </w:rPr>
            </w:pPr>
            <w:r>
              <w:rPr>
                <w:rFonts w:ascii="Arial" w:cs="Arial" w:eastAsia="Arial" w:hAnsi="Arial"/>
                <w:sz w:val="18"/>
                <w:szCs w:val="18"/>
                <w:color w:val="auto"/>
              </w:rPr>
              <w:t>Adjustment to record taxes at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60" w:type="dxa"/>
            <w:vAlign w:val="bottom"/>
            <w:gridSpan w:val="2"/>
          </w:tcPr>
          <w:p>
            <w:pPr>
              <w:ind w:left="22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(643)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Adjusted net income</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22,260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20,191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16,769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15,754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16,084</w:t>
            </w:r>
          </w:p>
        </w:tc>
        <w:tc>
          <w:tcPr>
            <w:tcW w:w="0" w:type="dxa"/>
            <w:vAlign w:val="bottom"/>
          </w:tcPr>
          <w:p>
            <w:pPr>
              <w:spacing w:after="0"/>
              <w:rPr>
                <w:sz w:val="1"/>
                <w:szCs w:val="1"/>
                <w:color w:val="auto"/>
              </w:rPr>
            </w:pPr>
          </w:p>
        </w:tc>
      </w:tr>
      <w:tr>
        <w:trPr>
          <w:trHeight w:val="20"/>
        </w:trPr>
        <w:tc>
          <w:tcPr>
            <w:tcW w:w="26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Adjusted revenue</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640" w:type="dxa"/>
            <w:vAlign w:val="bottom"/>
            <w:gridSpan w:val="7"/>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GAAP total revenue</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80,107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75,005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70,778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63,232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61,058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58,286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6"/>
          </w:tcPr>
          <w:p>
            <w:pPr>
              <w:spacing w:after="0"/>
              <w:rPr>
                <w:sz w:val="20"/>
                <w:szCs w:val="20"/>
                <w:color w:val="auto"/>
              </w:rPr>
            </w:pPr>
            <w:r>
              <w:rPr>
                <w:rFonts w:ascii="Arial" w:cs="Arial" w:eastAsia="Arial" w:hAnsi="Arial"/>
                <w:sz w:val="18"/>
                <w:szCs w:val="18"/>
                <w:color w:val="auto"/>
              </w:rPr>
              <w:t>Floating yield adjustment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1,880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15,137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(2,800)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979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License fee yield adjustment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6"/>
          </w:tcPr>
          <w:p>
            <w:pPr>
              <w:spacing w:after="0"/>
              <w:rPr>
                <w:sz w:val="20"/>
                <w:szCs w:val="20"/>
                <w:color w:val="auto"/>
              </w:rPr>
            </w:pPr>
            <w:r>
              <w:rPr>
                <w:rFonts w:ascii="Arial" w:cs="Arial" w:eastAsia="Arial" w:hAnsi="Arial"/>
                <w:sz w:val="18"/>
                <w:szCs w:val="18"/>
                <w:color w:val="auto"/>
              </w:rPr>
              <w:t>Provision for credit losses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(8,278)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(20,782)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(2,479)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(6,345)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(5,629)</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(3,968)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Adjusted revenue</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74,513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70,396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66,362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61,562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58,907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57,111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56,241</w:t>
            </w:r>
          </w:p>
        </w:tc>
        <w:tc>
          <w:tcPr>
            <w:tcW w:w="0" w:type="dxa"/>
            <w:vAlign w:val="bottom"/>
          </w:tcPr>
          <w:p>
            <w:pPr>
              <w:spacing w:after="0"/>
              <w:rPr>
                <w:sz w:val="1"/>
                <w:szCs w:val="1"/>
                <w:color w:val="auto"/>
              </w:rPr>
            </w:pPr>
          </w:p>
        </w:tc>
      </w:tr>
      <w:tr>
        <w:trPr>
          <w:trHeight w:val="20"/>
        </w:trPr>
        <w:tc>
          <w:tcPr>
            <w:tcW w:w="26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Adjusted average capital</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640" w:type="dxa"/>
            <w:vAlign w:val="bottom"/>
            <w:gridSpan w:val="7"/>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GAAP average debt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706,637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686,148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584,794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515,031</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477,930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473,141</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412,715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6"/>
          </w:tcPr>
          <w:p>
            <w:pPr>
              <w:spacing w:after="0" w:line="201" w:lineRule="exact"/>
              <w:rPr>
                <w:sz w:val="20"/>
                <w:szCs w:val="20"/>
                <w:color w:val="auto"/>
              </w:rPr>
            </w:pPr>
            <w:r>
              <w:rPr>
                <w:rFonts w:ascii="Arial" w:cs="Arial" w:eastAsia="Arial" w:hAnsi="Arial"/>
                <w:sz w:val="18"/>
                <w:szCs w:val="18"/>
                <w:color w:val="auto"/>
              </w:rPr>
              <w:t>GAAP average shareholders’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6"/>
          </w:tcPr>
          <w:p>
            <w:pPr>
              <w:ind w:left="2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308,990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295,771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274,897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256,838</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243,922</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233,465</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217,977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Floating yield adjustment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8,348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6"/>
          </w:tcPr>
          <w:p>
            <w:pPr>
              <w:spacing w:after="0"/>
              <w:rPr>
                <w:sz w:val="20"/>
                <w:szCs w:val="20"/>
                <w:color w:val="auto"/>
              </w:rPr>
            </w:pPr>
            <w:r>
              <w:rPr>
                <w:rFonts w:ascii="Arial" w:cs="Arial" w:eastAsia="Arial" w:hAnsi="Arial"/>
                <w:sz w:val="18"/>
                <w:szCs w:val="18"/>
                <w:color w:val="auto"/>
              </w:rPr>
              <w:t>License fee yield adjustment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(2,048)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(2,626)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(3,136)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(4,011)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(5,316)</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(6,345)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Adjusted average capital</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1,031,581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988,619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865,631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777,642</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724,884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708,334</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629,595</w:t>
            </w:r>
          </w:p>
        </w:tc>
        <w:tc>
          <w:tcPr>
            <w:tcW w:w="0" w:type="dxa"/>
            <w:vAlign w:val="bottom"/>
          </w:tcPr>
          <w:p>
            <w:pPr>
              <w:spacing w:after="0"/>
              <w:rPr>
                <w:sz w:val="1"/>
                <w:szCs w:val="1"/>
                <w:color w:val="auto"/>
              </w:rPr>
            </w:pPr>
          </w:p>
        </w:tc>
      </w:tr>
      <w:tr>
        <w:trPr>
          <w:trHeight w:val="20"/>
        </w:trPr>
        <w:tc>
          <w:tcPr>
            <w:tcW w:w="2640" w:type="dxa"/>
            <w:vAlign w:val="bottom"/>
            <w:gridSpan w:val="7"/>
            <w:vMerge w:val="restart"/>
          </w:tcPr>
          <w:p>
            <w:pPr>
              <w:spacing w:after="0"/>
              <w:rPr>
                <w:sz w:val="20"/>
                <w:szCs w:val="20"/>
                <w:color w:val="auto"/>
              </w:rPr>
            </w:pPr>
            <w:r>
              <w:rPr>
                <w:rFonts w:ascii="Arial" w:cs="Arial" w:eastAsia="Arial" w:hAnsi="Arial"/>
                <w:sz w:val="18"/>
                <w:szCs w:val="18"/>
                <w:color w:val="auto"/>
                <w:w w:val="95"/>
              </w:rPr>
              <w:t>Adjusted revenue as a percentage</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640" w:type="dxa"/>
            <w:vAlign w:val="bottom"/>
            <w:gridSpan w:val="7"/>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6"/>
          </w:tcPr>
          <w:p>
            <w:pPr>
              <w:ind w:left="200"/>
              <w:spacing w:after="0"/>
              <w:rPr>
                <w:sz w:val="20"/>
                <w:szCs w:val="20"/>
                <w:color w:val="auto"/>
              </w:rPr>
            </w:pPr>
            <w:r>
              <w:rPr>
                <w:rFonts w:ascii="Arial" w:cs="Arial" w:eastAsia="Arial" w:hAnsi="Arial"/>
                <w:sz w:val="18"/>
                <w:szCs w:val="18"/>
                <w:color w:val="auto"/>
              </w:rPr>
              <w:t>of adjusted average capital</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30.7%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31.7%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2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Adjusted return on capital</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Adjusted net income</w:t>
            </w:r>
          </w:p>
        </w:tc>
        <w:tc>
          <w:tcPr>
            <w:tcW w:w="600" w:type="dxa"/>
            <w:vAlign w:val="bottom"/>
            <w:tcBorders>
              <w:top w:val="single" w:sz="8" w:color="CCEEFF"/>
            </w:tcBorders>
            <w:gridSpan w:val="2"/>
          </w:tcPr>
          <w:p>
            <w:pPr>
              <w:spacing w:after="0"/>
              <w:rPr>
                <w:sz w:val="18"/>
                <w:szCs w:val="18"/>
                <w:color w:val="auto"/>
              </w:rPr>
            </w:pPr>
          </w:p>
        </w:tc>
        <w:tc>
          <w:tcPr>
            <w:tcW w:w="3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22,260</w:t>
            </w:r>
          </w:p>
        </w:tc>
        <w:tc>
          <w:tcPr>
            <w:tcW w:w="3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20,191</w:t>
            </w:r>
          </w:p>
        </w:tc>
        <w:tc>
          <w:tcPr>
            <w:tcW w:w="3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16,769</w:t>
            </w:r>
          </w:p>
        </w:tc>
        <w:tc>
          <w:tcPr>
            <w:tcW w:w="3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14,865</w:t>
            </w:r>
          </w:p>
        </w:tc>
        <w:tc>
          <w:tcPr>
            <w:tcW w:w="3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gridSpan w:val="2"/>
          </w:tcPr>
          <w:p>
            <w:pPr>
              <w:jc w:val="right"/>
              <w:ind w:right="560"/>
              <w:spacing w:after="0"/>
              <w:rPr>
                <w:sz w:val="20"/>
                <w:szCs w:val="20"/>
                <w:color w:val="auto"/>
              </w:rPr>
            </w:pPr>
            <w:r>
              <w:rPr>
                <w:rFonts w:ascii="Arial" w:cs="Arial" w:eastAsia="Arial" w:hAnsi="Arial"/>
                <w:sz w:val="18"/>
                <w:szCs w:val="18"/>
                <w:color w:val="auto"/>
              </w:rPr>
              <w:t>15,754</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tcBorders>
            <w:gridSpan w:val="2"/>
          </w:tcPr>
          <w:p>
            <w:pPr>
              <w:jc w:val="right"/>
              <w:ind w:right="360"/>
              <w:spacing w:after="0"/>
              <w:rPr>
                <w:sz w:val="20"/>
                <w:szCs w:val="20"/>
                <w:color w:val="auto"/>
              </w:rPr>
            </w:pPr>
            <w:r>
              <w:rPr>
                <w:rFonts w:ascii="Arial" w:cs="Arial" w:eastAsia="Arial" w:hAnsi="Arial"/>
                <w:sz w:val="18"/>
                <w:szCs w:val="18"/>
                <w:color w:val="auto"/>
              </w:rPr>
              <w:t>14,948</w:t>
            </w:r>
          </w:p>
        </w:tc>
        <w:tc>
          <w:tcPr>
            <w:tcW w:w="3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16,084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Adjusted interest expense after-</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tax</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7,081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6,602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6,313</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5,689</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20" w:type="dxa"/>
            <w:vAlign w:val="bottom"/>
            <w:gridSpan w:val="6"/>
          </w:tcPr>
          <w:p>
            <w:pPr>
              <w:ind w:left="200"/>
              <w:spacing w:after="0"/>
              <w:rPr>
                <w:sz w:val="20"/>
                <w:szCs w:val="20"/>
                <w:color w:val="auto"/>
              </w:rPr>
            </w:pPr>
            <w:r>
              <w:rPr>
                <w:rFonts w:ascii="Arial" w:cs="Arial" w:eastAsia="Arial" w:hAnsi="Arial"/>
                <w:sz w:val="18"/>
                <w:szCs w:val="18"/>
                <w:color w:val="auto"/>
              </w:rPr>
              <w:t>Adjusted net income plus</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6"/>
          </w:tcPr>
          <w:p>
            <w:pPr>
              <w:ind w:left="400"/>
              <w:spacing w:after="0"/>
              <w:rPr>
                <w:sz w:val="20"/>
                <w:szCs w:val="20"/>
                <w:color w:val="auto"/>
              </w:rPr>
            </w:pPr>
            <w:r>
              <w:rPr>
                <w:rFonts w:ascii="Arial" w:cs="Arial" w:eastAsia="Arial" w:hAnsi="Arial"/>
                <w:sz w:val="18"/>
                <w:szCs w:val="18"/>
                <w:color w:val="auto"/>
              </w:rPr>
              <w:t>interest expense after-tax</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29,341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26,793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23,082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20,793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21,443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20,908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21,305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Adjusted return on capital (3)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6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Adjusted operating expenses</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640" w:type="dxa"/>
            <w:vAlign w:val="bottom"/>
            <w:gridSpan w:val="7"/>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GAAP salaries and wages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16,766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16,699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17,740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13,620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6"/>
          </w:tcPr>
          <w:p>
            <w:pPr>
              <w:spacing w:after="0" w:line="201" w:lineRule="exact"/>
              <w:rPr>
                <w:sz w:val="20"/>
                <w:szCs w:val="20"/>
                <w:color w:val="auto"/>
              </w:rPr>
            </w:pPr>
            <w:r>
              <w:rPr>
                <w:rFonts w:ascii="Arial" w:cs="Arial" w:eastAsia="Arial" w:hAnsi="Arial"/>
                <w:sz w:val="18"/>
                <w:szCs w:val="18"/>
                <w:color w:val="auto"/>
              </w:rPr>
              <w:t>GAAP general and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6"/>
          </w:tcPr>
          <w:p>
            <w:pPr>
              <w:ind w:left="200"/>
              <w:spacing w:after="0"/>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6,975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6,627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7,124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6,729</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7,266</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7,359</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GAAP sales and marketing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3,835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6"/>
          </w:tcPr>
          <w:p>
            <w:pPr>
              <w:spacing w:after="0"/>
              <w:rPr>
                <w:sz w:val="20"/>
                <w:szCs w:val="20"/>
                <w:color w:val="auto"/>
              </w:rPr>
            </w:pPr>
            <w:r>
              <w:rPr>
                <w:rFonts w:ascii="Arial" w:cs="Arial" w:eastAsia="Arial" w:hAnsi="Arial"/>
                <w:sz w:val="18"/>
                <w:szCs w:val="18"/>
                <w:color w:val="auto"/>
              </w:rPr>
              <w:t>Litigation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Adjusted operating expenses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27,829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27,868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29,506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24,576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22,250</w:t>
            </w:r>
          </w:p>
        </w:tc>
        <w:tc>
          <w:tcPr>
            <w:tcW w:w="0" w:type="dxa"/>
            <w:vAlign w:val="bottom"/>
          </w:tcPr>
          <w:p>
            <w:pPr>
              <w:spacing w:after="0"/>
              <w:rPr>
                <w:sz w:val="1"/>
                <w:szCs w:val="1"/>
                <w:color w:val="auto"/>
              </w:rPr>
            </w:pPr>
          </w:p>
        </w:tc>
      </w:tr>
      <w:tr>
        <w:trPr>
          <w:trHeight w:val="20"/>
        </w:trPr>
        <w:tc>
          <w:tcPr>
            <w:tcW w:w="2640" w:type="dxa"/>
            <w:vAlign w:val="bottom"/>
            <w:gridSpan w:val="7"/>
            <w:vMerge w:val="restart"/>
          </w:tcPr>
          <w:p>
            <w:pPr>
              <w:spacing w:after="0"/>
              <w:rPr>
                <w:sz w:val="20"/>
                <w:szCs w:val="20"/>
                <w:color w:val="auto"/>
              </w:rPr>
            </w:pPr>
            <w:r>
              <w:rPr>
                <w:rFonts w:ascii="Arial" w:cs="Arial" w:eastAsia="Arial" w:hAnsi="Arial"/>
                <w:sz w:val="18"/>
                <w:szCs w:val="18"/>
                <w:color w:val="auto"/>
                <w:w w:val="96"/>
              </w:rPr>
              <w:t>Adjusted operating expenses as a</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640" w:type="dxa"/>
            <w:vAlign w:val="bottom"/>
            <w:gridSpan w:val="7"/>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6"/>
          </w:tcPr>
          <w:p>
            <w:pPr>
              <w:ind w:left="200"/>
              <w:spacing w:after="0"/>
              <w:rPr>
                <w:sz w:val="20"/>
                <w:szCs w:val="20"/>
                <w:color w:val="auto"/>
              </w:rPr>
            </w:pPr>
            <w:r>
              <w:rPr>
                <w:rFonts w:ascii="Arial" w:cs="Arial" w:eastAsia="Arial" w:hAnsi="Arial"/>
                <w:sz w:val="18"/>
                <w:szCs w:val="18"/>
                <w:color w:val="auto"/>
                <w:w w:val="94"/>
              </w:rPr>
              <w:t>percentage of adjusted average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6"/>
          </w:tcPr>
          <w:p>
            <w:pPr>
              <w:ind w:left="200"/>
              <w:spacing w:after="0"/>
              <w:rPr>
                <w:sz w:val="20"/>
                <w:szCs w:val="20"/>
                <w:color w:val="auto"/>
              </w:rPr>
            </w:pPr>
            <w:r>
              <w:rPr>
                <w:rFonts w:ascii="Arial" w:cs="Arial" w:eastAsia="Arial" w:hAnsi="Arial"/>
                <w:sz w:val="18"/>
                <w:szCs w:val="18"/>
                <w:color w:val="auto"/>
              </w:rPr>
              <w:t>capital</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2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Percentage change in adjusted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average capital compared to</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the same period in the prior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year</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331"/>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613"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Floating Yield Adjustment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purpose of this adjustment is to modify the calculation of our GAAP-based finance charge revenue so that favorable and unfavorable changes in expected cash flows from loans receivable are treated consistently. To make the adjustment understandable, we must first explain how GAAP requires us to account for finance charge revenue, our primary revenue source.</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Finance charge revenue equals the cash inflows from our loan portfolio less cash outflows to acquire the loans. Our GAAP finance charge revenue is based on estimates of future cash flows and is recognized on a level-yield basis over the estimated life of the loan. With the level-yield approach, the amount of finance charge revenue recognized from a loan in a given period, divided by the loan asset, is a constant percentage. Under GAAP, favorable changes in expected cash flows are treated as increases to the yield and are recognized over time, while unfavorable changes are recorded as a current period expense. The non-GAAP methodology that we use (the “floating yield” method) is identical to the GAAP approach except that, under the “floating yield” method, all changes in expected cash flows (both positive and negative) are treated as yield adjustments and therefore impact earnings over time. The GAAP treatment always results in a lower carrying value of the loan receivable asset, but may result in either higher or lower earnings for any given period depending on the timing and amount of expected cash flow changes.</w:t>
      </w:r>
    </w:p>
    <w:p>
      <w:pPr>
        <w:spacing w:after="0" w:line="7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believe floating yield earnings are a more accurate reflection of the performance of our business, since both favorable and unfavorable changes in estimated cash flows are treated consistently.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Fee Yield Adjustment</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purpose of this adjustment is to make revenue from license fees comparable across time periods. In 2001, we began charging dealer-partners a monthly licensing fee for access to our internet-based Credit Approval Processing System, also known as CAPS.</w:t>
      </w:r>
    </w:p>
    <w:p>
      <w:pPr>
        <w:spacing w:after="0" w:line="6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Effective January 1, 2007, we implemented a change in the way these fees are charged designed to positively impact dealer-partner attrition. We continue to charge a monthly license fee of $599, but instead of collecting the fee in the current period, we collect it from future dealer holdback payments.</w:t>
      </w:r>
    </w:p>
    <w:p>
      <w:pPr>
        <w:spacing w:after="0" w:line="16"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As a result of this change, (as of January 1, 2007) we record license fees on a GAAP basis as a yield adjustment, recognizing these fees as finance charge revenue over the term of the dealer loan because collection is dependent on the future cash flows of the loan. Previously, we had recorded the fee as license fee revenue in the month the fee was charged. The current GAAP treatment is more consistent with the cash economics of the business.</w:t>
      </w:r>
    </w:p>
    <w:p>
      <w:pPr>
        <w:spacing w:after="0" w:line="3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To allow for proper comparisons between periods, we make an adjustment to our financial results as though license fees had always been recorded as a yield adjustment. The license fee adjustment will become less significant in future periods. The license fee adjustment is projected to be $2.1 million, $0.8 million and $0.3 million in 2008, 2009 and 2010, respectively. The adjustment will be immaterial starting in 2011.</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Cautionary Statement Regarding Forward-Looking Information</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claim the protection of the safe harbor for forward-looking statements contained in the Private Securities Litigation Reform Act of 1995 for all of our forward-looking statements. Statements in this release that are not historical facts, such as those using terms like “may,” “will,” “should,” “believe,” “expect,” “anticipate,” “assume,” “forecast,” “estimate,” “intend,” “plan”, “target” and those regarding our future results, plans and objectives, are “forward-looking statements” within the meaning of the federal securities laws. These forward-looking statements represent our outlook only as of the date of this release. Actual results could differ materially from these forward-looking statements since the statements are based on our current expectations, which are subject to risks and uncertainties. Factors that might cause such a difference include, but are not limited to, the factors set forth in Item 1A of our Form 10-K for the year ended December 31, 2007, other risk factors discussed herein or listed from time to time in our reports filed with the Securities and Exchange Commission and the following:</w:t>
      </w:r>
    </w:p>
    <w:p>
      <w:pPr>
        <w:spacing w:after="0" w:line="84" w:lineRule="exact"/>
        <w:rPr>
          <w:sz w:val="20"/>
          <w:szCs w:val="20"/>
          <w:color w:val="auto"/>
        </w:rPr>
      </w:pPr>
    </w:p>
    <w:p>
      <w:pPr>
        <w:ind w:left="660" w:right="54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inability to accurately forecast and estimate the amount and timing of future collections could have a material adverse effect on results of operations.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We may be unable to continue to access or renew funding sources and obtain capital on favorable terms needed to maintain and grow the business.</w:t>
      </w:r>
    </w:p>
    <w:p>
      <w:pPr>
        <w:spacing w:after="0" w:line="153" w:lineRule="exact"/>
        <w:rPr>
          <w:rFonts w:ascii="Arial" w:cs="Arial" w:eastAsia="Arial" w:hAnsi="Arial"/>
          <w:sz w:val="16"/>
          <w:szCs w:val="16"/>
          <w:b w:val="1"/>
          <w:bCs w:val="1"/>
          <w:color w:val="auto"/>
        </w:rPr>
      </w:pPr>
    </w:p>
    <w:p>
      <w:pPr>
        <w:ind w:left="660" w:right="260" w:hanging="436"/>
        <w:spacing w:after="0" w:line="342" w:lineRule="auto"/>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The conditions of the U.S. and international capital markets may adversely affect lenders the Company has relationships with, causing us to incur additional cost and reducing our sources of liquidity which may adversely affect our financial position, liquidity and results of operations.</w:t>
      </w:r>
    </w:p>
    <w:p>
      <w:pPr>
        <w:spacing w:after="0" w:line="29" w:lineRule="exact"/>
        <w:rPr>
          <w:rFonts w:ascii="Arial" w:cs="Arial" w:eastAsia="Arial" w:hAnsi="Arial"/>
          <w:sz w:val="16"/>
          <w:szCs w:val="16"/>
          <w:b w:val="1"/>
          <w:bCs w:val="1"/>
          <w:color w:val="auto"/>
        </w:rPr>
      </w:pPr>
    </w:p>
    <w:p>
      <w:pPr>
        <w:ind w:left="660" w:hanging="436"/>
        <w:spacing w:after="0"/>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Due to increased competition from traditional financing sources and non-traditional lenders, we may not be able to compete successfully.</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We may not be able to generate sufficient cash flow to service our outstanding debt and fund operations.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Requirements under credit facilities to meet financial and portfolio performance covenants.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Interest rate fluctuations may adversely affect our borrowing costs, profitability and liquidity.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substantial regulation to which we are subject could result in potential liability.</w:t>
      </w:r>
    </w:p>
    <w:p>
      <w:pPr>
        <w:spacing w:after="0" w:line="130" w:lineRule="exact"/>
        <w:rPr>
          <w:rFonts w:ascii="Arial" w:cs="Arial" w:eastAsia="Arial" w:hAnsi="Arial"/>
          <w:sz w:val="18"/>
          <w:szCs w:val="18"/>
          <w:b w:val="1"/>
          <w:bCs w:val="1"/>
          <w:color w:val="auto"/>
        </w:rPr>
      </w:pPr>
    </w:p>
    <w:p>
      <w:pPr>
        <w:ind w:left="660" w:right="22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Adverse changes in economic conditions, or in the automobile or finance industries or the non-prime consumer market, could adversely affect our financial position, liquidity and results of operations and our ability to enter into future financing transactions.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Litigation we are involved in from time to time may adversely affect our financial condition, results of operations and cash flows.</w:t>
      </w:r>
    </w:p>
    <w:p>
      <w:pPr>
        <w:spacing w:after="0" w:line="130" w:lineRule="exact"/>
        <w:rPr>
          <w:rFonts w:ascii="Arial" w:cs="Arial" w:eastAsia="Arial" w:hAnsi="Arial"/>
          <w:sz w:val="18"/>
          <w:szCs w:val="18"/>
          <w:b w:val="1"/>
          <w:bCs w:val="1"/>
          <w:color w:val="auto"/>
        </w:rPr>
      </w:pPr>
    </w:p>
    <w:p>
      <w:pPr>
        <w:ind w:left="660" w:right="38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We are dependent on our senior management and the loss of any of these individuals or an inability to hire additional personnel could adversely affect our ability to operate profitably.</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inability to properly safeguard confidential consumer information.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operations could suffer from telecommunications or technology downtime or increased costs.</w:t>
      </w:r>
    </w:p>
    <w:p>
      <w:pPr>
        <w:spacing w:after="0" w:line="130" w:lineRule="exact"/>
        <w:rPr>
          <w:rFonts w:ascii="Arial" w:cs="Arial" w:eastAsia="Arial" w:hAnsi="Arial"/>
          <w:sz w:val="18"/>
          <w:szCs w:val="18"/>
          <w:b w:val="1"/>
          <w:bCs w:val="1"/>
          <w:color w:val="auto"/>
        </w:rPr>
      </w:pPr>
    </w:p>
    <w:p>
      <w:pPr>
        <w:ind w:left="660" w:right="74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Natural disasters, acts of war, terrorist attacks and threats or the escalation of military activity in response to such attacks or otherwise may negatively affect our business, financial condition and results of operations.</w:t>
      </w:r>
    </w:p>
    <w:p>
      <w:pPr>
        <w:spacing w:after="0" w:line="6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Other factors not currently anticipated by management may also materially and adversely affect our results of operations. We do not undertake, and expressly disclaim any obligation, to update or alter our statements whether as a result of new information, future events or otherwise, except as required by applicable law.</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Description of Credit Acceptance Corporation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Since 1972, Credit Acceptance has provided auto loans to consumers, regardless of their credit history. Our product is offered through a nationwide network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automobile dealers who benefit from sales of vehicles to consumers who otherwise could not obtain financing; from repeat and referral sales generated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same customers; and from sales to customers responding to advertisements for our product, but who actually end up qualifying for traditional financing.</w:t>
      </w:r>
    </w:p>
    <w:p>
      <w:pPr>
        <w:spacing w:after="0" w:line="12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Without our product, consumers are often unable to purchase a vehicle or they purchase an unreliable one and are not provided the opportunity to improve their credit standing. As we report to the three national credit reporting agencies, a significant number of our consumers improve their lives by improving their credit score and move on to more traditional sources of financing. Credit Acceptance is publicly traded on the NASDAQ under the symbol CACC. For more information, visit </w:t>
      </w:r>
      <w:r>
        <w:rPr>
          <w:rFonts w:ascii="Arial" w:cs="Arial" w:eastAsia="Arial" w:hAnsi="Arial"/>
          <w:sz w:val="18"/>
          <w:szCs w:val="18"/>
          <w:u w:val="single" w:color="auto"/>
          <w:color w:val="auto"/>
        </w:rPr>
        <w:t>creditacceptance.com.</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5"/>
          </w:tcPr>
          <w:p>
            <w:pPr>
              <w:jc w:val="right"/>
              <w:ind w:right="13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4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2008</w:t>
            </w: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2008</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Finance charges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75,617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56,743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210,119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162,240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4,490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4,315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15,771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400"/>
              <w:spacing w:after="0"/>
              <w:rPr>
                <w:sz w:val="20"/>
                <w:szCs w:val="20"/>
                <w:color w:val="auto"/>
              </w:rPr>
            </w:pPr>
            <w:r>
              <w:rPr>
                <w:rFonts w:ascii="Arial" w:cs="Arial" w:eastAsia="Arial" w:hAnsi="Arial"/>
                <w:sz w:val="18"/>
                <w:szCs w:val="18"/>
                <w:color w:val="auto"/>
              </w:rPr>
              <w:t>Total revenue</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80,107</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61,058</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225,890</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Salaries and wages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16,766</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13,620</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51,205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6,975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7,266</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20,726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4,088</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3,835</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13,272</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credit losses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8,383</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5,931</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31,792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Interest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10,954</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9,030</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31,702</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400"/>
              <w:spacing w:after="0"/>
              <w:rPr>
                <w:sz w:val="20"/>
                <w:szCs w:val="20"/>
                <w:color w:val="auto"/>
              </w:rPr>
            </w:pPr>
            <w:r>
              <w:rPr>
                <w:rFonts w:ascii="Arial" w:cs="Arial" w:eastAsia="Arial" w:hAnsi="Arial"/>
                <w:sz w:val="18"/>
                <w:szCs w:val="18"/>
                <w:color w:val="auto"/>
              </w:rPr>
              <w:t>Total costs and expenses</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47,168</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39,698</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148,756</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32,939</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21,360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77,134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Foreign currency (loss) gain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6"/>
              </w:rPr>
              <w:t>Income from continuing operations before provision for income taxes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21,386</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77,119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Provision for income taxes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12,606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7,917</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28,828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23,387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13,469</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48,291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41,349</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(loss) from discontinued United Kingdom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Provision (credit) for income taxes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from discontinued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20,657</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14,742</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48,621</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Basic</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0.68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0.49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per common share:</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per common share: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Basic</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30,310,053</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30,015,048</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30,223,586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30,069,639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Diluted</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31,024,455</w:t>
            </w:r>
          </w:p>
        </w:tc>
        <w:tc>
          <w:tcPr>
            <w:tcW w:w="100" w:type="dxa"/>
            <w:vAlign w:val="bottom"/>
          </w:tcPr>
          <w:p>
            <w:pPr>
              <w:spacing w:after="0"/>
              <w:rPr>
                <w:sz w:val="20"/>
                <w:szCs w:val="20"/>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31,139,612</w:t>
            </w:r>
          </w:p>
        </w:tc>
        <w:tc>
          <w:tcPr>
            <w:tcW w:w="100" w:type="dxa"/>
            <w:vAlign w:val="bottom"/>
          </w:tcPr>
          <w:p>
            <w:pPr>
              <w:spacing w:after="0"/>
              <w:rPr>
                <w:sz w:val="20"/>
                <w:szCs w:val="20"/>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30,994,466</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31,228,893</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56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500" w:type="dxa"/>
            <w:vAlign w:val="bottom"/>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820"/>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934</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 and cash equivalents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82,993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74,102</w:t>
            </w:r>
          </w:p>
        </w:tc>
        <w:tc>
          <w:tcPr>
            <w:tcW w:w="0" w:type="dxa"/>
            <w:vAlign w:val="bottom"/>
          </w:tcPr>
          <w:p>
            <w:pPr>
              <w:spacing w:after="0"/>
              <w:rPr>
                <w:sz w:val="1"/>
                <w:szCs w:val="1"/>
                <w:color w:val="auto"/>
              </w:rPr>
            </w:pPr>
          </w:p>
        </w:tc>
      </w:tr>
      <w:tr>
        <w:trPr>
          <w:trHeight w:val="230"/>
        </w:trPr>
        <w:tc>
          <w:tcPr>
            <w:tcW w:w="8500" w:type="dxa"/>
            <w:vAlign w:val="bottom"/>
          </w:tcPr>
          <w:p>
            <w:pPr>
              <w:ind w:left="220"/>
              <w:spacing w:after="0"/>
              <w:rPr>
                <w:sz w:val="20"/>
                <w:szCs w:val="20"/>
                <w:color w:val="auto"/>
              </w:rPr>
            </w:pPr>
            <w:r>
              <w:rPr>
                <w:rFonts w:ascii="Arial" w:cs="Arial" w:eastAsia="Arial" w:hAnsi="Arial"/>
                <w:sz w:val="18"/>
                <w:szCs w:val="18"/>
                <w:color w:val="auto"/>
              </w:rPr>
              <w:t>Restricted securities available for sale</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3,933</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02"/>
        </w:trPr>
        <w:tc>
          <w:tcPr>
            <w:tcW w:w="8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5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Loans receivable (including $16,067 and $16,125 from affiliates as of September 30, 2008 and December 31,</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2007, respectively)</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1,155,591</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944,698</w:t>
            </w:r>
          </w:p>
        </w:tc>
        <w:tc>
          <w:tcPr>
            <w:tcW w:w="0" w:type="dxa"/>
            <w:vAlign w:val="bottom"/>
          </w:tcPr>
          <w:p>
            <w:pPr>
              <w:spacing w:after="0"/>
              <w:rPr>
                <w:sz w:val="1"/>
                <w:szCs w:val="1"/>
                <w:color w:val="auto"/>
              </w:rPr>
            </w:pPr>
          </w:p>
        </w:tc>
      </w:tr>
      <w:tr>
        <w:trPr>
          <w:trHeight w:val="223"/>
        </w:trPr>
        <w:tc>
          <w:tcPr>
            <w:tcW w:w="8500" w:type="dxa"/>
            <w:vAlign w:val="bottom"/>
          </w:tcPr>
          <w:p>
            <w:pPr>
              <w:ind w:left="220"/>
              <w:spacing w:after="0"/>
              <w:rPr>
                <w:sz w:val="20"/>
                <w:szCs w:val="20"/>
                <w:color w:val="auto"/>
              </w:rPr>
            </w:pPr>
            <w:r>
              <w:rPr>
                <w:rFonts w:ascii="Arial" w:cs="Arial" w:eastAsia="Arial" w:hAnsi="Arial"/>
                <w:sz w:val="18"/>
                <w:szCs w:val="18"/>
                <w:color w:val="auto"/>
              </w:rPr>
              <w:t>Allowance for credit losses</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(119,184)</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(134,145)</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receivable, net</w:t>
            </w: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1,036,407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50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21,550</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20,124</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receivable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20,712</w:t>
            </w:r>
          </w:p>
        </w:tc>
        <w:tc>
          <w:tcPr>
            <w:tcW w:w="0" w:type="dxa"/>
            <w:vAlign w:val="bottom"/>
          </w:tcPr>
          <w:p>
            <w:pPr>
              <w:spacing w:after="0"/>
              <w:rPr>
                <w:sz w:val="1"/>
                <w:szCs w:val="1"/>
                <w:color w:val="auto"/>
              </w:rPr>
            </w:pPr>
          </w:p>
        </w:tc>
      </w:tr>
      <w:tr>
        <w:trPr>
          <w:trHeight w:val="223"/>
        </w:trPr>
        <w:tc>
          <w:tcPr>
            <w:tcW w:w="850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1,170,356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942,182</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2220"/>
              <w:spacing w:after="0"/>
              <w:rPr>
                <w:sz w:val="20"/>
                <w:szCs w:val="20"/>
                <w:color w:val="auto"/>
              </w:rPr>
            </w:pPr>
            <w:r>
              <w:rPr>
                <w:rFonts w:ascii="Arial" w:cs="Arial" w:eastAsia="Arial" w:hAnsi="Arial"/>
                <w:sz w:val="18"/>
                <w:szCs w:val="18"/>
                <w:b w:val="1"/>
                <w:bCs w:val="1"/>
                <w:color w:val="auto"/>
              </w:rPr>
              <w:t>LIABILITIES AND SHAREHOLDERS’ EQUITY:</w:t>
            </w: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220"/>
              <w:spacing w:after="0"/>
              <w:rPr>
                <w:sz w:val="20"/>
                <w:szCs w:val="20"/>
                <w:color w:val="auto"/>
              </w:rPr>
            </w:pPr>
            <w:r>
              <w:rPr>
                <w:rFonts w:ascii="Arial" w:cs="Arial" w:eastAsia="Arial" w:hAnsi="Arial"/>
                <w:sz w:val="18"/>
                <w:szCs w:val="18"/>
                <w:color w:val="auto"/>
              </w:rPr>
              <w:t>Accounts payable and accrued liabilities</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79,845</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79,834</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Line of credit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82,900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36,300</w:t>
            </w:r>
          </w:p>
        </w:tc>
        <w:tc>
          <w:tcPr>
            <w:tcW w:w="0" w:type="dxa"/>
            <w:vAlign w:val="bottom"/>
          </w:tcPr>
          <w:p>
            <w:pPr>
              <w:spacing w:after="0"/>
              <w:rPr>
                <w:sz w:val="1"/>
                <w:szCs w:val="1"/>
                <w:color w:val="auto"/>
              </w:rPr>
            </w:pPr>
          </w:p>
        </w:tc>
      </w:tr>
      <w:tr>
        <w:trPr>
          <w:trHeight w:val="216"/>
        </w:trPr>
        <w:tc>
          <w:tcPr>
            <w:tcW w:w="8500" w:type="dxa"/>
            <w:vAlign w:val="bottom"/>
          </w:tcPr>
          <w:p>
            <w:pPr>
              <w:ind w:left="220"/>
              <w:spacing w:after="0"/>
              <w:rPr>
                <w:sz w:val="20"/>
                <w:szCs w:val="20"/>
                <w:color w:val="auto"/>
              </w:rPr>
            </w:pPr>
            <w:r>
              <w:rPr>
                <w:rFonts w:ascii="Arial" w:cs="Arial" w:eastAsia="Arial" w:hAnsi="Arial"/>
                <w:sz w:val="18"/>
                <w:szCs w:val="18"/>
                <w:color w:val="auto"/>
              </w:rPr>
              <w:t>Secured financing</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602,429</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488,065</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 note and capital lease obligations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7,765</w:t>
            </w:r>
          </w:p>
        </w:tc>
        <w:tc>
          <w:tcPr>
            <w:tcW w:w="0" w:type="dxa"/>
            <w:vAlign w:val="bottom"/>
          </w:tcPr>
          <w:p>
            <w:pPr>
              <w:spacing w:after="0"/>
              <w:rPr>
                <w:sz w:val="1"/>
                <w:szCs w:val="1"/>
                <w:color w:val="auto"/>
              </w:rPr>
            </w:pPr>
          </w:p>
        </w:tc>
      </w:tr>
      <w:tr>
        <w:trPr>
          <w:trHeight w:val="223"/>
        </w:trPr>
        <w:tc>
          <w:tcPr>
            <w:tcW w:w="8500" w:type="dxa"/>
            <w:vAlign w:val="bottom"/>
          </w:tcPr>
          <w:p>
            <w:pPr>
              <w:ind w:left="220"/>
              <w:spacing w:after="0"/>
              <w:rPr>
                <w:sz w:val="20"/>
                <w:szCs w:val="20"/>
                <w:color w:val="auto"/>
              </w:rPr>
            </w:pPr>
            <w:r>
              <w:rPr>
                <w:rFonts w:ascii="Arial" w:cs="Arial" w:eastAsia="Arial" w:hAnsi="Arial"/>
                <w:sz w:val="18"/>
                <w:szCs w:val="18"/>
                <w:color w:val="auto"/>
              </w:rPr>
              <w:t>Deferred income taxes, net</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850,630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676,732</w:t>
            </w:r>
          </w:p>
        </w:tc>
        <w:tc>
          <w:tcPr>
            <w:tcW w:w="0" w:type="dxa"/>
            <w:vAlign w:val="bottom"/>
          </w:tcPr>
          <w:p>
            <w:pPr>
              <w:spacing w:after="0"/>
              <w:rPr>
                <w:sz w:val="1"/>
                <w:szCs w:val="1"/>
                <w:color w:val="auto"/>
              </w:rPr>
            </w:pPr>
          </w:p>
        </w:tc>
      </w:tr>
      <w:tr>
        <w:trPr>
          <w:trHeight w:val="439"/>
        </w:trPr>
        <w:tc>
          <w:tcPr>
            <w:tcW w:w="85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$.01 par value, 1,000,000 shares authorized, none issued</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500" w:type="dxa"/>
            <w:vAlign w:val="bottom"/>
          </w:tcPr>
          <w:p>
            <w:pPr>
              <w:ind w:left="220"/>
              <w:spacing w:after="0" w:line="201" w:lineRule="exact"/>
              <w:rPr>
                <w:sz w:val="20"/>
                <w:szCs w:val="20"/>
                <w:color w:val="auto"/>
              </w:rPr>
            </w:pPr>
            <w:r>
              <w:rPr>
                <w:rFonts w:ascii="Arial" w:cs="Arial" w:eastAsia="Arial" w:hAnsi="Arial"/>
                <w:sz w:val="18"/>
                <w:szCs w:val="18"/>
                <w:color w:val="auto"/>
                <w:w w:val="94"/>
              </w:rPr>
              <w:t>Common stock, $.01 par value, 80,000,000 shares authorized, 30,570,110 and 30,240,859 shares issued and</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00" w:type="dxa"/>
            <w:vAlign w:val="bottom"/>
          </w:tcPr>
          <w:p>
            <w:pPr>
              <w:ind w:left="420"/>
              <w:spacing w:after="0"/>
              <w:rPr>
                <w:sz w:val="20"/>
                <w:szCs w:val="20"/>
                <w:color w:val="auto"/>
              </w:rPr>
            </w:pPr>
            <w:r>
              <w:rPr>
                <w:rFonts w:ascii="Arial" w:cs="Arial" w:eastAsia="Arial" w:hAnsi="Arial"/>
                <w:sz w:val="18"/>
                <w:szCs w:val="18"/>
                <w:color w:val="auto"/>
              </w:rPr>
              <w:t>outstanding as of September 30, 2008 and December 31, 2007, respectively</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Paid-in capital</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4,134</w:t>
            </w:r>
          </w:p>
        </w:tc>
        <w:tc>
          <w:tcPr>
            <w:tcW w:w="0" w:type="dxa"/>
            <w:vAlign w:val="bottom"/>
          </w:tcPr>
          <w:p>
            <w:pPr>
              <w:spacing w:after="0"/>
              <w:rPr>
                <w:sz w:val="1"/>
                <w:szCs w:val="1"/>
                <w:color w:val="auto"/>
              </w:rPr>
            </w:pPr>
          </w:p>
        </w:tc>
      </w:tr>
      <w:tr>
        <w:trPr>
          <w:trHeight w:val="216"/>
        </w:trPr>
        <w:tc>
          <w:tcPr>
            <w:tcW w:w="850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309,622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261,001</w:t>
            </w:r>
          </w:p>
        </w:tc>
        <w:tc>
          <w:tcPr>
            <w:tcW w:w="0" w:type="dxa"/>
            <w:vAlign w:val="bottom"/>
          </w:tcPr>
          <w:p>
            <w:pPr>
              <w:spacing w:after="0"/>
              <w:rPr>
                <w:sz w:val="1"/>
                <w:szCs w:val="1"/>
                <w:color w:val="auto"/>
              </w:rPr>
            </w:pPr>
          </w:p>
        </w:tc>
      </w:tr>
      <w:tr>
        <w:trPr>
          <w:trHeight w:val="202"/>
        </w:trPr>
        <w:tc>
          <w:tcPr>
            <w:tcW w:w="85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Accumulated other comprehensive (loss) income, net of tax of $105 and $(7) at September 30, 2008 and</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December 31, 2007, respectively</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8500" w:type="dxa"/>
            <w:vAlign w:val="bottom"/>
          </w:tcPr>
          <w:p>
            <w:pPr>
              <w:ind w:left="420"/>
              <w:spacing w:after="0"/>
              <w:rPr>
                <w:sz w:val="20"/>
                <w:szCs w:val="20"/>
                <w:color w:val="auto"/>
              </w:rPr>
            </w:pPr>
            <w:r>
              <w:rPr>
                <w:rFonts w:ascii="Arial" w:cs="Arial" w:eastAsia="Arial" w:hAnsi="Arial"/>
                <w:sz w:val="18"/>
                <w:szCs w:val="18"/>
                <w:color w:val="auto"/>
              </w:rPr>
              <w:t>Total Shareholders’ Equity</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319,726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265,450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1,170,356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942,182</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5620"/>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5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2019-12-11T14:54:30Z</dcterms:created>
  <dcterms:modified xsi:type="dcterms:W3CDTF">2019-12-11T14:54:30Z</dcterms:modified>
</cp:coreProperties>
</file>