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FORM 8-K</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29, 2021</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8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4340" w:type="dxa"/>
            <w:vAlign w:val="bottom"/>
            <w:gridSpan w:val="5"/>
          </w:tcPr>
          <w:p>
            <w:pPr>
              <w:ind w:left="220"/>
              <w:spacing w:after="0"/>
              <w:rPr>
                <w:sz w:val="20"/>
                <w:szCs w:val="20"/>
                <w:color w:val="auto"/>
              </w:rPr>
            </w:pPr>
            <w:r>
              <w:rPr>
                <w:rFonts w:ascii="Arial" w:cs="Arial" w:eastAsia="Arial" w:hAnsi="Arial"/>
                <w:sz w:val="18"/>
                <w:szCs w:val="18"/>
                <w:color w:val="auto"/>
                <w:w w:val="99"/>
              </w:rPr>
              <w:t>(Exact name of registrant as specified in its charter)</w:t>
            </w:r>
          </w:p>
        </w:tc>
        <w:tc>
          <w:tcPr>
            <w:tcW w:w="3340" w:type="dxa"/>
            <w:vAlign w:val="bottom"/>
          </w:tcPr>
          <w:p>
            <w:pPr>
              <w:spacing w:after="0"/>
              <w:rPr>
                <w:sz w:val="20"/>
                <w:szCs w:val="20"/>
                <w:color w:val="auto"/>
              </w:rPr>
            </w:pPr>
          </w:p>
        </w:tc>
      </w:tr>
      <w:tr>
        <w:trPr>
          <w:trHeight w:val="335"/>
        </w:trPr>
        <w:tc>
          <w:tcPr>
            <w:tcW w:w="3460" w:type="dxa"/>
            <w:vAlign w:val="bottom"/>
          </w:tcPr>
          <w:p>
            <w:pPr>
              <w:jc w:val="center"/>
              <w:ind w:left="357"/>
              <w:spacing w:after="0"/>
              <w:rPr>
                <w:sz w:val="20"/>
                <w:szCs w:val="20"/>
                <w:color w:val="auto"/>
              </w:rPr>
            </w:pPr>
            <w:r>
              <w:rPr>
                <w:rFonts w:ascii="Arial" w:cs="Arial" w:eastAsia="Arial" w:hAnsi="Arial"/>
                <w:sz w:val="18"/>
                <w:szCs w:val="18"/>
                <w:color w:val="auto"/>
                <w:w w:val="97"/>
              </w:rPr>
              <w:t>Michigan</w:t>
            </w:r>
          </w:p>
        </w:tc>
        <w:tc>
          <w:tcPr>
            <w:tcW w:w="3520" w:type="dxa"/>
            <w:vAlign w:val="bottom"/>
            <w:gridSpan w:val="3"/>
          </w:tcPr>
          <w:p>
            <w:pPr>
              <w:jc w:val="right"/>
              <w:ind w:right="928"/>
              <w:spacing w:after="0"/>
              <w:rPr>
                <w:sz w:val="20"/>
                <w:szCs w:val="20"/>
                <w:color w:val="auto"/>
              </w:rPr>
            </w:pPr>
            <w:r>
              <w:rPr>
                <w:rFonts w:ascii="Arial" w:cs="Arial" w:eastAsia="Arial" w:hAnsi="Arial"/>
                <w:sz w:val="18"/>
                <w:szCs w:val="18"/>
                <w:color w:val="auto"/>
              </w:rPr>
              <w:t>000-20202</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jc w:val="center"/>
              <w:ind w:right="479"/>
              <w:spacing w:after="0"/>
              <w:rPr>
                <w:sz w:val="20"/>
                <w:szCs w:val="20"/>
                <w:color w:val="auto"/>
              </w:rPr>
            </w:pPr>
            <w:r>
              <w:rPr>
                <w:rFonts w:ascii="Arial" w:cs="Arial" w:eastAsia="Arial" w:hAnsi="Arial"/>
                <w:sz w:val="18"/>
                <w:szCs w:val="18"/>
                <w:color w:val="auto"/>
                <w:w w:val="89"/>
              </w:rPr>
              <w:t>38-1999511</w:t>
            </w:r>
          </w:p>
        </w:tc>
      </w:tr>
      <w:tr>
        <w:trPr>
          <w:trHeight w:val="41"/>
        </w:trPr>
        <w:tc>
          <w:tcPr>
            <w:tcW w:w="3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3340" w:type="dxa"/>
            <w:vAlign w:val="bottom"/>
          </w:tcPr>
          <w:p>
            <w:pPr>
              <w:spacing w:after="0"/>
              <w:rPr>
                <w:sz w:val="3"/>
                <w:szCs w:val="3"/>
                <w:color w:val="auto"/>
              </w:rPr>
            </w:pPr>
          </w:p>
        </w:tc>
      </w:tr>
      <w:tr>
        <w:trPr>
          <w:trHeight w:val="176"/>
        </w:trPr>
        <w:tc>
          <w:tcPr>
            <w:tcW w:w="3460" w:type="dxa"/>
            <w:vAlign w:val="bottom"/>
            <w:tcBorders>
              <w:top w:val="single" w:sz="8" w:color="auto"/>
            </w:tcBorders>
          </w:tcPr>
          <w:p>
            <w:pPr>
              <w:jc w:val="center"/>
              <w:ind w:left="357"/>
              <w:spacing w:after="0"/>
              <w:rPr>
                <w:sz w:val="20"/>
                <w:szCs w:val="20"/>
                <w:color w:val="auto"/>
              </w:rPr>
            </w:pPr>
            <w:r>
              <w:rPr>
                <w:rFonts w:ascii="Arial" w:cs="Arial" w:eastAsia="Arial" w:hAnsi="Arial"/>
                <w:sz w:val="14"/>
                <w:szCs w:val="14"/>
                <w:color w:val="auto"/>
                <w:w w:val="95"/>
              </w:rPr>
              <w:t>(State or other jurisdiction of incorporation)</w:t>
            </w:r>
          </w:p>
        </w:tc>
        <w:tc>
          <w:tcPr>
            <w:tcW w:w="4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3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340" w:type="dxa"/>
            <w:vAlign w:val="bottom"/>
            <w:tcBorders>
              <w:top w:val="single" w:sz="8" w:color="auto"/>
            </w:tcBorders>
          </w:tcPr>
          <w:p>
            <w:pPr>
              <w:jc w:val="center"/>
              <w:ind w:right="479"/>
              <w:spacing w:after="0"/>
              <w:rPr>
                <w:sz w:val="20"/>
                <w:szCs w:val="20"/>
                <w:color w:val="auto"/>
              </w:rPr>
            </w:pPr>
            <w:r>
              <w:rPr>
                <w:rFonts w:ascii="Arial" w:cs="Arial" w:eastAsia="Arial" w:hAnsi="Arial"/>
                <w:sz w:val="14"/>
                <w:szCs w:val="14"/>
                <w:color w:val="auto"/>
                <w:w w:val="97"/>
              </w:rPr>
              <w:t>(IRS Employer Identification No.)</w:t>
            </w:r>
          </w:p>
        </w:tc>
      </w:tr>
      <w:tr>
        <w:trPr>
          <w:trHeight w:val="533"/>
        </w:trPr>
        <w:tc>
          <w:tcPr>
            <w:tcW w:w="3460" w:type="dxa"/>
            <w:vAlign w:val="bottom"/>
          </w:tcPr>
          <w:p>
            <w:pPr>
              <w:jc w:val="center"/>
              <w:ind w:left="457"/>
              <w:spacing w:after="0"/>
              <w:rPr>
                <w:sz w:val="20"/>
                <w:szCs w:val="20"/>
                <w:color w:val="auto"/>
              </w:rPr>
            </w:pPr>
            <w:r>
              <w:rPr>
                <w:rFonts w:ascii="Arial" w:cs="Arial" w:eastAsia="Arial" w:hAnsi="Arial"/>
                <w:sz w:val="18"/>
                <w:szCs w:val="18"/>
                <w:color w:val="auto"/>
                <w:w w:val="91"/>
              </w:rPr>
              <w:t>25505 West Twelve Mile Road</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70"/>
        </w:trPr>
        <w:tc>
          <w:tcPr>
            <w:tcW w:w="3460" w:type="dxa"/>
            <w:vAlign w:val="bottom"/>
          </w:tcPr>
          <w:p>
            <w:pPr>
              <w:jc w:val="center"/>
              <w:ind w:left="497"/>
              <w:spacing w:after="0"/>
              <w:rPr>
                <w:sz w:val="20"/>
                <w:szCs w:val="20"/>
                <w:color w:val="auto"/>
              </w:rPr>
            </w:pPr>
            <w:r>
              <w:rPr>
                <w:rFonts w:ascii="Arial" w:cs="Arial" w:eastAsia="Arial" w:hAnsi="Arial"/>
                <w:sz w:val="18"/>
                <w:szCs w:val="18"/>
                <w:color w:val="auto"/>
                <w:w w:val="95"/>
              </w:rPr>
              <w:t>Southfield,  Michigan</w:t>
            </w: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340" w:type="dxa"/>
            <w:vAlign w:val="bottom"/>
          </w:tcPr>
          <w:p>
            <w:pPr>
              <w:jc w:val="center"/>
              <w:ind w:right="459"/>
              <w:spacing w:after="0"/>
              <w:rPr>
                <w:sz w:val="20"/>
                <w:szCs w:val="20"/>
                <w:color w:val="auto"/>
              </w:rPr>
            </w:pPr>
            <w:r>
              <w:rPr>
                <w:rFonts w:ascii="Arial" w:cs="Arial" w:eastAsia="Arial" w:hAnsi="Arial"/>
                <w:sz w:val="18"/>
                <w:szCs w:val="18"/>
                <w:color w:val="auto"/>
                <w:w w:val="91"/>
              </w:rPr>
              <w:t>48034-8339</w:t>
            </w:r>
          </w:p>
        </w:tc>
      </w:tr>
      <w:tr>
        <w:trPr>
          <w:trHeight w:val="40"/>
        </w:trPr>
        <w:tc>
          <w:tcPr>
            <w:tcW w:w="34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176"/>
        </w:trPr>
        <w:tc>
          <w:tcPr>
            <w:tcW w:w="3460" w:type="dxa"/>
            <w:vAlign w:val="bottom"/>
          </w:tcPr>
          <w:p>
            <w:pPr>
              <w:jc w:val="center"/>
              <w:ind w:left="437"/>
              <w:spacing w:after="0"/>
              <w:rPr>
                <w:sz w:val="20"/>
                <w:szCs w:val="20"/>
                <w:color w:val="auto"/>
              </w:rPr>
            </w:pPr>
            <w:r>
              <w:rPr>
                <w:rFonts w:ascii="Arial" w:cs="Arial" w:eastAsia="Arial" w:hAnsi="Arial"/>
                <w:sz w:val="14"/>
                <w:szCs w:val="14"/>
                <w:color w:val="auto"/>
                <w:w w:val="95"/>
              </w:rPr>
              <w:t>(Address of principal executive offices)</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40" w:type="dxa"/>
            <w:vAlign w:val="bottom"/>
          </w:tcPr>
          <w:p>
            <w:pPr>
              <w:jc w:val="center"/>
              <w:ind w:right="459"/>
              <w:spacing w:after="0"/>
              <w:rPr>
                <w:sz w:val="20"/>
                <w:szCs w:val="20"/>
                <w:color w:val="auto"/>
              </w:rPr>
            </w:pPr>
            <w:r>
              <w:rPr>
                <w:rFonts w:ascii="Arial" w:cs="Arial" w:eastAsia="Arial" w:hAnsi="Arial"/>
                <w:sz w:val="14"/>
                <w:szCs w:val="14"/>
                <w:color w:val="auto"/>
                <w:w w:val="96"/>
              </w:rPr>
              <w:t>(Zip Code)</w:t>
            </w:r>
          </w:p>
        </w:tc>
      </w:tr>
    </w:tbl>
    <w:p>
      <w:pPr>
        <w:spacing w:after="0" w:line="35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Registrant’s telephone number, including area code:  (248) 353-2700</w:t>
      </w:r>
    </w:p>
    <w:p>
      <w:pPr>
        <w:spacing w:after="0" w:line="158" w:lineRule="exact"/>
        <w:rPr>
          <w:sz w:val="24"/>
          <w:szCs w:val="24"/>
          <w:color w:val="auto"/>
        </w:rPr>
      </w:pPr>
    </w:p>
    <w:p>
      <w:pPr>
        <w:ind w:left="5060"/>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-130175</wp:posOffset>
            </wp:positionV>
            <wp:extent cx="39433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Title of each class</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Trading symbol(s)</w:t>
            </w:r>
          </w:p>
        </w:tc>
        <w:tc>
          <w:tcPr>
            <w:tcW w:w="452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27"/>
        </w:trPr>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CACC</w:t>
            </w:r>
          </w:p>
        </w:tc>
        <w:tc>
          <w:tcPr>
            <w:tcW w:w="12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6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set forth below under Item 2.03 is hereby incorporated by reference into this Item 1.01.</w:t>
      </w:r>
    </w:p>
    <w:p>
      <w:pPr>
        <w:spacing w:after="0" w:line="23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January 29, 2021, Credit Acceptance Corporation (the “Company”, “Credit Acceptance”, “we”, “our”, or “us”) entered into a $100.0 million asset-backed non-recourse secured financing (the “Financing”). The parties to the transaction are the Company, as originator, servicer and custodian, Credit Acceptance Funding LLC 2021-1, as borrower, Fifth Third Bank, National Association, as deal agent, lender and collateral agent, and the other lenders party from time to time thereto. Pursuant to the Financing, we contributed approximately $125.1 million of loans to a wholly-owned special purpose entity that pledged the loans to an institutional lender under a loan and security agreement.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Financing will:</w:t>
      </w:r>
    </w:p>
    <w:p>
      <w:pPr>
        <w:spacing w:after="0" w:line="15" w:lineRule="exact"/>
        <w:rPr>
          <w:sz w:val="20"/>
          <w:szCs w:val="20"/>
          <w:color w:val="auto"/>
        </w:rPr>
      </w:pPr>
    </w:p>
    <w:p>
      <w:pPr>
        <w:ind w:left="680" w:hanging="308"/>
        <w:spacing w:after="0"/>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bear interest at one-month LIBOR plus 200 basis points;</w:t>
      </w:r>
    </w:p>
    <w:p>
      <w:pPr>
        <w:ind w:left="680" w:hanging="308"/>
        <w:spacing w:after="0"/>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revolve for 24 months after which it will amortize based upon the cash flows on the contributed loans; and</w:t>
      </w:r>
    </w:p>
    <w:p>
      <w:pPr>
        <w:ind w:left="680" w:hanging="308"/>
        <w:spacing w:after="0"/>
        <w:tabs>
          <w:tab w:leader="none" w:pos="680" w:val="left"/>
        </w:tabs>
        <w:numPr>
          <w:ilvl w:val="0"/>
          <w:numId w:val="2"/>
        </w:numPr>
        <w:rPr>
          <w:rFonts w:ascii="Arial" w:cs="Arial" w:eastAsia="Arial" w:hAnsi="Arial"/>
          <w:sz w:val="20"/>
          <w:szCs w:val="20"/>
          <w:color w:val="auto"/>
        </w:rPr>
      </w:pPr>
      <w:r>
        <w:rPr>
          <w:rFonts w:ascii="Arial" w:cs="Arial" w:eastAsia="Arial" w:hAnsi="Arial"/>
          <w:sz w:val="20"/>
          <w:szCs w:val="20"/>
          <w:color w:val="auto"/>
        </w:rPr>
        <w:t>be used by us to repay outstanding indebtedness and for general corporate purposes.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will receive 6.0% of the cash flows related to the underlying consumer loans to cover servicing expenses. The remaining 94.0%, less amounts due to dealers for payments of dealer holdback, will be used to pay principal and interest to the institutional lender as well as the ongoing costs of the Financing. The Financing is structured so as not to affect our contractual relationships with our dealers and to preserve the dealers’ rights to future payments of dealer holdback.</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Financing provides for certain events, referred to as “Termination Events”, including nonpayment, misrepresentation, breach of covenants, bankruptcy and failure to maintain certain financial ratios and results, including in respect of the performance of the pledged loans. It is also a Termination Event (i) if an event with a material adverse effect occurs, (ii) if we fail to make any required payment on debt for borrowed money having a principal amount in excess of a specified amount or default in the performance of any conditions, covenants or agreements under agreements relating to any such debt that results in such debt being (or permits such debt to be) accelerated or (iii) with respect to our role as servicer of the loans, if any “Servicer Termination Event” occurs. Upon the occurrence of any Termination Event, in addition to those described above, the creditors may, after the applicable grace period, declare the entire unpaid principal amount outstanding under the Financing and all accrued interest thereon to be immediately due and payable and exercise other remedies, including foreclosing on the collateral.</w:t>
      </w:r>
    </w:p>
    <w:p>
      <w:pPr>
        <w:spacing w:after="0" w:line="21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Fifth Third Bank, National Association and/or its affiliates are lenders or agents under certain of our revolving secured warehouse facilities and are parties to certain of our asset-backed securities transactions.</w:t>
      </w:r>
    </w:p>
    <w:p>
      <w:pPr>
        <w:spacing w:after="0" w:line="204"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above summary of the terms and conditions of this transaction does not purport to be complete and is qualified in its entirety by the agreements attached as Exhibits 4.130 to 4.133 to this Form 8-K which agreements are incorporated herein by reference.</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January 29, 2021, we entered into the Second Amendment to the Amended and Restated Loan and Security Agreement, dated as of January 29, 2021, among the Company, CAC Warehouse Funding LLC IV, Bank of Montreal and Wells Fargo Bank, National Association. The amendment extends the date on which the facility will cease to revolve from July 26, 2022 to November 17, 2023. The interest rate on borrowings under the facility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732155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 w:name="page3"/>
    <w:bookmarkEnd w:id="2"/>
    <w:p>
      <w:pPr>
        <w:jc w:val="both"/>
        <w:ind w:right="20"/>
        <w:spacing w:after="0" w:line="260" w:lineRule="auto"/>
        <w:rPr>
          <w:sz w:val="20"/>
          <w:szCs w:val="20"/>
          <w:color w:val="auto"/>
        </w:rPr>
      </w:pPr>
      <w:r>
        <w:rPr>
          <w:rFonts w:ascii="Arial" w:cs="Arial" w:eastAsia="Arial" w:hAnsi="Arial"/>
          <w:sz w:val="20"/>
          <w:szCs w:val="20"/>
          <w:color w:val="auto"/>
        </w:rPr>
        <w:t>been increased from LIBOR plus 200 basis points to LIBOR plus 210 basis points. There were no other material changes to the terms of the facility.</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January 29, 2021, we did not have a balance outstanding under the revolving secured warehouse facility. The terms and conditions of this transaction are set forth in the agreement attached hereto as Exhibit 4.134 to this Form 8-K and incorporated herein by reference.</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February 3, 2021, we entered into the Amendment No. 5 to the Sixth Amended and Restated Loan and Security Agreement, dated as of February 3, 2021, among the Company, CAC Warehouse Funding Corporation II and Wells Fargo Bank, National Association. The amendment extends the date on which the facility will cease to revolve from July 12, 2022 to April 30, 2024. There were no other material changes to the terms of the facility.</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February 3, 2021 we had $75.0 million outstanding under the revolving secured warehouse facility. The terms and conditions of this transaction are set forth in the agreement attached hereto as Exhibit 4.135 to this Form 8-K and incorporated herein by reference.</w:t>
      </w:r>
    </w:p>
    <w:p>
      <w:pPr>
        <w:spacing w:after="0" w:line="1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On January 29, 2021 and February 3, 2021 we issued press releases regarding these transactions. The press releases are attached as Exhibit 99.1 and Exhibit 99.2, respectively, to this Current Report on Form 8-K and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3" w:name="page4"/>
    <w:bookmarkEnd w:id="3"/>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w:t>
      </w:r>
    </w:p>
    <w:p>
      <w:pPr>
        <w:spacing w:after="0" w:line="96" w:lineRule="exact"/>
        <w:rPr>
          <w:sz w:val="20"/>
          <w:szCs w:val="20"/>
          <w:color w:val="auto"/>
        </w:rPr>
      </w:pPr>
    </w:p>
    <w:p>
      <w:pPr>
        <w:ind w:left="5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4.130</w:t>
        </w:r>
      </w:hyperlink>
    </w:p>
    <w:p>
      <w:pPr>
        <w:spacing w:after="0" w:line="225" w:lineRule="exact"/>
        <w:rPr>
          <w:sz w:val="20"/>
          <w:szCs w:val="20"/>
          <w:color w:val="auto"/>
        </w:rPr>
      </w:pPr>
    </w:p>
    <w:p>
      <w:pPr>
        <w:ind w:left="500"/>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4.131</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u w:val="single" w:color="auto"/>
          <w:color w:val="auto"/>
        </w:rPr>
        <w:t>Description</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Loan and Security Agreement dated as of January 29, 2021 among the Company, Credit Acceptance Funding LLC 2021-1, Fifth Third Bank, National Association and Systems and Services Technologies, Inc..</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Backup Servicing Agreement dated as of January 29, 2021, among the Company, Credit Acceptance Funding LLC 2021-1, Fifth Third Bank, National Association and Systems and Services Technologies, Inc.</w:t>
      </w:r>
    </w:p>
    <w:p>
      <w:pPr>
        <w:spacing w:after="0" w:line="1" w:lineRule="exact"/>
        <w:rPr>
          <w:sz w:val="20"/>
          <w:szCs w:val="20"/>
          <w:color w:val="auto"/>
        </w:rPr>
      </w:pPr>
    </w:p>
    <w:p>
      <w:pPr>
        <w:sectPr>
          <w:pgSz w:w="11900" w:h="16838" w:orient="portrait"/>
          <w:cols w:equalWidth="0" w:num="2">
            <w:col w:w="960" w:space="560"/>
            <w:col w:w="8560"/>
          </w:cols>
          <w:pgMar w:left="400" w:top="1197" w:right="1419" w:bottom="1440" w:gutter="0" w:footer="0" w:header="0"/>
        </w:sectPr>
      </w:pPr>
    </w:p>
    <w:p>
      <w:pPr>
        <w:ind w:left="1520" w:right="820" w:hanging="1029"/>
        <w:spacing w:after="0" w:line="225" w:lineRule="auto"/>
        <w:tabs>
          <w:tab w:leader="none" w:pos="1500" w:val="left"/>
        </w:tabs>
        <w:rPr>
          <w:rFonts w:ascii="Arial" w:cs="Arial" w:eastAsia="Arial" w:hAnsi="Arial"/>
          <w:sz w:val="20"/>
          <w:szCs w:val="20"/>
          <w:color w:val="0000FF"/>
        </w:rPr>
      </w:pPr>
      <w:hyperlink w:anchor="page182">
        <w:r>
          <w:rPr>
            <w:rFonts w:ascii="Arial" w:cs="Arial" w:eastAsia="Arial" w:hAnsi="Arial"/>
            <w:sz w:val="20"/>
            <w:szCs w:val="20"/>
            <w:u w:val="single" w:color="auto"/>
            <w:color w:val="0000FF"/>
          </w:rPr>
          <w:t>4.132</w:t>
        </w:r>
      </w:hyperlink>
      <w:r>
        <w:rPr>
          <w:rFonts w:ascii="Arial" w:cs="Arial" w:eastAsia="Arial" w:hAnsi="Arial"/>
          <w:sz w:val="20"/>
          <w:szCs w:val="20"/>
          <w:color w:val="0000FF"/>
        </w:rPr>
        <w:tab/>
        <w:t>Sale and Contribution Agreement dated as of January 29, 2021, between the Company and Credit Acceptance Funding LLC 2021-1.</w:t>
      </w:r>
    </w:p>
    <w:p>
      <w:pPr>
        <w:spacing w:after="0" w:line="1" w:lineRule="exact"/>
        <w:rPr>
          <w:sz w:val="20"/>
          <w:szCs w:val="20"/>
          <w:color w:val="auto"/>
        </w:rPr>
      </w:pPr>
    </w:p>
    <w:p>
      <w:pPr>
        <w:ind w:left="1520" w:right="40" w:hanging="1029"/>
        <w:spacing w:after="0" w:line="211" w:lineRule="auto"/>
        <w:tabs>
          <w:tab w:leader="none" w:pos="1500" w:val="left"/>
        </w:tabs>
        <w:rPr>
          <w:rFonts w:ascii="Arial" w:cs="Arial" w:eastAsia="Arial" w:hAnsi="Arial"/>
          <w:sz w:val="20"/>
          <w:szCs w:val="20"/>
          <w:color w:val="0000FF"/>
        </w:rPr>
      </w:pPr>
      <w:hyperlink w:anchor="page207">
        <w:r>
          <w:rPr>
            <w:rFonts w:ascii="Arial" w:cs="Arial" w:eastAsia="Arial" w:hAnsi="Arial"/>
            <w:sz w:val="20"/>
            <w:szCs w:val="20"/>
            <w:u w:val="single" w:color="auto"/>
            <w:color w:val="0000FF"/>
          </w:rPr>
          <w:t>4.133</w:t>
        </w:r>
      </w:hyperlink>
      <w:r>
        <w:rPr>
          <w:rFonts w:ascii="Arial" w:cs="Arial" w:eastAsia="Arial" w:hAnsi="Arial"/>
          <w:sz w:val="20"/>
          <w:szCs w:val="20"/>
          <w:color w:val="0000FF"/>
        </w:rPr>
        <w:tab/>
      </w:r>
      <w:r>
        <w:rPr>
          <w:rFonts w:ascii="Arial" w:cs="Arial" w:eastAsia="Arial" w:hAnsi="Arial"/>
          <w:sz w:val="19"/>
          <w:szCs w:val="19"/>
          <w:color w:val="0000FF"/>
        </w:rPr>
        <w:t>Amended and Restated Intercreditor Agreement dated January 29, 2021, among the Company, CAC Warehouse Funding Corporation II, CAC Warehouse Funding LLC IV, CAC Warehouse Funding LLC V, CAC Warehouse Funding LLC VI, CAC Warehouse Funding LLC VII, CAC Warehouse Funding LLC VIII, Credit Acceptance Funding LLC 2021-1, Credit Acceptance Funding LLC 2020-3, Credit Acceptance Funding LLC 2020-2, Credit Acceptance Funding LLC 2020-1, Credit Acceptance Funding LLC 2019-3, Credit Acceptance Funding LLC 2019-2, Credit Acceptance Funding LLC 2019-1, Credit Acceptance Funding LLC 2018-3, Credit Acceptance Funding LLC 2018-2, Credit Acceptance Funding LLC 2018-1, Credit Acceptance Funding LLC 2017-3, Credit Acceptance Auto Loan Trust 2020-3, Credit Acceptance Auto Loan Trust 2020-2, Credit Acceptance Auto Loan Trust 2020-1, Credit Acceptance Auto Loan Trust 2019-3, Credit Acceptance Auto Loan Trust 2019-1, Credit Acceptance Auto Loan Trust 2018-3, Credit Acceptance Auto Loan Trust 2018-2, Credit Acceptance Auto Loan Trust 2018-1, Credit Acceptance Auto Loan Trust 2017-3, Wells Fargo Bank, National Association, as agent, Fifth Third Bank, as agent, Bank of Montreal, as agent, Flagstar Bank, FSB, as agent, Citizens Bank, N.A., as agent and Comerica Bank, as agent.</w:t>
      </w:r>
    </w:p>
    <w:p>
      <w:pPr>
        <w:spacing w:after="0" w:line="11" w:lineRule="exact"/>
        <w:rPr>
          <w:sz w:val="20"/>
          <w:szCs w:val="20"/>
          <w:color w:val="auto"/>
        </w:rPr>
      </w:pPr>
    </w:p>
    <w:p>
      <w:pPr>
        <w:ind w:left="1520" w:right="60" w:hanging="1029"/>
        <w:spacing w:after="0" w:line="237" w:lineRule="auto"/>
        <w:tabs>
          <w:tab w:leader="none" w:pos="1500" w:val="left"/>
        </w:tabs>
        <w:rPr>
          <w:rFonts w:ascii="Arial" w:cs="Arial" w:eastAsia="Arial" w:hAnsi="Arial"/>
          <w:sz w:val="20"/>
          <w:szCs w:val="20"/>
          <w:color w:val="0000FF"/>
        </w:rPr>
      </w:pPr>
      <w:hyperlink w:anchor="page246">
        <w:r>
          <w:rPr>
            <w:rFonts w:ascii="Arial" w:cs="Arial" w:eastAsia="Arial" w:hAnsi="Arial"/>
            <w:sz w:val="20"/>
            <w:szCs w:val="20"/>
            <w:u w:val="single" w:color="auto"/>
            <w:color w:val="0000FF"/>
          </w:rPr>
          <w:t>4.134</w:t>
        </w:r>
      </w:hyperlink>
      <w:r>
        <w:rPr>
          <w:rFonts w:ascii="Arial" w:cs="Arial" w:eastAsia="Arial" w:hAnsi="Arial"/>
          <w:sz w:val="20"/>
          <w:szCs w:val="20"/>
          <w:color w:val="0000FF"/>
        </w:rPr>
        <w:tab/>
      </w:r>
      <w:r>
        <w:rPr>
          <w:rFonts w:ascii="Arial" w:cs="Arial" w:eastAsia="Arial" w:hAnsi="Arial"/>
          <w:sz w:val="19"/>
          <w:szCs w:val="19"/>
          <w:color w:val="0000FF"/>
        </w:rPr>
        <w:t>Second Amendment to Amended and Restated Loan and Security Agreement dated as of January 29, 2021, among the Company, CAC Warehouse Funding LLC IV and Bank of Montreal.</w:t>
      </w:r>
    </w:p>
    <w:p>
      <w:pPr>
        <w:jc w:val="both"/>
        <w:ind w:left="1580" w:hanging="1083"/>
        <w:spacing w:after="0" w:line="250" w:lineRule="auto"/>
        <w:tabs>
          <w:tab w:leader="none" w:pos="1560" w:val="left"/>
        </w:tabs>
        <w:rPr>
          <w:sz w:val="20"/>
          <w:szCs w:val="20"/>
          <w:color w:val="auto"/>
        </w:rPr>
      </w:pPr>
      <w:r>
        <w:rPr>
          <w:rFonts w:ascii="Arial" w:cs="Arial" w:eastAsia="Arial" w:hAnsi="Arial"/>
          <w:sz w:val="39"/>
          <w:szCs w:val="39"/>
          <w:u w:val="single" w:color="auto"/>
          <w:color w:val="0000FF"/>
          <w:vertAlign w:val="superscript"/>
        </w:rPr>
        <w:t>4.135</w:t>
      </w:r>
      <w:r>
        <w:rPr>
          <w:sz w:val="20"/>
          <w:szCs w:val="20"/>
          <w:color w:val="auto"/>
        </w:rPr>
        <w:tab/>
      </w:r>
      <w:r>
        <w:rPr>
          <w:rFonts w:ascii="Arial" w:cs="Arial" w:eastAsia="Arial" w:hAnsi="Arial"/>
          <w:sz w:val="20"/>
          <w:szCs w:val="20"/>
          <w:color w:val="auto"/>
        </w:rPr>
        <w:t>Amendment No. 5 to the Sixth Amended and Restated Loan and Security Agreement dated as of February 3, 2021, among the Company, CAC Warehouse Funding Corporation II and Wells Fargo Bank, National Association.</w:t>
      </w:r>
    </w:p>
    <w:p>
      <w:pPr>
        <w:spacing w:after="0" w:line="84" w:lineRule="exact"/>
        <w:rPr>
          <w:sz w:val="20"/>
          <w:szCs w:val="20"/>
          <w:color w:val="auto"/>
        </w:rPr>
      </w:pPr>
    </w:p>
    <w:p>
      <w:pPr>
        <w:ind w:left="540"/>
        <w:spacing w:after="0"/>
        <w:tabs>
          <w:tab w:leader="none" w:pos="1500" w:val="left"/>
        </w:tabs>
        <w:rPr>
          <w:rFonts w:ascii="Arial" w:cs="Arial" w:eastAsia="Arial" w:hAnsi="Arial"/>
          <w:sz w:val="20"/>
          <w:szCs w:val="20"/>
          <w:color w:val="0000FF"/>
        </w:rPr>
      </w:pPr>
      <w:hyperlink w:anchor="page418">
        <w:r>
          <w:rPr>
            <w:rFonts w:ascii="Arial" w:cs="Arial" w:eastAsia="Arial" w:hAnsi="Arial"/>
            <w:sz w:val="20"/>
            <w:szCs w:val="20"/>
            <w:u w:val="single" w:color="auto"/>
            <w:color w:val="0000FF"/>
          </w:rPr>
          <w:t>99.1</w:t>
        </w:r>
      </w:hyperlink>
      <w:r>
        <w:rPr>
          <w:rFonts w:ascii="Arial" w:cs="Arial" w:eastAsia="Arial" w:hAnsi="Arial"/>
          <w:sz w:val="20"/>
          <w:szCs w:val="20"/>
          <w:color w:val="0000FF"/>
        </w:rPr>
        <w:tab/>
      </w:r>
      <w:r>
        <w:rPr>
          <w:rFonts w:ascii="Arial" w:cs="Arial" w:eastAsia="Arial" w:hAnsi="Arial"/>
          <w:sz w:val="16"/>
          <w:szCs w:val="16"/>
          <w:color w:val="0000FF"/>
        </w:rPr>
        <w:t>Press Release dated January 29, 2021</w:t>
      </w:r>
    </w:p>
    <w:p>
      <w:pPr>
        <w:spacing w:after="0" w:line="20" w:lineRule="exact"/>
        <w:rPr>
          <w:sz w:val="20"/>
          <w:szCs w:val="20"/>
          <w:color w:val="auto"/>
        </w:rPr>
      </w:pPr>
    </w:p>
    <w:p>
      <w:pPr>
        <w:ind w:left="540"/>
        <w:spacing w:after="0"/>
        <w:tabs>
          <w:tab w:leader="none" w:pos="1500" w:val="left"/>
        </w:tabs>
        <w:rPr>
          <w:rFonts w:ascii="Arial" w:cs="Arial" w:eastAsia="Arial" w:hAnsi="Arial"/>
          <w:sz w:val="20"/>
          <w:szCs w:val="20"/>
          <w:color w:val="0000FF"/>
        </w:rPr>
      </w:pPr>
      <w:hyperlink w:anchor="page419">
        <w:r>
          <w:rPr>
            <w:rFonts w:ascii="Arial" w:cs="Arial" w:eastAsia="Arial" w:hAnsi="Arial"/>
            <w:sz w:val="20"/>
            <w:szCs w:val="20"/>
            <w:u w:val="single" w:color="auto"/>
            <w:color w:val="0000FF"/>
          </w:rPr>
          <w:t>99.2</w:t>
        </w:r>
      </w:hyperlink>
      <w:r>
        <w:rPr>
          <w:rFonts w:ascii="Arial" w:cs="Arial" w:eastAsia="Arial" w:hAnsi="Arial"/>
          <w:sz w:val="20"/>
          <w:szCs w:val="20"/>
          <w:color w:val="0000FF"/>
        </w:rPr>
        <w:tab/>
      </w:r>
      <w:r>
        <w:rPr>
          <w:rFonts w:ascii="Arial" w:cs="Arial" w:eastAsia="Arial" w:hAnsi="Arial"/>
          <w:sz w:val="16"/>
          <w:szCs w:val="16"/>
          <w:color w:val="0000FF"/>
        </w:rPr>
        <w:t>Press Release dated February 3, 2021</w:t>
      </w:r>
    </w:p>
    <w:p>
      <w:pPr>
        <w:spacing w:after="0" w:line="13" w:lineRule="exact"/>
        <w:rPr>
          <w:sz w:val="20"/>
          <w:szCs w:val="20"/>
          <w:color w:val="auto"/>
        </w:rPr>
      </w:pPr>
    </w:p>
    <w:p>
      <w:pPr>
        <w:ind w:left="1520" w:right="600" w:hanging="951"/>
        <w:spacing w:after="0" w:line="225" w:lineRule="auto"/>
        <w:tabs>
          <w:tab w:leader="none" w:pos="152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1266825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400" w:top="1197" w:right="1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6080" w:type="dxa"/>
            <w:vAlign w:val="bottom"/>
            <w:gridSpan w:val="2"/>
          </w:tcPr>
          <w:p>
            <w:pPr>
              <w:ind w:left="1260"/>
              <w:spacing w:after="0"/>
              <w:rPr>
                <w:sz w:val="20"/>
                <w:szCs w:val="20"/>
                <w:color w:val="auto"/>
              </w:rPr>
            </w:pPr>
            <w:r>
              <w:rPr>
                <w:rFonts w:ascii="Arial" w:cs="Arial" w:eastAsia="Arial" w:hAnsi="Arial"/>
                <w:sz w:val="18"/>
                <w:szCs w:val="18"/>
                <w:color w:val="auto"/>
              </w:rPr>
              <w:t>CREDIT ACCEPTANCE CORPORATION</w:t>
            </w:r>
          </w:p>
        </w:tc>
      </w:tr>
      <w:tr>
        <w:trPr>
          <w:trHeight w:val="459"/>
        </w:trPr>
        <w:tc>
          <w:tcPr>
            <w:tcW w:w="2940" w:type="dxa"/>
            <w:vAlign w:val="bottom"/>
          </w:tcPr>
          <w:p>
            <w:pPr>
              <w:spacing w:after="0"/>
              <w:rPr>
                <w:sz w:val="20"/>
                <w:szCs w:val="20"/>
                <w:color w:val="auto"/>
              </w:rPr>
            </w:pPr>
            <w:r>
              <w:rPr>
                <w:rFonts w:ascii="Arial" w:cs="Arial" w:eastAsia="Arial" w:hAnsi="Arial"/>
                <w:sz w:val="18"/>
                <w:szCs w:val="18"/>
                <w:color w:val="auto"/>
              </w:rPr>
              <w:t>Date: February 4, 2021</w:t>
            </w:r>
          </w:p>
        </w:tc>
        <w:tc>
          <w:tcPr>
            <w:tcW w:w="6080" w:type="dxa"/>
            <w:vAlign w:val="bottom"/>
            <w:gridSpan w:val="2"/>
          </w:tcPr>
          <w:p>
            <w:pPr>
              <w:ind w:left="1260"/>
              <w:spacing w:after="0"/>
              <w:rPr>
                <w:sz w:val="20"/>
                <w:szCs w:val="20"/>
                <w:color w:val="auto"/>
              </w:rPr>
            </w:pPr>
            <w:r>
              <w:rPr>
                <w:rFonts w:ascii="Arial" w:cs="Arial" w:eastAsia="Arial" w:hAnsi="Arial"/>
                <w:sz w:val="18"/>
                <w:szCs w:val="18"/>
                <w:color w:val="auto"/>
                <w:w w:val="91"/>
              </w:rPr>
              <w:t>By:/s/ Douglas W. Busk</w:t>
            </w:r>
          </w:p>
        </w:tc>
      </w:tr>
      <w:tr>
        <w:trPr>
          <w:trHeight w:val="222"/>
        </w:trPr>
        <w:tc>
          <w:tcPr>
            <w:tcW w:w="2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Douglas W. Busk</w:t>
            </w:r>
          </w:p>
        </w:tc>
      </w:tr>
      <w:tr>
        <w:trPr>
          <w:trHeight w:val="230"/>
        </w:trPr>
        <w:tc>
          <w:tcPr>
            <w:tcW w:w="2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Chief Treasury Officer</w:t>
            </w:r>
          </w:p>
        </w:tc>
      </w:tr>
    </w:tbl>
    <w:p>
      <w:pPr>
        <w:sectPr>
          <w:pgSz w:w="11900" w:h="16838" w:orient="portrait"/>
          <w:cols w:equalWidth="0" w:num="1">
            <w:col w:w="11240"/>
          </w:cols>
          <w:pgMar w:left="320" w:top="116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3717290</wp:posOffset>
            </wp:positionH>
            <wp:positionV relativeFrom="page">
              <wp:posOffset>1177925</wp:posOffset>
            </wp:positionV>
            <wp:extent cx="114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U.S. $100,000,000</w:t>
      </w:r>
    </w:p>
    <w:p>
      <w:pPr>
        <w:spacing w:after="0" w:line="22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LOAN AND SECURITY AGREEMENT</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Dated as of January 29, 2021</w:t>
      </w:r>
    </w:p>
    <w:p>
      <w:pPr>
        <w:spacing w:after="0" w:line="220"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CREDIT ACCEPTANCE FUNDING LLC 2021-1</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as the Borrower</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CREDIT ACCEPTANCE CORPORATION</w:t>
      </w:r>
    </w:p>
    <w:p>
      <w:pPr>
        <w:spacing w:after="0" w:line="20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as the Originator, Servicer and Custodian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FIFTH THIRD BANK, NATIONAL ASSOCIATION</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as a Lender, and the other Lenders from time to time party hereto</w:t>
      </w:r>
    </w:p>
    <w:p>
      <w:pPr>
        <w:spacing w:after="0" w:line="200" w:lineRule="exact"/>
        <w:rPr>
          <w:sz w:val="20"/>
          <w:szCs w:val="20"/>
          <w:color w:val="auto"/>
        </w:rPr>
      </w:pPr>
    </w:p>
    <w:p>
      <w:pPr>
        <w:spacing w:after="0" w:line="33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FIFTH THIRD BANK, NATIONAL ASSOCIATION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the Deal Agent</w:t>
      </w:r>
    </w:p>
    <w:p>
      <w:pPr>
        <w:spacing w:after="0" w:line="200" w:lineRule="exact"/>
        <w:rPr>
          <w:sz w:val="20"/>
          <w:szCs w:val="20"/>
          <w:color w:val="auto"/>
        </w:rPr>
      </w:pPr>
    </w:p>
    <w:p>
      <w:pPr>
        <w:spacing w:after="0" w:line="272"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FIFTH THIRD BANK, NATIONAL ASSOCIATION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as the Collateral Agent</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SYSTEMS &amp; SERVICES TECHNOLOGIES, INC.</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the Backup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427355</wp:posOffset>
            </wp:positionV>
            <wp:extent cx="114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880" w:type="dxa"/>
            <w:vAlign w:val="bottom"/>
            <w:gridSpan w:val="10"/>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I DEFINITIONS</w:t>
              </w:r>
            </w:hyperlink>
          </w:p>
        </w:tc>
        <w:tc>
          <w:tcPr>
            <w:tcW w:w="540" w:type="dxa"/>
            <w:vAlign w:val="bottom"/>
          </w:tcPr>
          <w:p>
            <w:pPr>
              <w:ind w:left="34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1</w:t>
              </w:r>
            </w:hyperlink>
          </w:p>
        </w:tc>
      </w:tr>
      <w:tr>
        <w:trPr>
          <w:trHeight w:val="260"/>
        </w:trPr>
        <w:tc>
          <w:tcPr>
            <w:tcW w:w="3180" w:type="dxa"/>
            <w:vAlign w:val="bottom"/>
            <w:tcBorders>
              <w:bottom w:val="single" w:sz="8" w:color="0000FF"/>
            </w:tcBorders>
            <w:gridSpan w:val="6"/>
          </w:tcPr>
          <w:p>
            <w:pPr>
              <w:spacing w:after="0"/>
              <w:rPr>
                <w:rFonts w:ascii="Arial" w:cs="Arial" w:eastAsia="Arial" w:hAnsi="Arial"/>
                <w:sz w:val="22"/>
                <w:szCs w:val="22"/>
                <w:color w:val="0000FF"/>
                <w:w w:val="91"/>
              </w:rPr>
            </w:pPr>
            <w:hyperlink w:anchor="page10">
              <w:r>
                <w:rPr>
                  <w:rFonts w:ascii="Arial" w:cs="Arial" w:eastAsia="Arial" w:hAnsi="Arial"/>
                  <w:sz w:val="22"/>
                  <w:szCs w:val="22"/>
                  <w:color w:val="0000FF"/>
                  <w:w w:val="91"/>
                </w:rPr>
                <w:t>Section 1.1  Certain Defined Terms</w:t>
              </w:r>
            </w:hyperlink>
          </w:p>
        </w:tc>
        <w:tc>
          <w:tcPr>
            <w:tcW w:w="6700" w:type="dxa"/>
            <w:vAlign w:val="bottom"/>
            <w:gridSpan w:val="4"/>
          </w:tcPr>
          <w:p>
            <w:pPr>
              <w:spacing w:after="0"/>
              <w:rPr>
                <w:sz w:val="22"/>
                <w:szCs w:val="22"/>
                <w:color w:val="auto"/>
              </w:rPr>
            </w:pPr>
          </w:p>
        </w:tc>
        <w:tc>
          <w:tcPr>
            <w:tcW w:w="540" w:type="dxa"/>
            <w:vAlign w:val="bottom"/>
          </w:tcPr>
          <w:p>
            <w:pPr>
              <w:ind w:left="34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1</w:t>
              </w:r>
            </w:hyperlink>
          </w:p>
        </w:tc>
      </w:tr>
      <w:tr>
        <w:trPr>
          <w:trHeight w:val="290"/>
        </w:trPr>
        <w:tc>
          <w:tcPr>
            <w:tcW w:w="1200" w:type="dxa"/>
            <w:vAlign w:val="bottom"/>
            <w:tcBorders>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1.2</w:t>
              </w:r>
            </w:hyperlink>
          </w:p>
        </w:tc>
        <w:tc>
          <w:tcPr>
            <w:tcW w:w="1080" w:type="dxa"/>
            <w:vAlign w:val="bottom"/>
            <w:tcBorders>
              <w:bottom w:val="single" w:sz="8" w:color="0000FF"/>
            </w:tcBorders>
            <w:gridSpan w:val="3"/>
          </w:tcPr>
          <w:p>
            <w:pPr>
              <w:spacing w:after="0"/>
              <w:rPr>
                <w:rFonts w:ascii="Arial" w:cs="Arial" w:eastAsia="Arial" w:hAnsi="Arial"/>
                <w:sz w:val="22"/>
                <w:szCs w:val="22"/>
                <w:color w:val="0000FF"/>
                <w:w w:val="85"/>
              </w:rPr>
            </w:pPr>
            <w:hyperlink w:anchor="page10">
              <w:r>
                <w:rPr>
                  <w:rFonts w:ascii="Arial" w:cs="Arial" w:eastAsia="Arial" w:hAnsi="Arial"/>
                  <w:sz w:val="22"/>
                  <w:szCs w:val="22"/>
                  <w:color w:val="0000FF"/>
                  <w:w w:val="85"/>
                </w:rPr>
                <w:t>Other Terms</w:t>
              </w:r>
            </w:hyperlink>
          </w:p>
        </w:tc>
        <w:tc>
          <w:tcPr>
            <w:tcW w:w="7600" w:type="dxa"/>
            <w:vAlign w:val="bottom"/>
            <w:gridSpan w:val="6"/>
          </w:tcPr>
          <w:p>
            <w:pPr>
              <w:spacing w:after="0"/>
              <w:rPr>
                <w:sz w:val="24"/>
                <w:szCs w:val="24"/>
                <w:color w:val="auto"/>
              </w:rPr>
            </w:pPr>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28</w:t>
              </w:r>
            </w:hyperlink>
          </w:p>
        </w:tc>
      </w:tr>
      <w:tr>
        <w:trPr>
          <w:trHeight w:val="291"/>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1.3  </w:t>
              </w:r>
              <w:r>
                <w:rPr>
                  <w:rFonts w:ascii="Arial" w:cs="Arial" w:eastAsia="Arial" w:hAnsi="Arial"/>
                  <w:sz w:val="22"/>
                  <w:szCs w:val="22"/>
                  <w:u w:val="single" w:color="auto"/>
                  <w:color w:val="0000FF"/>
                </w:rPr>
                <w:t>Computation of Time Periods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29</w:t>
              </w:r>
            </w:hyperlink>
          </w:p>
        </w:tc>
      </w:tr>
      <w:tr>
        <w:trPr>
          <w:trHeight w:val="290"/>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1.4</w:t>
              </w:r>
            </w:hyperlink>
          </w:p>
        </w:tc>
        <w:tc>
          <w:tcPr>
            <w:tcW w:w="8680" w:type="dxa"/>
            <w:vAlign w:val="bottom"/>
            <w:gridSpan w:val="9"/>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Interpretation</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29</w:t>
              </w:r>
            </w:hyperlink>
          </w:p>
        </w:tc>
      </w:tr>
      <w:tr>
        <w:trPr>
          <w:trHeight w:val="341"/>
        </w:trPr>
        <w:tc>
          <w:tcPr>
            <w:tcW w:w="9880" w:type="dxa"/>
            <w:vAlign w:val="bottom"/>
            <w:gridSpan w:val="10"/>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II THE LOAN FACILITY</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29</w:t>
              </w:r>
            </w:hyperlink>
          </w:p>
        </w:tc>
      </w:tr>
      <w:tr>
        <w:trPr>
          <w:trHeight w:val="26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2.1  </w:t>
              </w:r>
              <w:r>
                <w:rPr>
                  <w:rFonts w:ascii="Arial" w:cs="Arial" w:eastAsia="Arial" w:hAnsi="Arial"/>
                  <w:sz w:val="22"/>
                  <w:szCs w:val="22"/>
                  <w:u w:val="single" w:color="auto"/>
                  <w:color w:val="0000FF"/>
                </w:rPr>
                <w:t>Funding of the Initial Loan Amount</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29</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2.2  </w:t>
              </w:r>
              <w:r>
                <w:rPr>
                  <w:rFonts w:ascii="Arial" w:cs="Arial" w:eastAsia="Arial" w:hAnsi="Arial"/>
                  <w:sz w:val="22"/>
                  <w:szCs w:val="22"/>
                  <w:u w:val="single" w:color="auto"/>
                  <w:color w:val="0000FF"/>
                </w:rPr>
                <w:t>Grant of Security Interest; Acceptance by Collateral Agent</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30</w:t>
              </w:r>
            </w:hyperlink>
          </w:p>
        </w:tc>
      </w:tr>
      <w:tr>
        <w:trPr>
          <w:trHeight w:val="291"/>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2.3</w:t>
              </w:r>
            </w:hyperlink>
          </w:p>
        </w:tc>
        <w:tc>
          <w:tcPr>
            <w:tcW w:w="8680" w:type="dxa"/>
            <w:vAlign w:val="bottom"/>
            <w:gridSpan w:val="9"/>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[Reserved]</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32</w:t>
              </w:r>
            </w:hyperlink>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2.4  </w:t>
              </w:r>
              <w:r>
                <w:rPr>
                  <w:rFonts w:ascii="Arial" w:cs="Arial" w:eastAsia="Arial" w:hAnsi="Arial"/>
                  <w:sz w:val="22"/>
                  <w:szCs w:val="22"/>
                  <w:u w:val="single" w:color="auto"/>
                  <w:color w:val="0000FF"/>
                </w:rPr>
                <w:t>Determination of Benchmark; Determination of Yield; Maximum Interest and Yield</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32</w:t>
              </w:r>
            </w:hyperlink>
          </w:p>
        </w:tc>
      </w:tr>
      <w:tr>
        <w:trPr>
          <w:trHeight w:val="291"/>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2.5</w:t>
              </w:r>
            </w:hyperlink>
          </w:p>
        </w:tc>
        <w:tc>
          <w:tcPr>
            <w:tcW w:w="8680" w:type="dxa"/>
            <w:vAlign w:val="bottom"/>
            <w:gridSpan w:val="9"/>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[Reserved]</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32</w:t>
              </w:r>
            </w:hyperlink>
          </w:p>
        </w:tc>
      </w:tr>
      <w:tr>
        <w:trPr>
          <w:trHeight w:val="290"/>
        </w:trPr>
        <w:tc>
          <w:tcPr>
            <w:tcW w:w="1200" w:type="dxa"/>
            <w:vAlign w:val="bottom"/>
            <w:tcBorders>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2.6</w:t>
              </w:r>
            </w:hyperlink>
          </w:p>
        </w:tc>
        <w:tc>
          <w:tcPr>
            <w:tcW w:w="8680" w:type="dxa"/>
            <w:vAlign w:val="bottom"/>
            <w:gridSpan w:val="9"/>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[Reserved]</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32</w:t>
              </w:r>
            </w:hyperlink>
          </w:p>
        </w:tc>
      </w:tr>
      <w:tr>
        <w:trPr>
          <w:trHeight w:val="291"/>
        </w:trPr>
        <w:tc>
          <w:tcPr>
            <w:tcW w:w="1200" w:type="dxa"/>
            <w:vAlign w:val="bottom"/>
            <w:tcBorders>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2.7</w:t>
              </w:r>
            </w:hyperlink>
          </w:p>
        </w:tc>
        <w:tc>
          <w:tcPr>
            <w:tcW w:w="1940" w:type="dxa"/>
            <w:vAlign w:val="bottom"/>
            <w:tcBorders>
              <w:bottom w:val="single" w:sz="8" w:color="0000FF"/>
            </w:tcBorders>
            <w:gridSpan w:val="4"/>
          </w:tcPr>
          <w:p>
            <w:pPr>
              <w:spacing w:after="0"/>
              <w:rPr>
                <w:rFonts w:ascii="Arial" w:cs="Arial" w:eastAsia="Arial" w:hAnsi="Arial"/>
                <w:sz w:val="22"/>
                <w:szCs w:val="22"/>
                <w:color w:val="0000FF"/>
                <w:w w:val="85"/>
              </w:rPr>
            </w:pPr>
            <w:hyperlink w:anchor="page10">
              <w:r>
                <w:rPr>
                  <w:rFonts w:ascii="Arial" w:cs="Arial" w:eastAsia="Arial" w:hAnsi="Arial"/>
                  <w:sz w:val="22"/>
                  <w:szCs w:val="22"/>
                  <w:color w:val="0000FF"/>
                  <w:w w:val="85"/>
                </w:rPr>
                <w:t>Settlement Procedures</w:t>
              </w:r>
            </w:hyperlink>
          </w:p>
        </w:tc>
        <w:tc>
          <w:tcPr>
            <w:tcW w:w="6740" w:type="dxa"/>
            <w:vAlign w:val="bottom"/>
            <w:gridSpan w:val="5"/>
          </w:tcPr>
          <w:p>
            <w:pPr>
              <w:spacing w:after="0"/>
              <w:rPr>
                <w:sz w:val="24"/>
                <w:szCs w:val="24"/>
                <w:color w:val="auto"/>
              </w:rPr>
            </w:pPr>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32</w:t>
              </w:r>
            </w:hyperlink>
          </w:p>
        </w:tc>
      </w:tr>
      <w:tr>
        <w:trPr>
          <w:trHeight w:val="291"/>
        </w:trPr>
        <w:tc>
          <w:tcPr>
            <w:tcW w:w="1200" w:type="dxa"/>
            <w:vAlign w:val="bottom"/>
            <w:tcBorders>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2.8</w:t>
              </w:r>
            </w:hyperlink>
          </w:p>
        </w:tc>
        <w:tc>
          <w:tcPr>
            <w:tcW w:w="8680" w:type="dxa"/>
            <w:vAlign w:val="bottom"/>
            <w:gridSpan w:val="9"/>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[Reserved]</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34</w:t>
              </w:r>
            </w:hyperlink>
          </w:p>
        </w:tc>
      </w:tr>
      <w:tr>
        <w:trPr>
          <w:trHeight w:val="290"/>
        </w:trPr>
        <w:tc>
          <w:tcPr>
            <w:tcW w:w="3600" w:type="dxa"/>
            <w:vAlign w:val="bottom"/>
            <w:tcBorders>
              <w:bottom w:val="single" w:sz="8" w:color="0000FF"/>
            </w:tcBorders>
            <w:gridSpan w:val="7"/>
          </w:tcPr>
          <w:p>
            <w:pPr>
              <w:spacing w:after="0"/>
              <w:rPr>
                <w:rFonts w:ascii="Arial" w:cs="Arial" w:eastAsia="Arial" w:hAnsi="Arial"/>
                <w:sz w:val="22"/>
                <w:szCs w:val="22"/>
                <w:color w:val="0000FF"/>
                <w:w w:val="92"/>
              </w:rPr>
            </w:pPr>
            <w:hyperlink w:anchor="page10">
              <w:r>
                <w:rPr>
                  <w:rFonts w:ascii="Arial" w:cs="Arial" w:eastAsia="Arial" w:hAnsi="Arial"/>
                  <w:sz w:val="22"/>
                  <w:szCs w:val="22"/>
                  <w:color w:val="0000FF"/>
                  <w:w w:val="92"/>
                </w:rPr>
                <w:t>Section 2.9  Collections and Allocations</w:t>
              </w:r>
            </w:hyperlink>
          </w:p>
        </w:tc>
        <w:tc>
          <w:tcPr>
            <w:tcW w:w="6280" w:type="dxa"/>
            <w:vAlign w:val="bottom"/>
            <w:gridSpan w:val="3"/>
          </w:tcPr>
          <w:p>
            <w:pPr>
              <w:spacing w:after="0"/>
              <w:rPr>
                <w:sz w:val="24"/>
                <w:szCs w:val="24"/>
                <w:color w:val="auto"/>
              </w:rPr>
            </w:pPr>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34</w:t>
              </w:r>
            </w:hyperlink>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2.10  </w:t>
              </w:r>
              <w:r>
                <w:rPr>
                  <w:rFonts w:ascii="Arial" w:cs="Arial" w:eastAsia="Arial" w:hAnsi="Arial"/>
                  <w:sz w:val="22"/>
                  <w:szCs w:val="22"/>
                  <w:u w:val="single" w:color="auto"/>
                  <w:color w:val="0000FF"/>
                </w:rPr>
                <w:t>Payments, Computations, Etc.</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35</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1200" w:type="dxa"/>
            <w:vAlign w:val="bottom"/>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2.11</w:t>
              </w:r>
            </w:hyperlink>
          </w:p>
        </w:tc>
        <w:tc>
          <w:tcPr>
            <w:tcW w:w="8680" w:type="dxa"/>
            <w:vAlign w:val="bottom"/>
            <w:gridSpan w:val="9"/>
          </w:tcPr>
          <w:p>
            <w:pPr>
              <w:ind w:left="100"/>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[Reserved]</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35</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2.12  </w:t>
              </w:r>
              <w:r>
                <w:rPr>
                  <w:rFonts w:ascii="Arial" w:cs="Arial" w:eastAsia="Arial" w:hAnsi="Arial"/>
                  <w:sz w:val="22"/>
                  <w:szCs w:val="22"/>
                  <w:u w:val="single" w:color="auto"/>
                  <w:color w:val="0000FF"/>
                </w:rPr>
                <w:t>Interest; Yield; Fees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35</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2.13  </w:t>
              </w:r>
              <w:r>
                <w:rPr>
                  <w:rFonts w:ascii="Arial" w:cs="Arial" w:eastAsia="Arial" w:hAnsi="Arial"/>
                  <w:sz w:val="22"/>
                  <w:szCs w:val="22"/>
                  <w:u w:val="single" w:color="auto"/>
                  <w:color w:val="0000FF"/>
                </w:rPr>
                <w:t>Increased Costs; Capital Adequacy; Illegality</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36</w:t>
              </w:r>
            </w:hyperlink>
          </w:p>
        </w:tc>
      </w:tr>
      <w:tr>
        <w:trPr>
          <w:trHeight w:val="290"/>
        </w:trPr>
        <w:tc>
          <w:tcPr>
            <w:tcW w:w="1200" w:type="dxa"/>
            <w:vAlign w:val="bottom"/>
            <w:tcBorders>
              <w:top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2.14</w:t>
              </w:r>
            </w:hyperlink>
          </w:p>
        </w:tc>
        <w:tc>
          <w:tcPr>
            <w:tcW w:w="100" w:type="dxa"/>
            <w:vAlign w:val="bottom"/>
            <w:tcBorders>
              <w:top w:val="single" w:sz="8" w:color="0000FF"/>
            </w:tcBorders>
          </w:tcPr>
          <w:p>
            <w:pPr>
              <w:spacing w:after="0"/>
              <w:rPr>
                <w:sz w:val="24"/>
                <w:szCs w:val="24"/>
                <w:color w:val="auto"/>
              </w:rPr>
            </w:pPr>
          </w:p>
        </w:tc>
        <w:tc>
          <w:tcPr>
            <w:tcW w:w="8580" w:type="dxa"/>
            <w:vAlign w:val="bottom"/>
            <w:gridSpan w:val="8"/>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Taxes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37</w:t>
              </w:r>
            </w:hyperlink>
          </w:p>
        </w:tc>
      </w:tr>
      <w:tr>
        <w:trPr>
          <w:trHeight w:val="20"/>
        </w:trPr>
        <w:tc>
          <w:tcPr>
            <w:tcW w:w="1800" w:type="dxa"/>
            <w:vAlign w:val="bottom"/>
            <w:gridSpan w:val="3"/>
            <w:shd w:val="clear" w:color="auto" w:fill="0000FF"/>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2.15  </w:t>
              </w:r>
              <w:r>
                <w:rPr>
                  <w:rFonts w:ascii="Arial" w:cs="Arial" w:eastAsia="Arial" w:hAnsi="Arial"/>
                  <w:sz w:val="22"/>
                  <w:szCs w:val="22"/>
                  <w:u w:val="single" w:color="auto"/>
                  <w:color w:val="0000FF"/>
                </w:rPr>
                <w:t>Assignment of the Contribution Agreement and Hedging Agreement</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39</w:t>
              </w:r>
            </w:hyperlink>
          </w:p>
        </w:tc>
      </w:tr>
      <w:tr>
        <w:trPr>
          <w:trHeight w:val="290"/>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2.16</w:t>
              </w:r>
            </w:hyperlink>
          </w:p>
        </w:tc>
        <w:tc>
          <w:tcPr>
            <w:tcW w:w="100" w:type="dxa"/>
            <w:vAlign w:val="bottom"/>
            <w:tcBorders>
              <w:top w:val="single" w:sz="8" w:color="0000FF"/>
              <w:bottom w:val="single" w:sz="8" w:color="0000FF"/>
            </w:tcBorders>
          </w:tcPr>
          <w:p>
            <w:pPr>
              <w:spacing w:after="0"/>
              <w:rPr>
                <w:sz w:val="24"/>
                <w:szCs w:val="24"/>
                <w:color w:val="auto"/>
              </w:rPr>
            </w:pPr>
          </w:p>
        </w:tc>
        <w:tc>
          <w:tcPr>
            <w:tcW w:w="8580" w:type="dxa"/>
            <w:vAlign w:val="bottom"/>
            <w:gridSpan w:val="8"/>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Optional Purchase</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39</w:t>
              </w:r>
            </w:hyperlink>
          </w:p>
        </w:tc>
      </w:tr>
      <w:tr>
        <w:trPr>
          <w:trHeight w:val="290"/>
        </w:trPr>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2.17</w:t>
              </w:r>
            </w:hyperlink>
          </w:p>
        </w:tc>
        <w:tc>
          <w:tcPr>
            <w:tcW w:w="100" w:type="dxa"/>
            <w:vAlign w:val="bottom"/>
            <w:tcBorders>
              <w:bottom w:val="single" w:sz="8" w:color="0000FF"/>
            </w:tcBorders>
          </w:tcPr>
          <w:p>
            <w:pPr>
              <w:spacing w:after="0"/>
              <w:rPr>
                <w:sz w:val="24"/>
                <w:szCs w:val="24"/>
                <w:color w:val="auto"/>
              </w:rPr>
            </w:pPr>
          </w:p>
        </w:tc>
        <w:tc>
          <w:tcPr>
            <w:tcW w:w="8580" w:type="dxa"/>
            <w:vAlign w:val="bottom"/>
            <w:gridSpan w:val="8"/>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LIBOR Inability</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39</w:t>
              </w:r>
            </w:hyperlink>
          </w:p>
        </w:tc>
      </w:tr>
      <w:tr>
        <w:trPr>
          <w:trHeight w:val="341"/>
        </w:trPr>
        <w:tc>
          <w:tcPr>
            <w:tcW w:w="9880" w:type="dxa"/>
            <w:vAlign w:val="bottom"/>
            <w:gridSpan w:val="10"/>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III CONDITIONS TO THE CLOSING</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42</w:t>
              </w:r>
            </w:hyperlink>
          </w:p>
        </w:tc>
      </w:tr>
      <w:tr>
        <w:trPr>
          <w:trHeight w:val="26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3.1  </w:t>
              </w:r>
              <w:r>
                <w:rPr>
                  <w:rFonts w:ascii="Arial" w:cs="Arial" w:eastAsia="Arial" w:hAnsi="Arial"/>
                  <w:sz w:val="22"/>
                  <w:szCs w:val="22"/>
                  <w:u w:val="single" w:color="auto"/>
                  <w:color w:val="0000FF"/>
                </w:rPr>
                <w:t>Conditions to Effectiveness of this Loan and Security Agreement</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42</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3.2  </w:t>
              </w:r>
              <w:r>
                <w:rPr>
                  <w:rFonts w:ascii="Arial" w:cs="Arial" w:eastAsia="Arial" w:hAnsi="Arial"/>
                  <w:sz w:val="22"/>
                  <w:szCs w:val="22"/>
                  <w:u w:val="single" w:color="auto"/>
                  <w:color w:val="0000FF"/>
                </w:rPr>
                <w:t>Conditions Precedent to the Pledge of Additional Loans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42</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1"/>
        </w:trPr>
        <w:tc>
          <w:tcPr>
            <w:tcW w:w="9880" w:type="dxa"/>
            <w:vAlign w:val="bottom"/>
            <w:gridSpan w:val="10"/>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IV REPRESENTATIONS AND WARRANTIES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44</w:t>
              </w:r>
            </w:hyperlink>
          </w:p>
        </w:tc>
      </w:tr>
      <w:tr>
        <w:trPr>
          <w:trHeight w:val="26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4.1  </w:t>
              </w:r>
              <w:r>
                <w:rPr>
                  <w:rFonts w:ascii="Arial" w:cs="Arial" w:eastAsia="Arial" w:hAnsi="Arial"/>
                  <w:sz w:val="22"/>
                  <w:szCs w:val="22"/>
                  <w:u w:val="single" w:color="auto"/>
                  <w:color w:val="0000FF"/>
                </w:rPr>
                <w:t>Representations and Warranties of the Borrower</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44</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w w:val="92"/>
              </w:rPr>
            </w:pPr>
            <w:hyperlink w:anchor="page10">
              <w:r>
                <w:rPr>
                  <w:rFonts w:ascii="Arial" w:cs="Arial" w:eastAsia="Arial" w:hAnsi="Arial"/>
                  <w:sz w:val="22"/>
                  <w:szCs w:val="22"/>
                  <w:color w:val="0000FF"/>
                  <w:w w:val="92"/>
                </w:rPr>
                <w:t xml:space="preserve">Section 4.2  </w:t>
              </w:r>
              <w:r>
                <w:rPr>
                  <w:rFonts w:ascii="Arial" w:cs="Arial" w:eastAsia="Arial" w:hAnsi="Arial"/>
                  <w:sz w:val="22"/>
                  <w:szCs w:val="22"/>
                  <w:u w:val="single" w:color="auto"/>
                  <w:color w:val="0000FF"/>
                  <w:w w:val="92"/>
                </w:rPr>
                <w:t>Representations and Warranties of the Borrower Relating to the Loans and the Related Contracts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49</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4.3  </w:t>
              </w:r>
              <w:r>
                <w:rPr>
                  <w:rFonts w:ascii="Arial" w:cs="Arial" w:eastAsia="Arial" w:hAnsi="Arial"/>
                  <w:sz w:val="22"/>
                  <w:szCs w:val="22"/>
                  <w:u w:val="single" w:color="auto"/>
                  <w:color w:val="0000FF"/>
                </w:rPr>
                <w:t>Representations and Warranties of the Servicer</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51</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4.4  </w:t>
              </w:r>
              <w:r>
                <w:rPr>
                  <w:rFonts w:ascii="Arial" w:cs="Arial" w:eastAsia="Arial" w:hAnsi="Arial"/>
                  <w:sz w:val="22"/>
                  <w:szCs w:val="22"/>
                  <w:u w:val="single" w:color="auto"/>
                  <w:color w:val="0000FF"/>
                </w:rPr>
                <w:t>Representations and Warranties of the Backup Servicer</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52</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4.5  </w:t>
              </w:r>
              <w:r>
                <w:rPr>
                  <w:rFonts w:ascii="Arial" w:cs="Arial" w:eastAsia="Arial" w:hAnsi="Arial"/>
                  <w:sz w:val="22"/>
                  <w:szCs w:val="22"/>
                  <w:u w:val="single" w:color="auto"/>
                  <w:color w:val="0000FF"/>
                </w:rPr>
                <w:t>Breach of Representations and Warranties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53</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1"/>
        </w:trPr>
        <w:tc>
          <w:tcPr>
            <w:tcW w:w="9880" w:type="dxa"/>
            <w:vAlign w:val="bottom"/>
            <w:gridSpan w:val="10"/>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V GENERAL COVENANTS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54</w:t>
              </w:r>
            </w:hyperlink>
          </w:p>
        </w:tc>
      </w:tr>
      <w:tr>
        <w:trPr>
          <w:trHeight w:val="260"/>
        </w:trPr>
        <w:tc>
          <w:tcPr>
            <w:tcW w:w="4620" w:type="dxa"/>
            <w:vAlign w:val="bottom"/>
            <w:tcBorders>
              <w:bottom w:val="single" w:sz="8" w:color="0000FF"/>
            </w:tcBorders>
            <w:gridSpan w:val="9"/>
          </w:tcPr>
          <w:p>
            <w:pPr>
              <w:spacing w:after="0"/>
              <w:rPr>
                <w:rFonts w:ascii="Arial" w:cs="Arial" w:eastAsia="Arial" w:hAnsi="Arial"/>
                <w:sz w:val="22"/>
                <w:szCs w:val="22"/>
                <w:color w:val="0000FF"/>
                <w:w w:val="93"/>
              </w:rPr>
            </w:pPr>
            <w:hyperlink w:anchor="page10">
              <w:r>
                <w:rPr>
                  <w:rFonts w:ascii="Arial" w:cs="Arial" w:eastAsia="Arial" w:hAnsi="Arial"/>
                  <w:sz w:val="22"/>
                  <w:szCs w:val="22"/>
                  <w:color w:val="0000FF"/>
                  <w:w w:val="93"/>
                </w:rPr>
                <w:t>Section 5.1  Affirmative Covenants of the Borrower</w:t>
              </w:r>
            </w:hyperlink>
          </w:p>
        </w:tc>
        <w:tc>
          <w:tcPr>
            <w:tcW w:w="5260" w:type="dxa"/>
            <w:vAlign w:val="bottom"/>
          </w:tcPr>
          <w:p>
            <w:pPr>
              <w:spacing w:after="0"/>
              <w:rPr>
                <w:sz w:val="22"/>
                <w:szCs w:val="22"/>
                <w:color w:val="auto"/>
              </w:rPr>
            </w:pPr>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54</w:t>
              </w:r>
            </w:hyperlink>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5.2  </w:t>
              </w:r>
              <w:r>
                <w:rPr>
                  <w:rFonts w:ascii="Arial" w:cs="Arial" w:eastAsia="Arial" w:hAnsi="Arial"/>
                  <w:sz w:val="22"/>
                  <w:szCs w:val="22"/>
                  <w:u w:val="single" w:color="auto"/>
                  <w:color w:val="0000FF"/>
                </w:rPr>
                <w:t>Negative Covenants of the Borrower</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60</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5.3  </w:t>
              </w:r>
              <w:r>
                <w:rPr>
                  <w:rFonts w:ascii="Arial" w:cs="Arial" w:eastAsia="Arial" w:hAnsi="Arial"/>
                  <w:sz w:val="22"/>
                  <w:szCs w:val="22"/>
                  <w:u w:val="single" w:color="auto"/>
                  <w:color w:val="0000FF"/>
                </w:rPr>
                <w:t>Covenant of the Borrower Relating to the Hedging Agreement</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65</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1"/>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5.4  Affirmative Covenants of the Servicer</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65</w:t>
              </w:r>
            </w:hyperlink>
          </w:p>
        </w:tc>
      </w:tr>
      <w:tr>
        <w:trPr>
          <w:trHeight w:val="290"/>
        </w:trPr>
        <w:tc>
          <w:tcPr>
            <w:tcW w:w="4500" w:type="dxa"/>
            <w:vAlign w:val="bottom"/>
            <w:tcBorders>
              <w:top w:val="single" w:sz="8" w:color="0000FF"/>
            </w:tcBorders>
            <w:gridSpan w:val="8"/>
          </w:tcPr>
          <w:p>
            <w:pPr>
              <w:spacing w:after="0"/>
              <w:rPr>
                <w:rFonts w:ascii="Arial" w:cs="Arial" w:eastAsia="Arial" w:hAnsi="Arial"/>
                <w:sz w:val="22"/>
                <w:szCs w:val="22"/>
                <w:color w:val="0000FF"/>
                <w:w w:val="95"/>
              </w:rPr>
            </w:pPr>
            <w:hyperlink w:anchor="page10">
              <w:r>
                <w:rPr>
                  <w:rFonts w:ascii="Arial" w:cs="Arial" w:eastAsia="Arial" w:hAnsi="Arial"/>
                  <w:sz w:val="22"/>
                  <w:szCs w:val="22"/>
                  <w:color w:val="0000FF"/>
                  <w:w w:val="95"/>
                </w:rPr>
                <w:t xml:space="preserve">Section 5.5  </w:t>
              </w:r>
              <w:r>
                <w:rPr>
                  <w:rFonts w:ascii="Arial" w:cs="Arial" w:eastAsia="Arial" w:hAnsi="Arial"/>
                  <w:sz w:val="22"/>
                  <w:szCs w:val="22"/>
                  <w:u w:val="single" w:color="auto"/>
                  <w:color w:val="0000FF"/>
                  <w:w w:val="95"/>
                </w:rPr>
                <w:t>Negative Covenants of the Servicer</w:t>
              </w:r>
            </w:hyperlink>
          </w:p>
        </w:tc>
        <w:tc>
          <w:tcPr>
            <w:tcW w:w="5380" w:type="dxa"/>
            <w:vAlign w:val="bottom"/>
            <w:gridSpan w:val="2"/>
          </w:tcPr>
          <w:p>
            <w:pPr>
              <w:spacing w:after="0"/>
              <w:rPr>
                <w:sz w:val="24"/>
                <w:szCs w:val="24"/>
                <w:color w:val="auto"/>
              </w:rPr>
            </w:pPr>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67</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868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0"/>
        </w:trPr>
        <w:tc>
          <w:tcPr>
            <w:tcW w:w="9880" w:type="dxa"/>
            <w:vAlign w:val="bottom"/>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5.6  </w:t>
              </w:r>
              <w:r>
                <w:rPr>
                  <w:rFonts w:ascii="Arial" w:cs="Arial" w:eastAsia="Arial" w:hAnsi="Arial"/>
                  <w:sz w:val="22"/>
                  <w:szCs w:val="22"/>
                  <w:u w:val="single" w:color="auto"/>
                  <w:color w:val="0000FF"/>
                </w:rPr>
                <w:t>Negative Covenants of the Backup Servicer</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69</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868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41"/>
        </w:trPr>
        <w:tc>
          <w:tcPr>
            <w:tcW w:w="9880" w:type="dxa"/>
            <w:vAlign w:val="bottom"/>
            <w:gridSpan w:val="10"/>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VI ADMINISTRATION AND SERVICING OF CONTRACTS</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69</w:t>
              </w:r>
            </w:hyperlink>
          </w:p>
        </w:tc>
      </w:tr>
      <w:tr>
        <w:trPr>
          <w:trHeight w:val="260"/>
        </w:trPr>
        <w:tc>
          <w:tcPr>
            <w:tcW w:w="1200" w:type="dxa"/>
            <w:vAlign w:val="bottom"/>
            <w:tcBorders>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6.1</w:t>
              </w:r>
            </w:hyperlink>
          </w:p>
        </w:tc>
        <w:tc>
          <w:tcPr>
            <w:tcW w:w="8680" w:type="dxa"/>
            <w:vAlign w:val="bottom"/>
            <w:gridSpan w:val="9"/>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Servicing</w:t>
              </w:r>
            </w:hyperlink>
          </w:p>
        </w:tc>
        <w:tc>
          <w:tcPr>
            <w:tcW w:w="540" w:type="dxa"/>
            <w:vAlign w:val="bottom"/>
          </w:tcPr>
          <w:p>
            <w:pPr>
              <w:ind w:left="340"/>
              <w:spacing w:after="0"/>
              <w:rPr>
                <w:rFonts w:ascii="Arial" w:cs="Arial" w:eastAsia="Arial" w:hAnsi="Arial"/>
                <w:sz w:val="22"/>
                <w:szCs w:val="22"/>
                <w:u w:val="single" w:color="auto"/>
                <w:color w:val="auto"/>
                <w:w w:val="73"/>
              </w:rPr>
            </w:pPr>
            <w:hyperlink w:anchor="page10">
              <w:r>
                <w:rPr>
                  <w:rFonts w:ascii="Arial" w:cs="Arial" w:eastAsia="Arial" w:hAnsi="Arial"/>
                  <w:sz w:val="22"/>
                  <w:szCs w:val="22"/>
                  <w:u w:val="single" w:color="auto"/>
                  <w:color w:val="auto"/>
                  <w:w w:val="73"/>
                </w:rPr>
                <w:t>69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450" w:right="339" w:bottom="66"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1983350-NYCSR03A - MSW</w:t>
      </w:r>
    </w:p>
    <w:p>
      <w:pPr>
        <w:sectPr>
          <w:pgSz w:w="11900" w:h="16838" w:orient="portrait"/>
          <w:cols w:equalWidth="0" w:num="1">
            <w:col w:w="11240"/>
          </w:cols>
          <w:pgMar w:left="320" w:top="450" w:right="339" w:bottom="66"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6.2  Duties of the Servicer and Custodian</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70</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6.3  </w:t>
              </w:r>
              <w:r>
                <w:rPr>
                  <w:rFonts w:ascii="Arial" w:cs="Arial" w:eastAsia="Arial" w:hAnsi="Arial"/>
                  <w:sz w:val="22"/>
                  <w:szCs w:val="22"/>
                  <w:u w:val="single" w:color="auto"/>
                  <w:color w:val="0000FF"/>
                </w:rPr>
                <w:t>Rights After Designation of Successor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73</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6.4  </w:t>
              </w:r>
              <w:r>
                <w:rPr>
                  <w:rFonts w:ascii="Arial" w:cs="Arial" w:eastAsia="Arial" w:hAnsi="Arial"/>
                  <w:sz w:val="22"/>
                  <w:szCs w:val="22"/>
                  <w:u w:val="single" w:color="auto"/>
                  <w:color w:val="0000FF"/>
                </w:rPr>
                <w:t>Responsibilities of the Borrower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73</w:t>
              </w:r>
            </w:hyperlink>
          </w:p>
        </w:tc>
      </w:tr>
      <w:tr>
        <w:trPr>
          <w:trHeight w:val="291"/>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6.5</w:t>
              </w:r>
            </w:hyperlink>
          </w:p>
        </w:tc>
        <w:tc>
          <w:tcPr>
            <w:tcW w:w="8540" w:type="dxa"/>
            <w:vAlign w:val="bottom"/>
            <w:gridSpan w:val="15"/>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Reports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73</w:t>
              </w:r>
            </w:hyperlink>
          </w:p>
        </w:tc>
      </w:tr>
      <w:tr>
        <w:trPr>
          <w:trHeight w:val="291"/>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6.6  </w:t>
              </w:r>
              <w:r>
                <w:rPr>
                  <w:rFonts w:ascii="Arial" w:cs="Arial" w:eastAsia="Arial" w:hAnsi="Arial"/>
                  <w:sz w:val="22"/>
                  <w:szCs w:val="22"/>
                  <w:u w:val="single" w:color="auto"/>
                  <w:color w:val="0000FF"/>
                </w:rPr>
                <w:t>Additional Representations and Warranties of Credit Acceptance as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75</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6.7  Establishment of the Accounts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75</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6.8  </w:t>
              </w:r>
              <w:r>
                <w:rPr>
                  <w:rFonts w:ascii="Arial" w:cs="Arial" w:eastAsia="Arial" w:hAnsi="Arial"/>
                  <w:sz w:val="22"/>
                  <w:szCs w:val="22"/>
                  <w:u w:val="single" w:color="auto"/>
                  <w:color w:val="0000FF"/>
                </w:rPr>
                <w:t>Payment of Certain Expenses by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77</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6.9  </w:t>
              </w:r>
              <w:r>
                <w:rPr>
                  <w:rFonts w:ascii="Arial" w:cs="Arial" w:eastAsia="Arial" w:hAnsi="Arial"/>
                  <w:sz w:val="22"/>
                  <w:szCs w:val="22"/>
                  <w:u w:val="single" w:color="auto"/>
                  <w:color w:val="0000FF"/>
                </w:rPr>
                <w:t>Annual Independent Public Accountant's Servicing Reports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77</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6.10  </w:t>
              </w:r>
              <w:r>
                <w:rPr>
                  <w:rFonts w:ascii="Arial" w:cs="Arial" w:eastAsia="Arial" w:hAnsi="Arial"/>
                  <w:sz w:val="22"/>
                  <w:szCs w:val="22"/>
                  <w:u w:val="single" w:color="auto"/>
                  <w:color w:val="0000FF"/>
                </w:rPr>
                <w:t>The Servicer Not to Resign</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77</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6.11  Servicer Termination Events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78</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6.12  </w:t>
              </w:r>
              <w:r>
                <w:rPr>
                  <w:rFonts w:ascii="Arial" w:cs="Arial" w:eastAsia="Arial" w:hAnsi="Arial"/>
                  <w:sz w:val="22"/>
                  <w:szCs w:val="22"/>
                  <w:u w:val="single" w:color="auto"/>
                  <w:color w:val="0000FF"/>
                </w:rPr>
                <w:t>Appointment of Successor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79</w:t>
              </w:r>
            </w:hyperlink>
          </w:p>
        </w:tc>
      </w:tr>
      <w:tr>
        <w:trPr>
          <w:trHeight w:val="291"/>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6.13</w:t>
              </w:r>
            </w:hyperlink>
          </w:p>
        </w:tc>
        <w:tc>
          <w:tcPr>
            <w:tcW w:w="100" w:type="dxa"/>
            <w:vAlign w:val="bottom"/>
            <w:tcBorders>
              <w:top w:val="single" w:sz="8" w:color="0000FF"/>
              <w:bottom w:val="single" w:sz="8" w:color="0000FF"/>
            </w:tcBorders>
          </w:tcPr>
          <w:p>
            <w:pPr>
              <w:spacing w:after="0"/>
              <w:rPr>
                <w:sz w:val="24"/>
                <w:szCs w:val="24"/>
                <w:color w:val="auto"/>
              </w:rPr>
            </w:pPr>
          </w:p>
        </w:tc>
        <w:tc>
          <w:tcPr>
            <w:tcW w:w="8440" w:type="dxa"/>
            <w:vAlign w:val="bottom"/>
            <w:gridSpan w:val="1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[Reserved]</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80</w:t>
              </w:r>
            </w:hyperlink>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6.14  </w:t>
              </w:r>
              <w:r>
                <w:rPr>
                  <w:rFonts w:ascii="Arial" w:cs="Arial" w:eastAsia="Arial" w:hAnsi="Arial"/>
                  <w:sz w:val="22"/>
                  <w:szCs w:val="22"/>
                  <w:u w:val="single" w:color="auto"/>
                  <w:color w:val="0000FF"/>
                </w:rPr>
                <w:t>Segregated Payment Account</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81</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9740" w:type="dxa"/>
            <w:vAlign w:val="bottom"/>
            <w:gridSpan w:val="16"/>
          </w:tcPr>
          <w:p>
            <w:pPr>
              <w:spacing w:after="0"/>
              <w:rPr>
                <w:rFonts w:ascii="Arial" w:cs="Arial" w:eastAsia="Arial" w:hAnsi="Arial"/>
                <w:sz w:val="22"/>
                <w:szCs w:val="22"/>
                <w:color w:val="0000FF"/>
                <w:w w:val="93"/>
              </w:rPr>
            </w:pPr>
            <w:hyperlink w:anchor="page10">
              <w:r>
                <w:rPr>
                  <w:rFonts w:ascii="Arial" w:cs="Arial" w:eastAsia="Arial" w:hAnsi="Arial"/>
                  <w:sz w:val="22"/>
                  <w:szCs w:val="22"/>
                  <w:color w:val="0000FF"/>
                  <w:w w:val="93"/>
                </w:rPr>
                <w:t xml:space="preserve">Section 6.15  </w:t>
              </w:r>
              <w:r>
                <w:rPr>
                  <w:rFonts w:ascii="Arial" w:cs="Arial" w:eastAsia="Arial" w:hAnsi="Arial"/>
                  <w:sz w:val="22"/>
                  <w:szCs w:val="22"/>
                  <w:u w:val="single" w:color="auto"/>
                  <w:color w:val="0000FF"/>
                  <w:w w:val="93"/>
                </w:rPr>
                <w:t>Dealer Collections Repurchase; Replacement of Dealer Loan with Related Purchased Loans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81</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1"/>
        </w:trPr>
        <w:tc>
          <w:tcPr>
            <w:tcW w:w="9740" w:type="dxa"/>
            <w:vAlign w:val="bottom"/>
            <w:gridSpan w:val="1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VII BACKUP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81</w:t>
              </w:r>
            </w:hyperlink>
          </w:p>
        </w:tc>
      </w:tr>
      <w:tr>
        <w:trPr>
          <w:trHeight w:val="26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7.1  </w:t>
              </w:r>
              <w:r>
                <w:rPr>
                  <w:rFonts w:ascii="Arial" w:cs="Arial" w:eastAsia="Arial" w:hAnsi="Arial"/>
                  <w:sz w:val="22"/>
                  <w:szCs w:val="22"/>
                  <w:u w:val="single" w:color="auto"/>
                  <w:color w:val="0000FF"/>
                </w:rPr>
                <w:t>Designation of the Backup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81</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7.2  </w:t>
              </w:r>
              <w:r>
                <w:rPr>
                  <w:rFonts w:ascii="Arial" w:cs="Arial" w:eastAsia="Arial" w:hAnsi="Arial"/>
                  <w:sz w:val="22"/>
                  <w:szCs w:val="22"/>
                  <w:u w:val="single" w:color="auto"/>
                  <w:color w:val="0000FF"/>
                </w:rPr>
                <w:t>Duties of the Backup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81</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7.3  </w:t>
              </w:r>
              <w:r>
                <w:rPr>
                  <w:rFonts w:ascii="Arial" w:cs="Arial" w:eastAsia="Arial" w:hAnsi="Arial"/>
                  <w:sz w:val="22"/>
                  <w:szCs w:val="22"/>
                  <w:u w:val="single" w:color="auto"/>
                  <w:color w:val="0000FF"/>
                </w:rPr>
                <w:t>Backup Servicing Compensation</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82</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1"/>
        </w:trPr>
        <w:tc>
          <w:tcPr>
            <w:tcW w:w="9740" w:type="dxa"/>
            <w:vAlign w:val="bottom"/>
            <w:gridSpan w:val="1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VIII [Reserved]</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82</w:t>
              </w:r>
            </w:hyperlink>
          </w:p>
        </w:tc>
      </w:tr>
      <w:tr>
        <w:trPr>
          <w:trHeight w:val="310"/>
        </w:trPr>
        <w:tc>
          <w:tcPr>
            <w:tcW w:w="9740" w:type="dxa"/>
            <w:vAlign w:val="bottom"/>
            <w:gridSpan w:val="1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IX SECURITY INTEREST</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82</w:t>
              </w:r>
            </w:hyperlink>
          </w:p>
        </w:tc>
      </w:tr>
      <w:tr>
        <w:trPr>
          <w:trHeight w:val="260"/>
        </w:trPr>
        <w:tc>
          <w:tcPr>
            <w:tcW w:w="1200" w:type="dxa"/>
            <w:vAlign w:val="bottom"/>
            <w:tcBorders>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9.1</w:t>
              </w:r>
            </w:hyperlink>
          </w:p>
        </w:tc>
        <w:tc>
          <w:tcPr>
            <w:tcW w:w="8540" w:type="dxa"/>
            <w:vAlign w:val="bottom"/>
            <w:gridSpan w:val="15"/>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Security Agreement</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82</w:t>
              </w:r>
            </w:hyperlink>
          </w:p>
        </w:tc>
      </w:tr>
      <w:tr>
        <w:trPr>
          <w:trHeight w:val="290"/>
        </w:trPr>
        <w:tc>
          <w:tcPr>
            <w:tcW w:w="2560" w:type="dxa"/>
            <w:vAlign w:val="bottom"/>
            <w:tcBorders>
              <w:bottom w:val="single" w:sz="8" w:color="0000FF"/>
            </w:tcBorders>
            <w:gridSpan w:val="6"/>
          </w:tcPr>
          <w:p>
            <w:pPr>
              <w:spacing w:after="0"/>
              <w:rPr>
                <w:rFonts w:ascii="Arial" w:cs="Arial" w:eastAsia="Arial" w:hAnsi="Arial"/>
                <w:sz w:val="22"/>
                <w:szCs w:val="22"/>
                <w:color w:val="0000FF"/>
                <w:w w:val="92"/>
              </w:rPr>
            </w:pPr>
            <w:hyperlink w:anchor="page10">
              <w:r>
                <w:rPr>
                  <w:rFonts w:ascii="Arial" w:cs="Arial" w:eastAsia="Arial" w:hAnsi="Arial"/>
                  <w:sz w:val="22"/>
                  <w:szCs w:val="22"/>
                  <w:color w:val="0000FF"/>
                  <w:w w:val="92"/>
                </w:rPr>
                <w:t>Section 9.2  Release of Lien</w:t>
              </w:r>
            </w:hyperlink>
          </w:p>
        </w:tc>
        <w:tc>
          <w:tcPr>
            <w:tcW w:w="718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82</w:t>
              </w:r>
            </w:hyperlink>
          </w:p>
        </w:tc>
      </w:tr>
      <w:tr>
        <w:trPr>
          <w:trHeight w:val="290"/>
        </w:trPr>
        <w:tc>
          <w:tcPr>
            <w:tcW w:w="1200" w:type="dxa"/>
            <w:vAlign w:val="bottom"/>
            <w:tcBorders>
              <w:bottom w:val="single" w:sz="8" w:color="0000FF"/>
            </w:tcBorders>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9.3</w:t>
              </w:r>
            </w:hyperlink>
          </w:p>
        </w:tc>
        <w:tc>
          <w:tcPr>
            <w:tcW w:w="1680" w:type="dxa"/>
            <w:vAlign w:val="bottom"/>
            <w:tcBorders>
              <w:bottom w:val="single" w:sz="8" w:color="0000FF"/>
            </w:tcBorders>
            <w:gridSpan w:val="7"/>
          </w:tcPr>
          <w:p>
            <w:pPr>
              <w:spacing w:after="0"/>
              <w:rPr>
                <w:rFonts w:ascii="Arial" w:cs="Arial" w:eastAsia="Arial" w:hAnsi="Arial"/>
                <w:sz w:val="22"/>
                <w:szCs w:val="22"/>
                <w:color w:val="0000FF"/>
                <w:w w:val="86"/>
              </w:rPr>
            </w:pPr>
            <w:hyperlink w:anchor="page10">
              <w:r>
                <w:rPr>
                  <w:rFonts w:ascii="Arial" w:cs="Arial" w:eastAsia="Arial" w:hAnsi="Arial"/>
                  <w:sz w:val="22"/>
                  <w:szCs w:val="22"/>
                  <w:color w:val="0000FF"/>
                  <w:w w:val="86"/>
                </w:rPr>
                <w:t>Further Assurances</w:t>
              </w:r>
            </w:hyperlink>
          </w:p>
        </w:tc>
        <w:tc>
          <w:tcPr>
            <w:tcW w:w="686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83</w:t>
              </w:r>
            </w:hyperlink>
          </w:p>
        </w:tc>
      </w:tr>
      <w:tr>
        <w:trPr>
          <w:trHeight w:val="290"/>
        </w:trPr>
        <w:tc>
          <w:tcPr>
            <w:tcW w:w="1200" w:type="dxa"/>
            <w:vAlign w:val="bottom"/>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9.4</w:t>
              </w:r>
            </w:hyperlink>
          </w:p>
        </w:tc>
        <w:tc>
          <w:tcPr>
            <w:tcW w:w="8540" w:type="dxa"/>
            <w:vAlign w:val="bottom"/>
            <w:gridSpan w:val="15"/>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Remedies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83</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Section 9.5  Waiver of Certain Laws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83</w:t>
              </w:r>
            </w:hyperlink>
          </w:p>
        </w:tc>
      </w:tr>
      <w:tr>
        <w:trPr>
          <w:trHeight w:val="290"/>
        </w:trPr>
        <w:tc>
          <w:tcPr>
            <w:tcW w:w="3260" w:type="dxa"/>
            <w:vAlign w:val="bottom"/>
            <w:tcBorders>
              <w:top w:val="single" w:sz="8" w:color="0000FF"/>
            </w:tcBorders>
            <w:gridSpan w:val="10"/>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9.6  </w:t>
              </w:r>
              <w:r>
                <w:rPr>
                  <w:rFonts w:ascii="Arial" w:cs="Arial" w:eastAsia="Arial" w:hAnsi="Arial"/>
                  <w:sz w:val="22"/>
                  <w:szCs w:val="22"/>
                  <w:u w:val="single" w:color="auto"/>
                  <w:color w:val="0000FF"/>
                </w:rPr>
                <w:t>Power of Attorney</w:t>
              </w:r>
            </w:hyperlink>
          </w:p>
        </w:tc>
        <w:tc>
          <w:tcPr>
            <w:tcW w:w="6480" w:type="dxa"/>
            <w:vAlign w:val="bottom"/>
            <w:gridSpan w:val="6"/>
          </w:tcPr>
          <w:p>
            <w:pPr>
              <w:spacing w:after="0"/>
              <w:rPr>
                <w:sz w:val="24"/>
                <w:szCs w:val="24"/>
                <w:color w:val="auto"/>
              </w:rPr>
            </w:pPr>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83</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1"/>
        </w:trPr>
        <w:tc>
          <w:tcPr>
            <w:tcW w:w="9740" w:type="dxa"/>
            <w:vAlign w:val="bottom"/>
            <w:gridSpan w:val="1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X TERMINATION EVENTS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83</w:t>
              </w:r>
            </w:hyperlink>
          </w:p>
        </w:tc>
      </w:tr>
      <w:tr>
        <w:trPr>
          <w:trHeight w:val="260"/>
        </w:trPr>
        <w:tc>
          <w:tcPr>
            <w:tcW w:w="1200" w:type="dxa"/>
            <w:vAlign w:val="bottom"/>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10.1</w:t>
              </w:r>
            </w:hyperlink>
          </w:p>
        </w:tc>
        <w:tc>
          <w:tcPr>
            <w:tcW w:w="100" w:type="dxa"/>
            <w:vAlign w:val="bottom"/>
          </w:tcPr>
          <w:p>
            <w:pPr>
              <w:spacing w:after="0"/>
              <w:rPr>
                <w:sz w:val="22"/>
                <w:szCs w:val="22"/>
                <w:color w:val="auto"/>
              </w:rPr>
            </w:pPr>
          </w:p>
        </w:tc>
        <w:tc>
          <w:tcPr>
            <w:tcW w:w="8440" w:type="dxa"/>
            <w:vAlign w:val="bottom"/>
            <w:gridSpan w:val="14"/>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Termination Events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83</w:t>
              </w:r>
            </w:hyperlink>
          </w:p>
        </w:tc>
      </w:tr>
      <w:tr>
        <w:trPr>
          <w:trHeight w:val="290"/>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10.2</w:t>
              </w:r>
            </w:hyperlink>
          </w:p>
        </w:tc>
        <w:tc>
          <w:tcPr>
            <w:tcW w:w="100" w:type="dxa"/>
            <w:vAlign w:val="bottom"/>
            <w:tcBorders>
              <w:top w:val="single" w:sz="8" w:color="0000FF"/>
              <w:bottom w:val="single" w:sz="8" w:color="0000FF"/>
            </w:tcBorders>
          </w:tcPr>
          <w:p>
            <w:pPr>
              <w:spacing w:after="0"/>
              <w:rPr>
                <w:sz w:val="24"/>
                <w:szCs w:val="24"/>
                <w:color w:val="auto"/>
              </w:rPr>
            </w:pPr>
          </w:p>
        </w:tc>
        <w:tc>
          <w:tcPr>
            <w:tcW w:w="860" w:type="dxa"/>
            <w:vAlign w:val="bottom"/>
            <w:tcBorders>
              <w:top w:val="single" w:sz="8" w:color="0000FF"/>
              <w:bottom w:val="single" w:sz="8" w:color="0000FF"/>
            </w:tcBorders>
            <w:gridSpan w:val="3"/>
          </w:tcPr>
          <w:p>
            <w:pPr>
              <w:spacing w:after="0"/>
              <w:rPr>
                <w:rFonts w:ascii="Arial" w:cs="Arial" w:eastAsia="Arial" w:hAnsi="Arial"/>
                <w:sz w:val="22"/>
                <w:szCs w:val="22"/>
                <w:color w:val="0000FF"/>
                <w:w w:val="84"/>
              </w:rPr>
            </w:pPr>
            <w:hyperlink w:anchor="page10">
              <w:r>
                <w:rPr>
                  <w:rFonts w:ascii="Arial" w:cs="Arial" w:eastAsia="Arial" w:hAnsi="Arial"/>
                  <w:sz w:val="22"/>
                  <w:szCs w:val="22"/>
                  <w:color w:val="0000FF"/>
                  <w:w w:val="84"/>
                </w:rPr>
                <w:t>Remedies</w:t>
              </w:r>
            </w:hyperlink>
          </w:p>
        </w:tc>
        <w:tc>
          <w:tcPr>
            <w:tcW w:w="840" w:type="dxa"/>
            <w:vAlign w:val="bottom"/>
            <w:tcBorders>
              <w:top w:val="single" w:sz="8" w:color="0000FF"/>
            </w:tcBorders>
            <w:gridSpan w:val="4"/>
          </w:tcPr>
          <w:p>
            <w:pPr>
              <w:spacing w:after="0"/>
              <w:rPr>
                <w:sz w:val="24"/>
                <w:szCs w:val="24"/>
                <w:color w:val="auto"/>
              </w:rPr>
            </w:pPr>
          </w:p>
        </w:tc>
        <w:tc>
          <w:tcPr>
            <w:tcW w:w="6740" w:type="dxa"/>
            <w:vAlign w:val="bottom"/>
            <w:gridSpan w:val="7"/>
          </w:tcPr>
          <w:p>
            <w:pPr>
              <w:spacing w:after="0"/>
              <w:rPr>
                <w:sz w:val="24"/>
                <w:szCs w:val="24"/>
                <w:color w:val="auto"/>
              </w:rPr>
            </w:pPr>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85</w:t>
              </w:r>
            </w:hyperlink>
          </w:p>
        </w:tc>
      </w:tr>
      <w:tr>
        <w:trPr>
          <w:trHeight w:val="341"/>
        </w:trPr>
        <w:tc>
          <w:tcPr>
            <w:tcW w:w="9740" w:type="dxa"/>
            <w:vAlign w:val="bottom"/>
            <w:gridSpan w:val="1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XI INDEMNIFICATION</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85</w:t>
              </w:r>
            </w:hyperlink>
          </w:p>
        </w:tc>
      </w:tr>
      <w:tr>
        <w:trPr>
          <w:trHeight w:val="26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11.1  </w:t>
              </w:r>
              <w:r>
                <w:rPr>
                  <w:rFonts w:ascii="Arial" w:cs="Arial" w:eastAsia="Arial" w:hAnsi="Arial"/>
                  <w:sz w:val="22"/>
                  <w:szCs w:val="22"/>
                  <w:u w:val="single" w:color="auto"/>
                  <w:color w:val="0000FF"/>
                </w:rPr>
                <w:t>Indemnities by the Borrower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85</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11.2  </w:t>
              </w:r>
              <w:r>
                <w:rPr>
                  <w:rFonts w:ascii="Arial" w:cs="Arial" w:eastAsia="Arial" w:hAnsi="Arial"/>
                  <w:sz w:val="22"/>
                  <w:szCs w:val="22"/>
                  <w:u w:val="single" w:color="auto"/>
                  <w:color w:val="0000FF"/>
                </w:rPr>
                <w:t>Indemnities by the Servicer</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88</w:t>
              </w:r>
            </w:hyperlink>
          </w:p>
        </w:tc>
      </w:tr>
      <w:tr>
        <w:trPr>
          <w:trHeight w:val="291"/>
        </w:trPr>
        <w:tc>
          <w:tcPr>
            <w:tcW w:w="1200" w:type="dxa"/>
            <w:vAlign w:val="bottom"/>
            <w:tcBorders>
              <w:top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11.3</w:t>
              </w:r>
            </w:hyperlink>
          </w:p>
        </w:tc>
        <w:tc>
          <w:tcPr>
            <w:tcW w:w="100" w:type="dxa"/>
            <w:vAlign w:val="bottom"/>
            <w:tcBorders>
              <w:top w:val="single" w:sz="8" w:color="0000FF"/>
            </w:tcBorders>
          </w:tcPr>
          <w:p>
            <w:pPr>
              <w:spacing w:after="0"/>
              <w:rPr>
                <w:sz w:val="24"/>
                <w:szCs w:val="24"/>
                <w:color w:val="auto"/>
              </w:rPr>
            </w:pPr>
          </w:p>
        </w:tc>
        <w:tc>
          <w:tcPr>
            <w:tcW w:w="8440" w:type="dxa"/>
            <w:vAlign w:val="bottom"/>
            <w:gridSpan w:val="14"/>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After-Tax Basis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88</w:t>
              </w:r>
            </w:hyperlink>
          </w:p>
        </w:tc>
      </w:tr>
      <w:tr>
        <w:trPr>
          <w:trHeight w:val="20"/>
        </w:trPr>
        <w:tc>
          <w:tcPr>
            <w:tcW w:w="2060" w:type="dxa"/>
            <w:vAlign w:val="bottom"/>
            <w:gridSpan w:val="4"/>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1"/>
        </w:trPr>
        <w:tc>
          <w:tcPr>
            <w:tcW w:w="9740" w:type="dxa"/>
            <w:vAlign w:val="bottom"/>
            <w:gridSpan w:val="1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XII THE DEAL AGENT AND THE COLLATERAL AGENT</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88</w:t>
              </w:r>
            </w:hyperlink>
          </w:p>
        </w:tc>
      </w:tr>
      <w:tr>
        <w:trPr>
          <w:trHeight w:val="260"/>
        </w:trPr>
        <w:tc>
          <w:tcPr>
            <w:tcW w:w="3520" w:type="dxa"/>
            <w:vAlign w:val="bottom"/>
            <w:tcBorders>
              <w:bottom w:val="single" w:sz="8" w:color="0000FF"/>
            </w:tcBorders>
            <w:gridSpan w:val="11"/>
          </w:tcPr>
          <w:p>
            <w:pPr>
              <w:spacing w:after="0"/>
              <w:rPr>
                <w:rFonts w:ascii="Arial" w:cs="Arial" w:eastAsia="Arial" w:hAnsi="Arial"/>
                <w:sz w:val="22"/>
                <w:szCs w:val="22"/>
                <w:color w:val="0000FF"/>
                <w:w w:val="93"/>
              </w:rPr>
            </w:pPr>
            <w:hyperlink w:anchor="page10">
              <w:r>
                <w:rPr>
                  <w:rFonts w:ascii="Arial" w:cs="Arial" w:eastAsia="Arial" w:hAnsi="Arial"/>
                  <w:sz w:val="22"/>
                  <w:szCs w:val="22"/>
                  <w:color w:val="0000FF"/>
                  <w:w w:val="93"/>
                </w:rPr>
                <w:t>Section 12.1  Authorization and Action</w:t>
              </w:r>
            </w:hyperlink>
          </w:p>
        </w:tc>
        <w:tc>
          <w:tcPr>
            <w:tcW w:w="6220" w:type="dxa"/>
            <w:vAlign w:val="bottom"/>
            <w:gridSpan w:val="5"/>
          </w:tcPr>
          <w:p>
            <w:pPr>
              <w:spacing w:after="0"/>
              <w:rPr>
                <w:sz w:val="22"/>
                <w:szCs w:val="22"/>
                <w:color w:val="auto"/>
              </w:rPr>
            </w:pPr>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88</w:t>
              </w:r>
            </w:hyperlink>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12.2  </w:t>
              </w:r>
              <w:r>
                <w:rPr>
                  <w:rFonts w:ascii="Arial" w:cs="Arial" w:eastAsia="Arial" w:hAnsi="Arial"/>
                  <w:sz w:val="22"/>
                  <w:szCs w:val="22"/>
                  <w:u w:val="single" w:color="auto"/>
                  <w:color w:val="0000FF"/>
                </w:rPr>
                <w:t>Delegation of Duties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89</w:t>
              </w:r>
            </w:hyperlink>
          </w:p>
        </w:tc>
      </w:tr>
      <w:tr>
        <w:trPr>
          <w:trHeight w:val="291"/>
        </w:trPr>
        <w:tc>
          <w:tcPr>
            <w:tcW w:w="1200" w:type="dxa"/>
            <w:vAlign w:val="bottom"/>
            <w:tcBorders>
              <w:top w:val="single" w:sz="8" w:color="0000FF"/>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12.3</w:t>
              </w:r>
            </w:hyperlink>
          </w:p>
        </w:tc>
        <w:tc>
          <w:tcPr>
            <w:tcW w:w="100" w:type="dxa"/>
            <w:vAlign w:val="bottom"/>
            <w:tcBorders>
              <w:top w:val="single" w:sz="8" w:color="0000FF"/>
              <w:bottom w:val="single" w:sz="8" w:color="0000FF"/>
            </w:tcBorders>
          </w:tcPr>
          <w:p>
            <w:pPr>
              <w:spacing w:after="0"/>
              <w:rPr>
                <w:sz w:val="24"/>
                <w:szCs w:val="24"/>
                <w:color w:val="auto"/>
              </w:rPr>
            </w:pPr>
          </w:p>
        </w:tc>
        <w:tc>
          <w:tcPr>
            <w:tcW w:w="8440" w:type="dxa"/>
            <w:vAlign w:val="bottom"/>
            <w:gridSpan w:val="1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Exculpatory Provisions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89</w:t>
              </w:r>
            </w:hyperlink>
          </w:p>
        </w:tc>
      </w:tr>
      <w:tr>
        <w:trPr>
          <w:trHeight w:val="290"/>
        </w:trPr>
        <w:tc>
          <w:tcPr>
            <w:tcW w:w="1200" w:type="dxa"/>
            <w:vAlign w:val="bottom"/>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12.4</w:t>
              </w:r>
            </w:hyperlink>
          </w:p>
        </w:tc>
        <w:tc>
          <w:tcPr>
            <w:tcW w:w="100" w:type="dxa"/>
            <w:vAlign w:val="bottom"/>
          </w:tcPr>
          <w:p>
            <w:pPr>
              <w:spacing w:after="0"/>
              <w:rPr>
                <w:sz w:val="24"/>
                <w:szCs w:val="24"/>
                <w:color w:val="auto"/>
              </w:rPr>
            </w:pPr>
          </w:p>
        </w:tc>
        <w:tc>
          <w:tcPr>
            <w:tcW w:w="8440" w:type="dxa"/>
            <w:vAlign w:val="bottom"/>
            <w:gridSpan w:val="14"/>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Reliance</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92</w:t>
              </w:r>
            </w:hyperlink>
          </w:p>
        </w:tc>
      </w:tr>
      <w:tr>
        <w:trPr>
          <w:trHeight w:val="20"/>
        </w:trPr>
        <w:tc>
          <w:tcPr>
            <w:tcW w:w="2060" w:type="dxa"/>
            <w:vAlign w:val="bottom"/>
            <w:gridSpan w:val="4"/>
            <w:shd w:val="clear" w:color="auto" w:fill="0000FF"/>
          </w:tcPr>
          <w:p>
            <w:pPr>
              <w:spacing w:after="0" w:line="20" w:lineRule="exact"/>
              <w:rPr>
                <w:sz w:val="1"/>
                <w:szCs w:val="1"/>
                <w:color w:val="auto"/>
              </w:rPr>
            </w:pPr>
          </w:p>
        </w:tc>
        <w:tc>
          <w:tcPr>
            <w:tcW w:w="2420" w:type="dxa"/>
            <w:vAlign w:val="bottom"/>
            <w:gridSpan w:val="11"/>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12.5  </w:t>
              </w:r>
              <w:r>
                <w:rPr>
                  <w:rFonts w:ascii="Arial" w:cs="Arial" w:eastAsia="Arial" w:hAnsi="Arial"/>
                  <w:sz w:val="22"/>
                  <w:szCs w:val="22"/>
                  <w:u w:val="single" w:color="auto"/>
                  <w:color w:val="0000FF"/>
                </w:rPr>
                <w:t>Non-Reliance on Deal Agent, Collateral Agent and Other Lenders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93</w:t>
              </w:r>
            </w:hyperlink>
          </w:p>
        </w:tc>
      </w:tr>
      <w:tr>
        <w:trPr>
          <w:trHeight w:val="20"/>
        </w:trPr>
        <w:tc>
          <w:tcPr>
            <w:tcW w:w="1300" w:type="dxa"/>
            <w:vAlign w:val="bottom"/>
            <w:gridSpan w:val="2"/>
            <w:shd w:val="clear" w:color="auto" w:fill="0000FF"/>
          </w:tcPr>
          <w:p>
            <w:pPr>
              <w:spacing w:after="0" w:line="20" w:lineRule="exact"/>
              <w:rPr>
                <w:sz w:val="1"/>
                <w:szCs w:val="1"/>
                <w:color w:val="auto"/>
              </w:rPr>
            </w:pPr>
          </w:p>
        </w:tc>
        <w:tc>
          <w:tcPr>
            <w:tcW w:w="3180" w:type="dxa"/>
            <w:vAlign w:val="bottom"/>
            <w:tcBorders>
              <w:left w:val="single" w:sz="8" w:color="0000FF"/>
            </w:tcBorders>
            <w:gridSpan w:val="13"/>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1"/>
        </w:trPr>
        <w:tc>
          <w:tcPr>
            <w:tcW w:w="4480" w:type="dxa"/>
            <w:vAlign w:val="bottom"/>
            <w:tcBorders>
              <w:bottom w:val="single" w:sz="8" w:color="0000FF"/>
            </w:tcBorders>
            <w:gridSpan w:val="15"/>
          </w:tcPr>
          <w:p>
            <w:pPr>
              <w:spacing w:after="0"/>
              <w:rPr>
                <w:rFonts w:ascii="Arial" w:cs="Arial" w:eastAsia="Arial" w:hAnsi="Arial"/>
                <w:sz w:val="22"/>
                <w:szCs w:val="22"/>
                <w:color w:val="0000FF"/>
                <w:w w:val="91"/>
              </w:rPr>
            </w:pPr>
            <w:hyperlink w:anchor="page10">
              <w:r>
                <w:rPr>
                  <w:rFonts w:ascii="Arial" w:cs="Arial" w:eastAsia="Arial" w:hAnsi="Arial"/>
                  <w:sz w:val="22"/>
                  <w:szCs w:val="22"/>
                  <w:color w:val="0000FF"/>
                  <w:w w:val="91"/>
                </w:rPr>
                <w:t>Section 12.6  Reimbursement and Indemnification</w:t>
              </w:r>
            </w:hyperlink>
          </w:p>
        </w:tc>
        <w:tc>
          <w:tcPr>
            <w:tcW w:w="52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93</w:t>
              </w:r>
            </w:hyperlink>
          </w:p>
        </w:tc>
      </w:tr>
      <w:tr>
        <w:trPr>
          <w:trHeight w:val="290"/>
        </w:trPr>
        <w:tc>
          <w:tcPr>
            <w:tcW w:w="9740" w:type="dxa"/>
            <w:vAlign w:val="bottom"/>
            <w:gridSpan w:val="16"/>
          </w:tcPr>
          <w:p>
            <w:pPr>
              <w:spacing w:after="0"/>
              <w:rPr>
                <w:rFonts w:ascii="Arial" w:cs="Arial" w:eastAsia="Arial" w:hAnsi="Arial"/>
                <w:sz w:val="22"/>
                <w:szCs w:val="22"/>
                <w:color w:val="0000FF"/>
              </w:rPr>
            </w:pPr>
            <w:hyperlink w:anchor="page10">
              <w:r>
                <w:rPr>
                  <w:rFonts w:ascii="Arial" w:cs="Arial" w:eastAsia="Arial" w:hAnsi="Arial"/>
                  <w:sz w:val="22"/>
                  <w:szCs w:val="22"/>
                  <w:color w:val="0000FF"/>
                </w:rPr>
                <w:t xml:space="preserve">Section 12.7  </w:t>
              </w:r>
              <w:r>
                <w:rPr>
                  <w:rFonts w:ascii="Arial" w:cs="Arial" w:eastAsia="Arial" w:hAnsi="Arial"/>
                  <w:sz w:val="22"/>
                  <w:szCs w:val="22"/>
                  <w:u w:val="single" w:color="auto"/>
                  <w:color w:val="0000FF"/>
                </w:rPr>
                <w:t>Deal Agent and Collateral Agent in their Individual Capacities</w:t>
              </w:r>
            </w:hyperlink>
          </w:p>
        </w:tc>
        <w:tc>
          <w:tcPr>
            <w:tcW w:w="680" w:type="dxa"/>
            <w:vAlign w:val="bottom"/>
          </w:tcPr>
          <w:p>
            <w:pPr>
              <w:jc w:val="right"/>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94</w:t>
              </w:r>
            </w:hyperlink>
          </w:p>
        </w:tc>
      </w:tr>
      <w:tr>
        <w:trPr>
          <w:trHeight w:val="20"/>
        </w:trPr>
        <w:tc>
          <w:tcPr>
            <w:tcW w:w="1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6" w:right="339" w:bottom="39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1983350-NYCSR03A - MSW</w:t>
      </w:r>
    </w:p>
    <w:p>
      <w:pPr>
        <w:sectPr>
          <w:pgSz w:w="11900" w:h="16838" w:orient="portrait"/>
          <w:cols w:equalWidth="0" w:num="1">
            <w:col w:w="11240"/>
          </w:cols>
          <w:pgMar w:left="320" w:top="126" w:right="339" w:bottom="39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12.8</w:t>
              </w:r>
            </w:hyperlink>
          </w:p>
        </w:tc>
        <w:tc>
          <w:tcPr>
            <w:tcW w:w="100" w:type="dxa"/>
            <w:vAlign w:val="bottom"/>
            <w:tcBorders>
              <w:bottom w:val="single" w:sz="8" w:color="0000FF"/>
            </w:tcBorders>
          </w:tcPr>
          <w:p>
            <w:pPr>
              <w:spacing w:after="0"/>
              <w:rPr>
                <w:sz w:val="21"/>
                <w:szCs w:val="21"/>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Successor Deal Agent or Collateral Agent</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94</w:t>
              </w:r>
            </w:hyperlink>
          </w:p>
        </w:tc>
      </w:tr>
      <w:tr>
        <w:trPr>
          <w:trHeight w:val="341"/>
        </w:trPr>
        <w:tc>
          <w:tcPr>
            <w:tcW w:w="20" w:type="dxa"/>
            <w:vAlign w:val="bottom"/>
          </w:tcPr>
          <w:p>
            <w:pPr>
              <w:spacing w:after="0"/>
              <w:rPr>
                <w:sz w:val="24"/>
                <w:szCs w:val="24"/>
                <w:color w:val="auto"/>
              </w:rPr>
            </w:pPr>
          </w:p>
        </w:tc>
        <w:tc>
          <w:tcPr>
            <w:tcW w:w="8840" w:type="dxa"/>
            <w:vAlign w:val="bottom"/>
            <w:gridSpan w:val="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XIII ASSIGNMENTS; PARTICIPATIONS</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94</w:t>
              </w:r>
            </w:hyperlink>
          </w:p>
        </w:tc>
      </w:tr>
      <w:tr>
        <w:trPr>
          <w:trHeight w:val="260"/>
        </w:trPr>
        <w:tc>
          <w:tcPr>
            <w:tcW w:w="20" w:type="dxa"/>
            <w:vAlign w:val="bottom"/>
          </w:tcPr>
          <w:p>
            <w:pPr>
              <w:spacing w:after="0"/>
              <w:rPr>
                <w:sz w:val="22"/>
                <w:szCs w:val="22"/>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13.1</w:t>
              </w:r>
            </w:hyperlink>
          </w:p>
        </w:tc>
        <w:tc>
          <w:tcPr>
            <w:tcW w:w="100" w:type="dxa"/>
            <w:vAlign w:val="bottom"/>
            <w:tcBorders>
              <w:bottom w:val="single" w:sz="8" w:color="0000FF"/>
            </w:tcBorders>
          </w:tcPr>
          <w:p>
            <w:pPr>
              <w:spacing w:after="0"/>
              <w:rPr>
                <w:sz w:val="22"/>
                <w:szCs w:val="22"/>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Assignments and Participations</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94</w:t>
              </w:r>
            </w:hyperlink>
          </w:p>
        </w:tc>
      </w:tr>
      <w:tr>
        <w:trPr>
          <w:trHeight w:val="341"/>
        </w:trPr>
        <w:tc>
          <w:tcPr>
            <w:tcW w:w="20" w:type="dxa"/>
            <w:vAlign w:val="bottom"/>
          </w:tcPr>
          <w:p>
            <w:pPr>
              <w:spacing w:after="0"/>
              <w:rPr>
                <w:sz w:val="24"/>
                <w:szCs w:val="24"/>
                <w:color w:val="auto"/>
              </w:rPr>
            </w:pPr>
          </w:p>
        </w:tc>
        <w:tc>
          <w:tcPr>
            <w:tcW w:w="8840" w:type="dxa"/>
            <w:vAlign w:val="bottom"/>
            <w:gridSpan w:val="6"/>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ARTICLE XIV MISCELLANEOUS</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97</w:t>
              </w:r>
            </w:hyperlink>
          </w:p>
        </w:tc>
      </w:tr>
      <w:tr>
        <w:trPr>
          <w:trHeight w:val="260"/>
        </w:trPr>
        <w:tc>
          <w:tcPr>
            <w:tcW w:w="20" w:type="dxa"/>
            <w:vAlign w:val="bottom"/>
          </w:tcPr>
          <w:p>
            <w:pPr>
              <w:spacing w:after="0"/>
              <w:rPr>
                <w:sz w:val="22"/>
                <w:szCs w:val="22"/>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14.1</w:t>
              </w:r>
            </w:hyperlink>
          </w:p>
        </w:tc>
        <w:tc>
          <w:tcPr>
            <w:tcW w:w="100" w:type="dxa"/>
            <w:vAlign w:val="bottom"/>
            <w:tcBorders>
              <w:bottom w:val="single" w:sz="8" w:color="0000FF"/>
            </w:tcBorders>
          </w:tcPr>
          <w:p>
            <w:pPr>
              <w:spacing w:after="0"/>
              <w:rPr>
                <w:sz w:val="22"/>
                <w:szCs w:val="22"/>
                <w:color w:val="auto"/>
              </w:rPr>
            </w:pPr>
          </w:p>
        </w:tc>
        <w:tc>
          <w:tcPr>
            <w:tcW w:w="2280" w:type="dxa"/>
            <w:vAlign w:val="bottom"/>
            <w:tcBorders>
              <w:bottom w:val="single" w:sz="8" w:color="0000FF"/>
            </w:tcBorders>
            <w:gridSpan w:val="3"/>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Amendments and Waivers</w:t>
              </w:r>
            </w:hyperlink>
          </w:p>
        </w:tc>
        <w:tc>
          <w:tcPr>
            <w:tcW w:w="5260" w:type="dxa"/>
            <w:vAlign w:val="bottom"/>
          </w:tcPr>
          <w:p>
            <w:pPr>
              <w:spacing w:after="0"/>
              <w:rPr>
                <w:sz w:val="22"/>
                <w:szCs w:val="22"/>
                <w:color w:val="auto"/>
              </w:rPr>
            </w:pPr>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97</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14.2</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Notices, Etc.</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98</w:t>
              </w:r>
            </w:hyperlink>
          </w:p>
        </w:tc>
      </w:tr>
      <w:tr>
        <w:trPr>
          <w:trHeight w:val="291"/>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14.3</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Ratable Payments</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98</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14.4</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No Waiver; Remedies</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99</w:t>
              </w:r>
            </w:hyperlink>
          </w:p>
        </w:tc>
      </w:tr>
      <w:tr>
        <w:trPr>
          <w:trHeight w:val="291"/>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14.5</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Binding Effect; Benefit of Agreement</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99</w:t>
              </w:r>
            </w:hyperlink>
          </w:p>
        </w:tc>
      </w:tr>
      <w:tr>
        <w:trPr>
          <w:trHeight w:val="291"/>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14.6</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Term of this Agreement</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99</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14.7</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Governing Law; Consent to Jurisdiction; Waiver of Objection to Venue</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99</w:t>
              </w:r>
            </w:hyperlink>
          </w:p>
        </w:tc>
      </w:tr>
      <w:tr>
        <w:trPr>
          <w:trHeight w:val="291"/>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14.8</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Waiver of Jury Trial</w:t>
              </w:r>
            </w:hyperlink>
          </w:p>
        </w:tc>
        <w:tc>
          <w:tcPr>
            <w:tcW w:w="1700" w:type="dxa"/>
            <w:vAlign w:val="bottom"/>
          </w:tcPr>
          <w:p>
            <w:pPr>
              <w:ind w:left="1380"/>
              <w:spacing w:after="0"/>
              <w:rPr>
                <w:rFonts w:ascii="Arial" w:cs="Arial" w:eastAsia="Arial" w:hAnsi="Arial"/>
                <w:sz w:val="22"/>
                <w:szCs w:val="22"/>
                <w:u w:val="single" w:color="auto"/>
                <w:color w:val="auto"/>
              </w:rPr>
            </w:pPr>
            <w:hyperlink w:anchor="page10">
              <w:r>
                <w:rPr>
                  <w:rFonts w:ascii="Arial" w:cs="Arial" w:eastAsia="Arial" w:hAnsi="Arial"/>
                  <w:sz w:val="22"/>
                  <w:szCs w:val="22"/>
                  <w:u w:val="single" w:color="auto"/>
                  <w:color w:val="auto"/>
                </w:rPr>
                <w:t>99</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96"/>
              </w:rPr>
            </w:pPr>
            <w:hyperlink w:anchor="page10">
              <w:r>
                <w:rPr>
                  <w:rFonts w:ascii="Arial" w:cs="Arial" w:eastAsia="Arial" w:hAnsi="Arial"/>
                  <w:sz w:val="22"/>
                  <w:szCs w:val="22"/>
                  <w:color w:val="0000FF"/>
                  <w:w w:val="96"/>
                </w:rPr>
                <w:t>Section 14.9</w:t>
              </w:r>
            </w:hyperlink>
          </w:p>
        </w:tc>
        <w:tc>
          <w:tcPr>
            <w:tcW w:w="100" w:type="dxa"/>
            <w:vAlign w:val="bottom"/>
            <w:tcBorders>
              <w:bottom w:val="single" w:sz="8" w:color="0000FF"/>
            </w:tcBorders>
          </w:tcPr>
          <w:p>
            <w:pPr>
              <w:spacing w:after="0"/>
              <w:rPr>
                <w:sz w:val="24"/>
                <w:szCs w:val="24"/>
                <w:color w:val="auto"/>
              </w:rPr>
            </w:pPr>
          </w:p>
        </w:tc>
        <w:tc>
          <w:tcPr>
            <w:tcW w:w="7540" w:type="dxa"/>
            <w:vAlign w:val="bottom"/>
            <w:gridSpan w:val="4"/>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Costs, Expenses and Taxes</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100</w:t>
              </w:r>
            </w:hyperlink>
          </w:p>
        </w:tc>
      </w:tr>
      <w:tr>
        <w:trPr>
          <w:trHeight w:val="291"/>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Section 14.10</w:t>
              </w:r>
            </w:hyperlink>
          </w:p>
        </w:tc>
        <w:tc>
          <w:tcPr>
            <w:tcW w:w="10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20" w:type="dxa"/>
            <w:vAlign w:val="bottom"/>
            <w:gridSpan w:val="2"/>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No Proceedings</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100</w:t>
              </w:r>
            </w:hyperlink>
          </w:p>
        </w:tc>
      </w:tr>
      <w:tr>
        <w:trPr>
          <w:trHeight w:val="290"/>
        </w:trPr>
        <w:tc>
          <w:tcPr>
            <w:tcW w:w="20" w:type="dxa"/>
            <w:vAlign w:val="bottom"/>
          </w:tcPr>
          <w:p>
            <w:pPr>
              <w:spacing w:after="0"/>
              <w:rPr>
                <w:sz w:val="24"/>
                <w:szCs w:val="24"/>
                <w:color w:val="auto"/>
              </w:rPr>
            </w:pPr>
          </w:p>
        </w:tc>
        <w:tc>
          <w:tcPr>
            <w:tcW w:w="1200" w:type="dxa"/>
            <w:vAlign w:val="bottom"/>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Section 14.11</w:t>
              </w:r>
            </w:hyperlink>
          </w:p>
        </w:tc>
        <w:tc>
          <w:tcPr>
            <w:tcW w:w="100" w:type="dxa"/>
            <w:vAlign w:val="bottom"/>
          </w:tcPr>
          <w:p>
            <w:pPr>
              <w:spacing w:after="0"/>
              <w:rPr>
                <w:sz w:val="24"/>
                <w:szCs w:val="24"/>
                <w:color w:val="auto"/>
              </w:rPr>
            </w:pPr>
          </w:p>
        </w:tc>
        <w:tc>
          <w:tcPr>
            <w:tcW w:w="7540" w:type="dxa"/>
            <w:vAlign w:val="bottom"/>
            <w:gridSpan w:val="4"/>
          </w:tcPr>
          <w:p>
            <w:pPr>
              <w:ind w:left="100"/>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Recourse Against Certain Parties</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100</w:t>
              </w:r>
            </w:hyperlink>
          </w:p>
        </w:tc>
      </w:tr>
      <w:tr>
        <w:trPr>
          <w:trHeight w:val="291"/>
        </w:trPr>
        <w:tc>
          <w:tcPr>
            <w:tcW w:w="20" w:type="dxa"/>
            <w:vAlign w:val="bottom"/>
          </w:tcPr>
          <w:p>
            <w:pPr>
              <w:spacing w:after="0"/>
              <w:rPr>
                <w:sz w:val="24"/>
                <w:szCs w:val="24"/>
                <w:color w:val="auto"/>
              </w:rPr>
            </w:pPr>
          </w:p>
        </w:tc>
        <w:tc>
          <w:tcPr>
            <w:tcW w:w="1200" w:type="dxa"/>
            <w:vAlign w:val="bottom"/>
            <w:tcBorders>
              <w:top w:val="single" w:sz="8" w:color="0000FF"/>
              <w:bottom w:val="single" w:sz="8" w:color="0000FF"/>
            </w:tcBorders>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Section 14.12</w:t>
              </w:r>
            </w:hyperlink>
          </w:p>
        </w:tc>
        <w:tc>
          <w:tcPr>
            <w:tcW w:w="100" w:type="dxa"/>
            <w:vAlign w:val="bottom"/>
            <w:tcBorders>
              <w:top w:val="single" w:sz="8" w:color="0000FF"/>
              <w:bottom w:val="single" w:sz="8" w:color="0000FF"/>
            </w:tcBorders>
          </w:tcPr>
          <w:p>
            <w:pPr>
              <w:spacing w:after="0"/>
              <w:rPr>
                <w:sz w:val="24"/>
                <w:szCs w:val="24"/>
                <w:color w:val="auto"/>
              </w:rPr>
            </w:pPr>
          </w:p>
        </w:tc>
        <w:tc>
          <w:tcPr>
            <w:tcW w:w="100" w:type="dxa"/>
            <w:vAlign w:val="bottom"/>
            <w:tcBorders>
              <w:top w:val="single" w:sz="8" w:color="0000FF"/>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20" w:type="dxa"/>
            <w:vAlign w:val="bottom"/>
            <w:gridSpan w:val="2"/>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Protection of Right, Title and Interest in Assets</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101</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Section 14.13</w:t>
              </w:r>
            </w:hyperlink>
          </w:p>
        </w:tc>
        <w:tc>
          <w:tcPr>
            <w:tcW w:w="10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20" w:type="dxa"/>
            <w:vAlign w:val="bottom"/>
            <w:gridSpan w:val="2"/>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Confidentiality; Tax Treatment Disclosure</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102</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Section 14.14</w:t>
              </w:r>
            </w:hyperlink>
          </w:p>
        </w:tc>
        <w:tc>
          <w:tcPr>
            <w:tcW w:w="10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20" w:type="dxa"/>
            <w:vAlign w:val="bottom"/>
            <w:gridSpan w:val="2"/>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Execution in Counterparts; Severability; Integration</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104</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Section 14.15</w:t>
              </w:r>
            </w:hyperlink>
          </w:p>
        </w:tc>
        <w:tc>
          <w:tcPr>
            <w:tcW w:w="10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20" w:type="dxa"/>
            <w:vAlign w:val="bottom"/>
            <w:gridSpan w:val="2"/>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[Reserved]</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104</w:t>
              </w:r>
            </w:hyperlink>
          </w:p>
        </w:tc>
      </w:tr>
      <w:tr>
        <w:trPr>
          <w:trHeight w:val="290"/>
        </w:trPr>
        <w:tc>
          <w:tcPr>
            <w:tcW w:w="20" w:type="dxa"/>
            <w:vAlign w:val="bottom"/>
          </w:tcPr>
          <w:p>
            <w:pPr>
              <w:spacing w:after="0"/>
              <w:rPr>
                <w:sz w:val="24"/>
                <w:szCs w:val="24"/>
                <w:color w:val="auto"/>
              </w:rPr>
            </w:pPr>
          </w:p>
        </w:tc>
        <w:tc>
          <w:tcPr>
            <w:tcW w:w="1200" w:type="dxa"/>
            <w:vAlign w:val="bottom"/>
            <w:tcBorders>
              <w:bottom w:val="single" w:sz="8" w:color="0000FF"/>
            </w:tcBorders>
          </w:tcPr>
          <w:p>
            <w:pPr>
              <w:spacing w:after="0"/>
              <w:rPr>
                <w:rFonts w:ascii="Arial" w:cs="Arial" w:eastAsia="Arial" w:hAnsi="Arial"/>
                <w:sz w:val="22"/>
                <w:szCs w:val="22"/>
                <w:color w:val="0000FF"/>
                <w:w w:val="87"/>
              </w:rPr>
            </w:pPr>
            <w:hyperlink w:anchor="page10">
              <w:r>
                <w:rPr>
                  <w:rFonts w:ascii="Arial" w:cs="Arial" w:eastAsia="Arial" w:hAnsi="Arial"/>
                  <w:sz w:val="22"/>
                  <w:szCs w:val="22"/>
                  <w:color w:val="0000FF"/>
                  <w:w w:val="87"/>
                </w:rPr>
                <w:t>Section 14.16</w:t>
              </w:r>
            </w:hyperlink>
          </w:p>
        </w:tc>
        <w:tc>
          <w:tcPr>
            <w:tcW w:w="100" w:type="dxa"/>
            <w:vAlign w:val="bottom"/>
            <w:tcBorders>
              <w:bottom w:val="single" w:sz="8" w:color="0000FF"/>
            </w:tcBorders>
          </w:tcPr>
          <w:p>
            <w:pPr>
              <w:spacing w:after="0"/>
              <w:rPr>
                <w:sz w:val="24"/>
                <w:szCs w:val="24"/>
                <w:color w:val="auto"/>
              </w:rPr>
            </w:pPr>
          </w:p>
        </w:tc>
        <w:tc>
          <w:tcPr>
            <w:tcW w:w="100" w:type="dxa"/>
            <w:vAlign w:val="bottom"/>
            <w:tcBorders>
              <w:bottom w:val="single" w:sz="8" w:color="0000FF"/>
            </w:tcBorders>
          </w:tcPr>
          <w:p>
            <w:pPr>
              <w:spacing w:after="0"/>
              <w:rPr>
                <w:sz w:val="24"/>
                <w:szCs w:val="24"/>
                <w:color w:val="auto"/>
              </w:rPr>
            </w:pPr>
          </w:p>
        </w:tc>
        <w:tc>
          <w:tcPr>
            <w:tcW w:w="20" w:type="dxa"/>
            <w:vAlign w:val="bottom"/>
            <w:tcBorders>
              <w:bottom w:val="single" w:sz="8" w:color="0000FF"/>
            </w:tcBorders>
          </w:tcPr>
          <w:p>
            <w:pPr>
              <w:spacing w:after="0"/>
              <w:rPr>
                <w:sz w:val="24"/>
                <w:szCs w:val="24"/>
                <w:color w:val="auto"/>
              </w:rPr>
            </w:pPr>
          </w:p>
        </w:tc>
        <w:tc>
          <w:tcPr>
            <w:tcW w:w="7420" w:type="dxa"/>
            <w:vAlign w:val="bottom"/>
            <w:gridSpan w:val="2"/>
          </w:tcPr>
          <w:p>
            <w:pPr>
              <w:spacing w:after="0"/>
              <w:rPr>
                <w:rFonts w:ascii="Arial" w:cs="Arial" w:eastAsia="Arial" w:hAnsi="Arial"/>
                <w:sz w:val="22"/>
                <w:szCs w:val="22"/>
                <w:u w:val="single" w:color="auto"/>
                <w:color w:val="0000FF"/>
              </w:rPr>
            </w:pPr>
            <w:hyperlink w:anchor="page10">
              <w:r>
                <w:rPr>
                  <w:rFonts w:ascii="Arial" w:cs="Arial" w:eastAsia="Arial" w:hAnsi="Arial"/>
                  <w:sz w:val="22"/>
                  <w:szCs w:val="22"/>
                  <w:u w:val="single" w:color="auto"/>
                  <w:color w:val="0000FF"/>
                </w:rPr>
                <w:t>Patriot Act Compliance</w:t>
              </w:r>
            </w:hyperlink>
          </w:p>
        </w:tc>
        <w:tc>
          <w:tcPr>
            <w:tcW w:w="1700" w:type="dxa"/>
            <w:vAlign w:val="bottom"/>
          </w:tcPr>
          <w:p>
            <w:pPr>
              <w:ind w:left="1380"/>
              <w:spacing w:after="0"/>
              <w:rPr>
                <w:rFonts w:ascii="Arial" w:cs="Arial" w:eastAsia="Arial" w:hAnsi="Arial"/>
                <w:sz w:val="22"/>
                <w:szCs w:val="22"/>
                <w:u w:val="single" w:color="auto"/>
                <w:color w:val="auto"/>
                <w:w w:val="81"/>
              </w:rPr>
            </w:pPr>
            <w:hyperlink w:anchor="page10">
              <w:r>
                <w:rPr>
                  <w:rFonts w:ascii="Arial" w:cs="Arial" w:eastAsia="Arial" w:hAnsi="Arial"/>
                  <w:sz w:val="22"/>
                  <w:szCs w:val="22"/>
                  <w:u w:val="single" w:color="auto"/>
                  <w:color w:val="auto"/>
                  <w:w w:val="81"/>
                </w:rPr>
                <w:t>104</w:t>
              </w:r>
            </w:hyperlink>
          </w:p>
        </w:tc>
      </w:tr>
      <w:tr>
        <w:trPr>
          <w:trHeight w:val="66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260" w:type="dxa"/>
            <w:vAlign w:val="bottom"/>
          </w:tcPr>
          <w:p>
            <w:pPr>
              <w:ind w:left="1540"/>
              <w:spacing w:after="0"/>
              <w:rPr>
                <w:sz w:val="20"/>
                <w:szCs w:val="20"/>
                <w:color w:val="auto"/>
              </w:rPr>
            </w:pPr>
            <w:r>
              <w:rPr>
                <w:rFonts w:ascii="Arial" w:cs="Arial" w:eastAsia="Arial" w:hAnsi="Arial"/>
                <w:sz w:val="22"/>
                <w:szCs w:val="22"/>
                <w:color w:val="auto"/>
              </w:rPr>
              <w:t>EXHIBITS</w:t>
            </w:r>
          </w:p>
        </w:tc>
        <w:tc>
          <w:tcPr>
            <w:tcW w:w="1700" w:type="dxa"/>
            <w:vAlign w:val="bottom"/>
          </w:tcPr>
          <w:p>
            <w:pPr>
              <w:spacing w:after="0"/>
              <w:rPr>
                <w:sz w:val="24"/>
                <w:szCs w:val="24"/>
                <w:color w:val="auto"/>
              </w:rPr>
            </w:pPr>
          </w:p>
        </w:tc>
      </w:tr>
      <w:tr>
        <w:trPr>
          <w:trHeight w:val="455"/>
        </w:trPr>
        <w:tc>
          <w:tcPr>
            <w:tcW w:w="1220" w:type="dxa"/>
            <w:vAlign w:val="bottom"/>
            <w:gridSpan w:val="2"/>
          </w:tcPr>
          <w:p>
            <w:pPr>
              <w:spacing w:after="0"/>
              <w:rPr>
                <w:sz w:val="20"/>
                <w:szCs w:val="20"/>
                <w:color w:val="auto"/>
              </w:rPr>
            </w:pPr>
            <w:r>
              <w:rPr>
                <w:rFonts w:ascii="Arial" w:cs="Arial" w:eastAsia="Arial" w:hAnsi="Arial"/>
                <w:sz w:val="22"/>
                <w:szCs w:val="22"/>
                <w:color w:val="auto"/>
              </w:rPr>
              <w:t>EXHIBIT A</w:t>
            </w:r>
          </w:p>
        </w:tc>
        <w:tc>
          <w:tcPr>
            <w:tcW w:w="7640" w:type="dxa"/>
            <w:vAlign w:val="bottom"/>
            <w:gridSpan w:val="5"/>
          </w:tcPr>
          <w:p>
            <w:pPr>
              <w:ind w:left="60"/>
              <w:spacing w:after="0"/>
              <w:rPr>
                <w:sz w:val="20"/>
                <w:szCs w:val="20"/>
                <w:color w:val="auto"/>
              </w:rPr>
            </w:pPr>
            <w:r>
              <w:rPr>
                <w:rFonts w:ascii="Arial" w:cs="Arial" w:eastAsia="Arial" w:hAnsi="Arial"/>
                <w:sz w:val="22"/>
                <w:szCs w:val="22"/>
                <w:color w:val="auto"/>
              </w:rPr>
              <w:t>[Reserved]</w:t>
            </w:r>
          </w:p>
        </w:tc>
        <w:tc>
          <w:tcPr>
            <w:tcW w:w="1700" w:type="dxa"/>
            <w:vAlign w:val="bottom"/>
          </w:tcPr>
          <w:p>
            <w:pPr>
              <w:spacing w:after="0"/>
              <w:rPr>
                <w:sz w:val="24"/>
                <w:szCs w:val="24"/>
                <w:color w:val="auto"/>
              </w:rPr>
            </w:pPr>
          </w:p>
        </w:tc>
      </w:tr>
      <w:tr>
        <w:trPr>
          <w:trHeight w:val="257"/>
        </w:trPr>
        <w:tc>
          <w:tcPr>
            <w:tcW w:w="8860" w:type="dxa"/>
            <w:vAlign w:val="bottom"/>
            <w:gridSpan w:val="7"/>
          </w:tcPr>
          <w:p>
            <w:pPr>
              <w:spacing w:after="0"/>
              <w:rPr>
                <w:sz w:val="20"/>
                <w:szCs w:val="20"/>
                <w:color w:val="auto"/>
              </w:rPr>
            </w:pPr>
            <w:r>
              <w:rPr>
                <w:rFonts w:ascii="Arial" w:cs="Arial" w:eastAsia="Arial" w:hAnsi="Arial"/>
                <w:sz w:val="22"/>
                <w:szCs w:val="22"/>
                <w:color w:val="auto"/>
              </w:rPr>
              <w:t>EXHIBIT B  Form of Assignment and Acceptance</w:t>
            </w:r>
          </w:p>
        </w:tc>
        <w:tc>
          <w:tcPr>
            <w:tcW w:w="1700" w:type="dxa"/>
            <w:vAlign w:val="bottom"/>
          </w:tcPr>
          <w:p>
            <w:pPr>
              <w:spacing w:after="0"/>
              <w:rPr>
                <w:sz w:val="22"/>
                <w:szCs w:val="22"/>
                <w:color w:val="auto"/>
              </w:rPr>
            </w:pPr>
          </w:p>
        </w:tc>
      </w:tr>
      <w:tr>
        <w:trPr>
          <w:trHeight w:val="256"/>
        </w:trPr>
        <w:tc>
          <w:tcPr>
            <w:tcW w:w="8860" w:type="dxa"/>
            <w:vAlign w:val="bottom"/>
            <w:gridSpan w:val="7"/>
          </w:tcPr>
          <w:p>
            <w:pPr>
              <w:spacing w:after="0"/>
              <w:rPr>
                <w:sz w:val="20"/>
                <w:szCs w:val="20"/>
                <w:color w:val="auto"/>
              </w:rPr>
            </w:pPr>
            <w:r>
              <w:rPr>
                <w:rFonts w:ascii="Arial" w:cs="Arial" w:eastAsia="Arial" w:hAnsi="Arial"/>
                <w:sz w:val="22"/>
                <w:szCs w:val="22"/>
                <w:color w:val="auto"/>
              </w:rPr>
              <w:t>EXHIBIT C  Form of Monthly Report</w:t>
            </w:r>
          </w:p>
        </w:tc>
        <w:tc>
          <w:tcPr>
            <w:tcW w:w="1700" w:type="dxa"/>
            <w:vAlign w:val="bottom"/>
          </w:tcPr>
          <w:p>
            <w:pPr>
              <w:spacing w:after="0"/>
              <w:rPr>
                <w:sz w:val="22"/>
                <w:szCs w:val="22"/>
                <w:color w:val="auto"/>
              </w:rPr>
            </w:pPr>
          </w:p>
        </w:tc>
      </w:tr>
      <w:tr>
        <w:trPr>
          <w:trHeight w:val="257"/>
        </w:trPr>
        <w:tc>
          <w:tcPr>
            <w:tcW w:w="1220" w:type="dxa"/>
            <w:vAlign w:val="bottom"/>
            <w:gridSpan w:val="2"/>
          </w:tcPr>
          <w:p>
            <w:pPr>
              <w:spacing w:after="0"/>
              <w:rPr>
                <w:sz w:val="20"/>
                <w:szCs w:val="20"/>
                <w:color w:val="auto"/>
              </w:rPr>
            </w:pPr>
            <w:r>
              <w:rPr>
                <w:rFonts w:ascii="Arial" w:cs="Arial" w:eastAsia="Arial" w:hAnsi="Arial"/>
                <w:sz w:val="22"/>
                <w:szCs w:val="22"/>
                <w:color w:val="auto"/>
              </w:rPr>
              <w:t>EXHIBIT D</w:t>
            </w:r>
          </w:p>
        </w:tc>
        <w:tc>
          <w:tcPr>
            <w:tcW w:w="7640" w:type="dxa"/>
            <w:vAlign w:val="bottom"/>
            <w:gridSpan w:val="5"/>
          </w:tcPr>
          <w:p>
            <w:pPr>
              <w:ind w:left="80"/>
              <w:spacing w:after="0"/>
              <w:rPr>
                <w:sz w:val="20"/>
                <w:szCs w:val="20"/>
                <w:color w:val="auto"/>
              </w:rPr>
            </w:pPr>
            <w:r>
              <w:rPr>
                <w:rFonts w:ascii="Arial" w:cs="Arial" w:eastAsia="Arial" w:hAnsi="Arial"/>
                <w:sz w:val="22"/>
                <w:szCs w:val="22"/>
                <w:color w:val="auto"/>
              </w:rPr>
              <w:t>[Reserved]</w:t>
            </w:r>
          </w:p>
        </w:tc>
        <w:tc>
          <w:tcPr>
            <w:tcW w:w="1700" w:type="dxa"/>
            <w:vAlign w:val="bottom"/>
          </w:tcPr>
          <w:p>
            <w:pPr>
              <w:spacing w:after="0"/>
              <w:rPr>
                <w:sz w:val="22"/>
                <w:szCs w:val="22"/>
                <w:color w:val="auto"/>
              </w:rPr>
            </w:pPr>
          </w:p>
        </w:tc>
      </w:tr>
      <w:tr>
        <w:trPr>
          <w:trHeight w:val="257"/>
        </w:trPr>
        <w:tc>
          <w:tcPr>
            <w:tcW w:w="1220" w:type="dxa"/>
            <w:vAlign w:val="bottom"/>
            <w:gridSpan w:val="2"/>
          </w:tcPr>
          <w:p>
            <w:pPr>
              <w:spacing w:after="0"/>
              <w:rPr>
                <w:sz w:val="20"/>
                <w:szCs w:val="20"/>
                <w:color w:val="auto"/>
              </w:rPr>
            </w:pPr>
            <w:r>
              <w:rPr>
                <w:rFonts w:ascii="Arial" w:cs="Arial" w:eastAsia="Arial" w:hAnsi="Arial"/>
                <w:sz w:val="22"/>
                <w:szCs w:val="22"/>
                <w:color w:val="auto"/>
              </w:rPr>
              <w:t>EXHIBIT E</w:t>
            </w:r>
          </w:p>
        </w:tc>
        <w:tc>
          <w:tcPr>
            <w:tcW w:w="7640" w:type="dxa"/>
            <w:vAlign w:val="bottom"/>
            <w:gridSpan w:val="5"/>
          </w:tcPr>
          <w:p>
            <w:pPr>
              <w:ind w:left="60"/>
              <w:spacing w:after="0"/>
              <w:rPr>
                <w:sz w:val="20"/>
                <w:szCs w:val="20"/>
                <w:color w:val="auto"/>
              </w:rPr>
            </w:pPr>
            <w:r>
              <w:rPr>
                <w:rFonts w:ascii="Arial" w:cs="Arial" w:eastAsia="Arial" w:hAnsi="Arial"/>
                <w:sz w:val="22"/>
                <w:szCs w:val="22"/>
                <w:color w:val="auto"/>
              </w:rPr>
              <w:t>[Reserved]</w:t>
            </w:r>
          </w:p>
        </w:tc>
        <w:tc>
          <w:tcPr>
            <w:tcW w:w="1700" w:type="dxa"/>
            <w:vAlign w:val="bottom"/>
          </w:tcPr>
          <w:p>
            <w:pPr>
              <w:spacing w:after="0"/>
              <w:rPr>
                <w:sz w:val="22"/>
                <w:szCs w:val="22"/>
                <w:color w:val="auto"/>
              </w:rPr>
            </w:pPr>
          </w:p>
        </w:tc>
      </w:tr>
      <w:tr>
        <w:trPr>
          <w:trHeight w:val="256"/>
        </w:trPr>
        <w:tc>
          <w:tcPr>
            <w:tcW w:w="8860" w:type="dxa"/>
            <w:vAlign w:val="bottom"/>
            <w:gridSpan w:val="7"/>
          </w:tcPr>
          <w:p>
            <w:pPr>
              <w:spacing w:after="0"/>
              <w:rPr>
                <w:sz w:val="20"/>
                <w:szCs w:val="20"/>
                <w:color w:val="auto"/>
              </w:rPr>
            </w:pPr>
            <w:r>
              <w:rPr>
                <w:rFonts w:ascii="Arial" w:cs="Arial" w:eastAsia="Arial" w:hAnsi="Arial"/>
                <w:sz w:val="22"/>
                <w:szCs w:val="22"/>
                <w:color w:val="auto"/>
              </w:rPr>
              <w:t>EXHIBIT F  Form of Officer's Certificate as to Solvency</w:t>
            </w:r>
          </w:p>
        </w:tc>
        <w:tc>
          <w:tcPr>
            <w:tcW w:w="1700" w:type="dxa"/>
            <w:vAlign w:val="bottom"/>
          </w:tcPr>
          <w:p>
            <w:pPr>
              <w:spacing w:after="0"/>
              <w:rPr>
                <w:sz w:val="22"/>
                <w:szCs w:val="22"/>
                <w:color w:val="auto"/>
              </w:rPr>
            </w:pPr>
          </w:p>
        </w:tc>
      </w:tr>
      <w:tr>
        <w:trPr>
          <w:trHeight w:val="257"/>
        </w:trPr>
        <w:tc>
          <w:tcPr>
            <w:tcW w:w="1220" w:type="dxa"/>
            <w:vAlign w:val="bottom"/>
            <w:gridSpan w:val="2"/>
          </w:tcPr>
          <w:p>
            <w:pPr>
              <w:spacing w:after="0"/>
              <w:rPr>
                <w:sz w:val="20"/>
                <w:szCs w:val="20"/>
                <w:color w:val="auto"/>
              </w:rPr>
            </w:pPr>
            <w:r>
              <w:rPr>
                <w:rFonts w:ascii="Arial" w:cs="Arial" w:eastAsia="Arial" w:hAnsi="Arial"/>
                <w:sz w:val="22"/>
                <w:szCs w:val="22"/>
                <w:color w:val="auto"/>
              </w:rPr>
              <w:t>EXHIBIT G</w:t>
            </w:r>
          </w:p>
        </w:tc>
        <w:tc>
          <w:tcPr>
            <w:tcW w:w="7640" w:type="dxa"/>
            <w:vAlign w:val="bottom"/>
            <w:gridSpan w:val="5"/>
          </w:tcPr>
          <w:p>
            <w:pPr>
              <w:ind w:left="80"/>
              <w:spacing w:after="0"/>
              <w:rPr>
                <w:sz w:val="20"/>
                <w:szCs w:val="20"/>
                <w:color w:val="auto"/>
              </w:rPr>
            </w:pPr>
            <w:r>
              <w:rPr>
                <w:rFonts w:ascii="Arial" w:cs="Arial" w:eastAsia="Arial" w:hAnsi="Arial"/>
                <w:sz w:val="22"/>
                <w:szCs w:val="22"/>
                <w:color w:val="auto"/>
              </w:rPr>
              <w:t>[Reserved]</w:t>
            </w:r>
          </w:p>
        </w:tc>
        <w:tc>
          <w:tcPr>
            <w:tcW w:w="1700" w:type="dxa"/>
            <w:vAlign w:val="bottom"/>
          </w:tcPr>
          <w:p>
            <w:pPr>
              <w:spacing w:after="0"/>
              <w:rPr>
                <w:sz w:val="22"/>
                <w:szCs w:val="22"/>
                <w:color w:val="auto"/>
              </w:rPr>
            </w:pPr>
          </w:p>
        </w:tc>
      </w:tr>
      <w:tr>
        <w:trPr>
          <w:trHeight w:val="256"/>
        </w:trPr>
        <w:tc>
          <w:tcPr>
            <w:tcW w:w="8860" w:type="dxa"/>
            <w:vAlign w:val="bottom"/>
            <w:gridSpan w:val="7"/>
          </w:tcPr>
          <w:p>
            <w:pPr>
              <w:spacing w:after="0"/>
              <w:rPr>
                <w:sz w:val="20"/>
                <w:szCs w:val="20"/>
                <w:color w:val="auto"/>
              </w:rPr>
            </w:pPr>
            <w:r>
              <w:rPr>
                <w:rFonts w:ascii="Arial" w:cs="Arial" w:eastAsia="Arial" w:hAnsi="Arial"/>
                <w:sz w:val="22"/>
                <w:szCs w:val="22"/>
                <w:color w:val="auto"/>
              </w:rPr>
              <w:t>EXHIBIT H  Form of Contribution Agreement</w:t>
            </w:r>
          </w:p>
        </w:tc>
        <w:tc>
          <w:tcPr>
            <w:tcW w:w="1700" w:type="dxa"/>
            <w:vAlign w:val="bottom"/>
          </w:tcPr>
          <w:p>
            <w:pPr>
              <w:spacing w:after="0"/>
              <w:rPr>
                <w:sz w:val="22"/>
                <w:szCs w:val="22"/>
                <w:color w:val="auto"/>
              </w:rPr>
            </w:pPr>
          </w:p>
        </w:tc>
      </w:tr>
      <w:tr>
        <w:trPr>
          <w:trHeight w:val="257"/>
        </w:trPr>
        <w:tc>
          <w:tcPr>
            <w:tcW w:w="1220" w:type="dxa"/>
            <w:vAlign w:val="bottom"/>
            <w:gridSpan w:val="2"/>
          </w:tcPr>
          <w:p>
            <w:pPr>
              <w:spacing w:after="0"/>
              <w:rPr>
                <w:sz w:val="20"/>
                <w:szCs w:val="20"/>
                <w:color w:val="auto"/>
              </w:rPr>
            </w:pPr>
            <w:r>
              <w:rPr>
                <w:rFonts w:ascii="Arial" w:cs="Arial" w:eastAsia="Arial" w:hAnsi="Arial"/>
                <w:sz w:val="22"/>
                <w:szCs w:val="22"/>
                <w:color w:val="auto"/>
              </w:rPr>
              <w:t>EXHIBIT I</w:t>
            </w:r>
          </w:p>
        </w:tc>
        <w:tc>
          <w:tcPr>
            <w:tcW w:w="7640" w:type="dxa"/>
            <w:vAlign w:val="bottom"/>
            <w:gridSpan w:val="5"/>
          </w:tcPr>
          <w:p>
            <w:pPr>
              <w:spacing w:after="0"/>
              <w:rPr>
                <w:sz w:val="20"/>
                <w:szCs w:val="20"/>
                <w:color w:val="auto"/>
              </w:rPr>
            </w:pPr>
            <w:r>
              <w:rPr>
                <w:rFonts w:ascii="Arial" w:cs="Arial" w:eastAsia="Arial" w:hAnsi="Arial"/>
                <w:sz w:val="22"/>
                <w:szCs w:val="22"/>
                <w:color w:val="auto"/>
              </w:rPr>
              <w:t>Form of Note</w:t>
            </w:r>
          </w:p>
        </w:tc>
        <w:tc>
          <w:tcPr>
            <w:tcW w:w="1700" w:type="dxa"/>
            <w:vAlign w:val="bottom"/>
          </w:tcPr>
          <w:p>
            <w:pPr>
              <w:spacing w:after="0"/>
              <w:rPr>
                <w:sz w:val="22"/>
                <w:szCs w:val="22"/>
                <w:color w:val="auto"/>
              </w:rPr>
            </w:pPr>
          </w:p>
        </w:tc>
      </w:tr>
      <w:tr>
        <w:trPr>
          <w:trHeight w:val="256"/>
        </w:trPr>
        <w:tc>
          <w:tcPr>
            <w:tcW w:w="8860" w:type="dxa"/>
            <w:vAlign w:val="bottom"/>
            <w:gridSpan w:val="7"/>
          </w:tcPr>
          <w:p>
            <w:pPr>
              <w:spacing w:after="0"/>
              <w:rPr>
                <w:sz w:val="20"/>
                <w:szCs w:val="20"/>
                <w:color w:val="auto"/>
              </w:rPr>
            </w:pPr>
            <w:r>
              <w:rPr>
                <w:rFonts w:ascii="Arial" w:cs="Arial" w:eastAsia="Arial" w:hAnsi="Arial"/>
                <w:sz w:val="22"/>
                <w:szCs w:val="22"/>
                <w:color w:val="auto"/>
              </w:rPr>
              <w:t>EXHIBIT J  Form of Dealer Agreement</w:t>
            </w:r>
          </w:p>
        </w:tc>
        <w:tc>
          <w:tcPr>
            <w:tcW w:w="1700" w:type="dxa"/>
            <w:vAlign w:val="bottom"/>
          </w:tcPr>
          <w:p>
            <w:pPr>
              <w:spacing w:after="0"/>
              <w:rPr>
                <w:sz w:val="22"/>
                <w:szCs w:val="22"/>
                <w:color w:val="auto"/>
              </w:rPr>
            </w:pPr>
          </w:p>
        </w:tc>
      </w:tr>
      <w:tr>
        <w:trPr>
          <w:trHeight w:val="257"/>
        </w:trPr>
        <w:tc>
          <w:tcPr>
            <w:tcW w:w="1220" w:type="dxa"/>
            <w:vAlign w:val="bottom"/>
            <w:gridSpan w:val="2"/>
          </w:tcPr>
          <w:p>
            <w:pPr>
              <w:spacing w:after="0"/>
              <w:rPr>
                <w:sz w:val="20"/>
                <w:szCs w:val="20"/>
                <w:color w:val="auto"/>
              </w:rPr>
            </w:pPr>
            <w:r>
              <w:rPr>
                <w:rFonts w:ascii="Arial" w:cs="Arial" w:eastAsia="Arial" w:hAnsi="Arial"/>
                <w:sz w:val="22"/>
                <w:szCs w:val="22"/>
                <w:color w:val="auto"/>
              </w:rPr>
              <w:t>EXHIBIT K</w:t>
            </w:r>
          </w:p>
        </w:tc>
        <w:tc>
          <w:tcPr>
            <w:tcW w:w="7640" w:type="dxa"/>
            <w:vAlign w:val="bottom"/>
            <w:gridSpan w:val="5"/>
          </w:tcPr>
          <w:p>
            <w:pPr>
              <w:ind w:left="80"/>
              <w:spacing w:after="0"/>
              <w:rPr>
                <w:sz w:val="20"/>
                <w:szCs w:val="20"/>
                <w:color w:val="auto"/>
              </w:rPr>
            </w:pPr>
            <w:r>
              <w:rPr>
                <w:rFonts w:ascii="Arial" w:cs="Arial" w:eastAsia="Arial" w:hAnsi="Arial"/>
                <w:sz w:val="22"/>
                <w:szCs w:val="22"/>
                <w:color w:val="auto"/>
              </w:rPr>
              <w:t>[Reserved]</w:t>
            </w:r>
          </w:p>
        </w:tc>
        <w:tc>
          <w:tcPr>
            <w:tcW w:w="1700" w:type="dxa"/>
            <w:vAlign w:val="bottom"/>
          </w:tcPr>
          <w:p>
            <w:pPr>
              <w:spacing w:after="0"/>
              <w:rPr>
                <w:sz w:val="22"/>
                <w:szCs w:val="22"/>
                <w:color w:val="auto"/>
              </w:rPr>
            </w:pPr>
          </w:p>
        </w:tc>
      </w:tr>
      <w:tr>
        <w:trPr>
          <w:trHeight w:val="256"/>
        </w:trPr>
        <w:tc>
          <w:tcPr>
            <w:tcW w:w="8860" w:type="dxa"/>
            <w:vAlign w:val="bottom"/>
            <w:gridSpan w:val="7"/>
          </w:tcPr>
          <w:p>
            <w:pPr>
              <w:spacing w:after="0"/>
              <w:rPr>
                <w:sz w:val="20"/>
                <w:szCs w:val="20"/>
                <w:color w:val="auto"/>
              </w:rPr>
            </w:pPr>
            <w:r>
              <w:rPr>
                <w:rFonts w:ascii="Arial" w:cs="Arial" w:eastAsia="Arial" w:hAnsi="Arial"/>
                <w:sz w:val="22"/>
                <w:szCs w:val="22"/>
                <w:color w:val="auto"/>
              </w:rPr>
              <w:t>EXHIBIT L  Forms of Contracts</w:t>
            </w:r>
          </w:p>
        </w:tc>
        <w:tc>
          <w:tcPr>
            <w:tcW w:w="1700" w:type="dxa"/>
            <w:vAlign w:val="bottom"/>
          </w:tcPr>
          <w:p>
            <w:pPr>
              <w:spacing w:after="0"/>
              <w:rPr>
                <w:sz w:val="22"/>
                <w:szCs w:val="22"/>
                <w:color w:val="auto"/>
              </w:rPr>
            </w:pPr>
          </w:p>
        </w:tc>
      </w:tr>
      <w:tr>
        <w:trPr>
          <w:trHeight w:val="256"/>
        </w:trPr>
        <w:tc>
          <w:tcPr>
            <w:tcW w:w="1220" w:type="dxa"/>
            <w:vAlign w:val="bottom"/>
            <w:gridSpan w:val="2"/>
          </w:tcPr>
          <w:p>
            <w:pPr>
              <w:spacing w:after="0"/>
              <w:rPr>
                <w:sz w:val="20"/>
                <w:szCs w:val="20"/>
                <w:color w:val="auto"/>
              </w:rPr>
            </w:pPr>
            <w:r>
              <w:rPr>
                <w:rFonts w:ascii="Arial" w:cs="Arial" w:eastAsia="Arial" w:hAnsi="Arial"/>
                <w:sz w:val="22"/>
                <w:szCs w:val="22"/>
                <w:color w:val="auto"/>
              </w:rPr>
              <w:t>EXHIBIT M</w:t>
            </w:r>
          </w:p>
        </w:tc>
        <w:tc>
          <w:tcPr>
            <w:tcW w:w="100" w:type="dxa"/>
            <w:vAlign w:val="bottom"/>
          </w:tcPr>
          <w:p>
            <w:pPr>
              <w:spacing w:after="0"/>
              <w:rPr>
                <w:sz w:val="22"/>
                <w:szCs w:val="22"/>
                <w:color w:val="auto"/>
              </w:rPr>
            </w:pPr>
          </w:p>
        </w:tc>
        <w:tc>
          <w:tcPr>
            <w:tcW w:w="7540" w:type="dxa"/>
            <w:vAlign w:val="bottom"/>
            <w:gridSpan w:val="4"/>
          </w:tcPr>
          <w:p>
            <w:pPr>
              <w:ind w:left="20"/>
              <w:spacing w:after="0"/>
              <w:rPr>
                <w:sz w:val="20"/>
                <w:szCs w:val="20"/>
                <w:color w:val="auto"/>
              </w:rPr>
            </w:pPr>
            <w:r>
              <w:rPr>
                <w:rFonts w:ascii="Arial" w:cs="Arial" w:eastAsia="Arial" w:hAnsi="Arial"/>
                <w:sz w:val="22"/>
                <w:szCs w:val="22"/>
                <w:color w:val="auto"/>
              </w:rPr>
              <w:t>[Reserved]</w:t>
            </w:r>
          </w:p>
        </w:tc>
        <w:tc>
          <w:tcPr>
            <w:tcW w:w="1700" w:type="dxa"/>
            <w:vAlign w:val="bottom"/>
          </w:tcPr>
          <w:p>
            <w:pPr>
              <w:spacing w:after="0"/>
              <w:rPr>
                <w:sz w:val="22"/>
                <w:szCs w:val="22"/>
                <w:color w:val="auto"/>
              </w:rPr>
            </w:pPr>
          </w:p>
        </w:tc>
      </w:tr>
      <w:tr>
        <w:trPr>
          <w:trHeight w:val="274"/>
        </w:trPr>
        <w:tc>
          <w:tcPr>
            <w:tcW w:w="1220" w:type="dxa"/>
            <w:vAlign w:val="bottom"/>
            <w:gridSpan w:val="2"/>
          </w:tcPr>
          <w:p>
            <w:pPr>
              <w:spacing w:after="0"/>
              <w:rPr>
                <w:sz w:val="20"/>
                <w:szCs w:val="20"/>
                <w:color w:val="auto"/>
              </w:rPr>
            </w:pPr>
            <w:r>
              <w:rPr>
                <w:rFonts w:ascii="Arial" w:cs="Arial" w:eastAsia="Arial" w:hAnsi="Arial"/>
                <w:sz w:val="22"/>
                <w:szCs w:val="22"/>
                <w:color w:val="auto"/>
              </w:rPr>
              <w:t>EXHIBIT N</w:t>
            </w:r>
          </w:p>
        </w:tc>
        <w:tc>
          <w:tcPr>
            <w:tcW w:w="7640" w:type="dxa"/>
            <w:vAlign w:val="bottom"/>
            <w:gridSpan w:val="5"/>
          </w:tcPr>
          <w:p>
            <w:pPr>
              <w:ind w:left="80"/>
              <w:spacing w:after="0"/>
              <w:rPr>
                <w:sz w:val="20"/>
                <w:szCs w:val="20"/>
                <w:color w:val="auto"/>
              </w:rPr>
            </w:pPr>
            <w:r>
              <w:rPr>
                <w:rFonts w:ascii="Arial" w:cs="Arial" w:eastAsia="Arial" w:hAnsi="Arial"/>
                <w:sz w:val="22"/>
                <w:szCs w:val="22"/>
                <w:color w:val="auto"/>
              </w:rPr>
              <w:t>[Reserved]</w:t>
            </w:r>
          </w:p>
        </w:tc>
        <w:tc>
          <w:tcPr>
            <w:tcW w:w="1700" w:type="dxa"/>
            <w:vAlign w:val="bottom"/>
          </w:tcPr>
          <w:p>
            <w:pPr>
              <w:spacing w:after="0"/>
              <w:rPr>
                <w:sz w:val="23"/>
                <w:szCs w:val="23"/>
                <w:color w:val="auto"/>
              </w:rPr>
            </w:pPr>
          </w:p>
        </w:tc>
      </w:tr>
    </w:tbl>
    <w:p>
      <w:pPr>
        <w:spacing w:after="0"/>
        <w:tabs>
          <w:tab w:leader="none" w:pos="1280" w:val="left"/>
        </w:tabs>
        <w:rPr>
          <w:sz w:val="20"/>
          <w:szCs w:val="20"/>
          <w:color w:val="auto"/>
        </w:rPr>
      </w:pPr>
      <w:r>
        <w:rPr>
          <w:rFonts w:ascii="Arial" w:cs="Arial" w:eastAsia="Arial" w:hAnsi="Arial"/>
          <w:sz w:val="22"/>
          <w:szCs w:val="22"/>
          <w:color w:val="auto"/>
        </w:rPr>
        <w:t>EXHIBIT O</w:t>
      </w:r>
      <w:r>
        <w:rPr>
          <w:sz w:val="20"/>
          <w:szCs w:val="20"/>
          <w:color w:val="auto"/>
        </w:rPr>
        <w:tab/>
      </w:r>
      <w:r>
        <w:rPr>
          <w:rFonts w:ascii="Arial" w:cs="Arial" w:eastAsia="Arial" w:hAnsi="Arial"/>
          <w:sz w:val="19"/>
          <w:szCs w:val="19"/>
          <w:color w:val="auto"/>
        </w:rPr>
        <w:t>Form of Backup Servicing Agreement</w:t>
      </w:r>
    </w:p>
    <w:p>
      <w:pPr>
        <w:spacing w:after="0" w:line="4"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color w:val="auto"/>
        </w:rPr>
        <w:t>EXHIBIT P</w:t>
      </w:r>
      <w:r>
        <w:rPr>
          <w:sz w:val="20"/>
          <w:szCs w:val="20"/>
          <w:color w:val="auto"/>
        </w:rPr>
        <w:tab/>
      </w:r>
      <w:r>
        <w:rPr>
          <w:rFonts w:ascii="Arial" w:cs="Arial" w:eastAsia="Arial" w:hAnsi="Arial"/>
          <w:sz w:val="19"/>
          <w:szCs w:val="19"/>
          <w:color w:val="auto"/>
        </w:rPr>
        <w:t>Form of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1983350-NYCSR03A - MSW</w:t>
      </w:r>
    </w:p>
    <w:p>
      <w:pPr>
        <w:sectPr>
          <w:pgSz w:w="11900" w:h="16838" w:orient="portrait"/>
          <w:cols w:equalWidth="0" w:num="1">
            <w:col w:w="11240"/>
          </w:cols>
          <w:pgMar w:left="320" w:top="126"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SCHEDULES</w:t>
      </w:r>
    </w:p>
    <w:p>
      <w:pPr>
        <w:spacing w:after="0" w:line="22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color w:val="auto"/>
        </w:rPr>
        <w:t>SCHEDULE I</w:t>
      </w:r>
      <w:r>
        <w:rPr>
          <w:sz w:val="20"/>
          <w:szCs w:val="20"/>
          <w:color w:val="auto"/>
        </w:rPr>
        <w:tab/>
      </w:r>
      <w:r>
        <w:rPr>
          <w:rFonts w:ascii="Arial" w:cs="Arial" w:eastAsia="Arial" w:hAnsi="Arial"/>
          <w:sz w:val="19"/>
          <w:szCs w:val="19"/>
          <w:color w:val="auto"/>
        </w:rPr>
        <w:t>[Reserved]</w:t>
      </w: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SCHEDULE II</w:t>
      </w:r>
      <w:r>
        <w:rPr>
          <w:sz w:val="20"/>
          <w:szCs w:val="20"/>
          <w:color w:val="auto"/>
        </w:rPr>
        <w:tab/>
      </w:r>
      <w:r>
        <w:rPr>
          <w:rFonts w:ascii="Arial" w:cs="Arial" w:eastAsia="Arial" w:hAnsi="Arial"/>
          <w:sz w:val="19"/>
          <w:szCs w:val="19"/>
          <w:color w:val="auto"/>
        </w:rPr>
        <w:t>Credit Guidelines</w:t>
      </w:r>
    </w:p>
    <w:p>
      <w:pPr>
        <w:spacing w:after="0" w:line="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SCHEDULE III</w:t>
      </w:r>
      <w:r>
        <w:rPr>
          <w:sz w:val="20"/>
          <w:szCs w:val="20"/>
          <w:color w:val="auto"/>
        </w:rPr>
        <w:tab/>
      </w:r>
      <w:r>
        <w:rPr>
          <w:rFonts w:ascii="Arial" w:cs="Arial" w:eastAsia="Arial" w:hAnsi="Arial"/>
          <w:sz w:val="19"/>
          <w:szCs w:val="19"/>
          <w:color w:val="auto"/>
        </w:rPr>
        <w:t>Tradenames, Fictitious Names and “Doing Business As” Names</w:t>
      </w:r>
    </w:p>
    <w:p>
      <w:pPr>
        <w:spacing w:after="0" w:line="4"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color w:val="auto"/>
        </w:rPr>
        <w:t>SCHEDULE IV</w:t>
      </w:r>
      <w:r>
        <w:rPr>
          <w:sz w:val="20"/>
          <w:szCs w:val="20"/>
          <w:color w:val="auto"/>
        </w:rPr>
        <w:tab/>
      </w:r>
      <w:r>
        <w:rPr>
          <w:rFonts w:ascii="Arial" w:cs="Arial" w:eastAsia="Arial" w:hAnsi="Arial"/>
          <w:sz w:val="19"/>
          <w:szCs w:val="19"/>
          <w:color w:val="auto"/>
        </w:rPr>
        <w:t>Location of Records and Contract Files</w:t>
      </w:r>
    </w:p>
    <w:p>
      <w:pPr>
        <w:spacing w:after="0" w:line="4"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SCHEDULE V</w:t>
      </w:r>
      <w:r>
        <w:rPr>
          <w:sz w:val="20"/>
          <w:szCs w:val="20"/>
          <w:color w:val="auto"/>
        </w:rPr>
        <w:tab/>
      </w:r>
      <w:r>
        <w:rPr>
          <w:rFonts w:ascii="Arial" w:cs="Arial" w:eastAsia="Arial" w:hAnsi="Arial"/>
          <w:sz w:val="19"/>
          <w:szCs w:val="19"/>
          <w:color w:val="auto"/>
        </w:rPr>
        <w:t>List of Loans, Contracts, Dealer Agreements and Pools</w:t>
      </w:r>
    </w:p>
    <w:p>
      <w:pPr>
        <w:spacing w:after="0" w:line="4"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color w:val="auto"/>
        </w:rPr>
        <w:t>SCHEDULE VI</w:t>
      </w:r>
      <w:r>
        <w:rPr>
          <w:sz w:val="20"/>
          <w:szCs w:val="20"/>
          <w:color w:val="auto"/>
        </w:rPr>
        <w:tab/>
      </w:r>
      <w:r>
        <w:rPr>
          <w:rFonts w:ascii="Arial" w:cs="Arial" w:eastAsia="Arial" w:hAnsi="Arial"/>
          <w:sz w:val="19"/>
          <w:szCs w:val="19"/>
          <w:color w:val="auto"/>
        </w:rPr>
        <w:t>[Reserved]</w:t>
      </w:r>
    </w:p>
    <w:p>
      <w:pPr>
        <w:spacing w:after="0" w:line="4"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color w:val="auto"/>
        </w:rPr>
        <w:t>SCHEDULE VII</w:t>
      </w:r>
      <w:r>
        <w:rPr>
          <w:sz w:val="20"/>
          <w:szCs w:val="20"/>
          <w:color w:val="auto"/>
        </w:rPr>
        <w:tab/>
      </w:r>
      <w:r>
        <w:rPr>
          <w:rFonts w:ascii="Arial" w:cs="Arial" w:eastAsia="Arial" w:hAnsi="Arial"/>
          <w:sz w:val="19"/>
          <w:szCs w:val="19"/>
          <w:color w:val="auto"/>
        </w:rPr>
        <w:t>Forecasted Collections</w:t>
      </w:r>
    </w:p>
    <w:p>
      <w:pPr>
        <w:spacing w:after="0" w:line="4"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SCHEDULE VIII</w:t>
      </w:r>
      <w:r>
        <w:rPr>
          <w:sz w:val="20"/>
          <w:szCs w:val="20"/>
          <w:color w:val="auto"/>
        </w:rPr>
        <w:tab/>
      </w:r>
      <w:r>
        <w:rPr>
          <w:rFonts w:ascii="Arial" w:cs="Arial" w:eastAsia="Arial" w:hAnsi="Arial"/>
          <w:sz w:val="19"/>
          <w:szCs w:val="19"/>
          <w:color w:val="auto"/>
        </w:rPr>
        <w:t>Commitment Amount of Each Lender</w:t>
      </w:r>
    </w:p>
    <w:p>
      <w:pPr>
        <w:spacing w:after="0" w:line="4"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color w:val="auto"/>
        </w:rPr>
        <w:t>SCHEDULE IX</w:t>
      </w:r>
      <w:r>
        <w:rPr>
          <w:sz w:val="20"/>
          <w:szCs w:val="20"/>
          <w:color w:val="auto"/>
        </w:rPr>
        <w:tab/>
      </w:r>
      <w:r>
        <w:rPr>
          <w:rFonts w:ascii="Arial" w:cs="Arial" w:eastAsia="Arial" w:hAnsi="Arial"/>
          <w:sz w:val="19"/>
          <w:szCs w:val="19"/>
          <w:color w:val="auto"/>
        </w:rPr>
        <w:t>[Reserved]</w:t>
      </w:r>
    </w:p>
    <w:p>
      <w:pPr>
        <w:spacing w:after="0" w:line="4"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color w:val="auto"/>
        </w:rPr>
        <w:t>SCHEDULE X</w:t>
      </w:r>
      <w:r>
        <w:rPr>
          <w:sz w:val="20"/>
          <w:szCs w:val="20"/>
          <w:color w:val="auto"/>
        </w:rPr>
        <w:tab/>
      </w:r>
      <w:r>
        <w:rPr>
          <w:rFonts w:ascii="Arial" w:cs="Arial" w:eastAsia="Arial" w:hAnsi="Arial"/>
          <w:sz w:val="19"/>
          <w:szCs w:val="19"/>
          <w:color w:val="auto"/>
        </w:rPr>
        <w:t>Condition Precedent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26"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22"/>
          <w:szCs w:val="22"/>
          <w:color w:val="auto"/>
        </w:rPr>
        <w:t>THIS LOAN AND SECURITY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January 29, 2021 among:</w:t>
      </w:r>
    </w:p>
    <w:p>
      <w:pPr>
        <w:spacing w:after="0" w:line="220"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1"/>
          <w:szCs w:val="21"/>
          <w:color w:val="auto"/>
        </w:rPr>
      </w:pPr>
      <w:r>
        <w:rPr>
          <w:rFonts w:ascii="Arial" w:cs="Arial" w:eastAsia="Arial" w:hAnsi="Arial"/>
          <w:sz w:val="21"/>
          <w:szCs w:val="21"/>
          <w:color w:val="auto"/>
        </w:rPr>
        <w:t>CREDIT ACCEPTANCE FUNDING LLC 2021-1, a Delaware 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firstLine="656"/>
        <w:spacing w:after="0" w:line="263" w:lineRule="auto"/>
        <w:tabs>
          <w:tab w:leader="none" w:pos="1291" w:val="left"/>
        </w:tabs>
        <w:numPr>
          <w:ilvl w:val="0"/>
          <w:numId w:val="4"/>
        </w:numPr>
        <w:rPr>
          <w:rFonts w:ascii="Arial" w:cs="Arial" w:eastAsia="Arial" w:hAnsi="Arial"/>
          <w:sz w:val="22"/>
          <w:szCs w:val="22"/>
          <w:color w:val="auto"/>
        </w:rPr>
      </w:pPr>
      <w:r>
        <w:rPr>
          <w:rFonts w:ascii="Arial" w:cs="Arial" w:eastAsia="Arial" w:hAnsi="Arial"/>
          <w:sz w:val="22"/>
          <w:szCs w:val="22"/>
          <w:color w:val="auto"/>
        </w:rPr>
        <w:t>CREDIT ACCEPTANCE CORPORATION, a Michigan corporation (“</w:t>
      </w:r>
      <w:r>
        <w:rPr>
          <w:rFonts w:ascii="Arial" w:cs="Arial" w:eastAsia="Arial" w:hAnsi="Arial"/>
          <w:sz w:val="22"/>
          <w:szCs w:val="22"/>
          <w:u w:val="single" w:color="auto"/>
          <w:color w:val="auto"/>
        </w:rPr>
        <w:t>Credit Acceptance</w:t>
      </w:r>
      <w:r>
        <w:rPr>
          <w:rFonts w:ascii="Arial" w:cs="Arial" w:eastAsia="Arial" w:hAnsi="Arial"/>
          <w:sz w:val="22"/>
          <w:szCs w:val="22"/>
          <w:color w:val="auto"/>
        </w:rPr>
        <w:t>”, the “</w:t>
      </w:r>
      <w:r>
        <w:rPr>
          <w:rFonts w:ascii="Arial" w:cs="Arial" w:eastAsia="Arial" w:hAnsi="Arial"/>
          <w:sz w:val="22"/>
          <w:szCs w:val="22"/>
          <w:u w:val="single" w:color="auto"/>
          <w:color w:val="auto"/>
        </w:rPr>
        <w:t>Originator</w:t>
      </w:r>
      <w:r>
        <w:rPr>
          <w:rFonts w:ascii="Arial" w:cs="Arial" w:eastAsia="Arial" w:hAnsi="Arial"/>
          <w:sz w:val="22"/>
          <w:szCs w:val="22"/>
          <w:color w:val="auto"/>
        </w:rPr>
        <w:t>”, the “</w:t>
      </w:r>
      <w:r>
        <w:rPr>
          <w:rFonts w:ascii="Arial" w:cs="Arial" w:eastAsia="Arial" w:hAnsi="Arial"/>
          <w:sz w:val="22"/>
          <w:szCs w:val="22"/>
          <w:u w:val="single" w:color="auto"/>
          <w:color w:val="auto"/>
        </w:rPr>
        <w:t>Servicer</w:t>
      </w:r>
      <w:r>
        <w:rPr>
          <w:rFonts w:ascii="Arial" w:cs="Arial" w:eastAsia="Arial" w:hAnsi="Arial"/>
          <w:sz w:val="22"/>
          <w:szCs w:val="22"/>
          <w:color w:val="auto"/>
        </w:rPr>
        <w:t>” or the “</w:t>
      </w:r>
      <w:r>
        <w:rPr>
          <w:rFonts w:ascii="Arial" w:cs="Arial" w:eastAsia="Arial" w:hAnsi="Arial"/>
          <w:sz w:val="22"/>
          <w:szCs w:val="22"/>
          <w:u w:val="single" w:color="auto"/>
          <w:color w:val="auto"/>
        </w:rPr>
        <w:t>Custodian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4"/>
        </w:numPr>
        <w:rPr>
          <w:rFonts w:ascii="Arial" w:cs="Arial" w:eastAsia="Arial" w:hAnsi="Arial"/>
          <w:sz w:val="22"/>
          <w:szCs w:val="22"/>
          <w:color w:val="auto"/>
        </w:rPr>
      </w:pPr>
      <w:r>
        <w:rPr>
          <w:rFonts w:ascii="Arial" w:cs="Arial" w:eastAsia="Arial" w:hAnsi="Arial"/>
          <w:sz w:val="22"/>
          <w:szCs w:val="22"/>
          <w:color w:val="auto"/>
        </w:rPr>
        <w:t>FIFTH THIRD BANK, NATIONAL ASSOCIATION, as a Lender (“</w:t>
      </w:r>
      <w:r>
        <w:rPr>
          <w:rFonts w:ascii="Arial" w:cs="Arial" w:eastAsia="Arial" w:hAnsi="Arial"/>
          <w:sz w:val="22"/>
          <w:szCs w:val="22"/>
          <w:u w:val="single" w:color="auto"/>
          <w:color w:val="auto"/>
        </w:rPr>
        <w:t>Fifth Third</w:t>
      </w:r>
      <w:r>
        <w:rPr>
          <w:rFonts w:ascii="Arial" w:cs="Arial" w:eastAsia="Arial" w:hAnsi="Arial"/>
          <w:sz w:val="22"/>
          <w:szCs w:val="22"/>
          <w:color w:val="auto"/>
        </w:rPr>
        <w:t>” or a “</w:t>
      </w:r>
      <w:r>
        <w:rPr>
          <w:rFonts w:ascii="Arial" w:cs="Arial" w:eastAsia="Arial" w:hAnsi="Arial"/>
          <w:sz w:val="22"/>
          <w:szCs w:val="22"/>
          <w:u w:val="single" w:color="auto"/>
          <w:color w:val="auto"/>
        </w:rPr>
        <w:t>Lender</w:t>
      </w:r>
      <w:r>
        <w:rPr>
          <w:rFonts w:ascii="Arial" w:cs="Arial" w:eastAsia="Arial" w:hAnsi="Arial"/>
          <w:sz w:val="22"/>
          <w:szCs w:val="22"/>
          <w:color w:val="auto"/>
        </w:rPr>
        <w:t>” and together with the other lenders from time to time party hereto, the “</w:t>
      </w: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FIFTH THIRD BANK, NATIONAL ASSOCIATION, as deal agent (the “</w:t>
      </w:r>
      <w:r>
        <w:rPr>
          <w:rFonts w:ascii="Arial" w:cs="Arial" w:eastAsia="Arial" w:hAnsi="Arial"/>
          <w:sz w:val="22"/>
          <w:szCs w:val="22"/>
          <w:u w:val="single" w:color="auto"/>
          <w:color w:val="auto"/>
        </w:rPr>
        <w:t>Deal Agent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656"/>
        <w:spacing w:after="0" w:line="263" w:lineRule="auto"/>
        <w:tabs>
          <w:tab w:leader="none" w:pos="1291" w:val="left"/>
        </w:tabs>
        <w:numPr>
          <w:ilvl w:val="0"/>
          <w:numId w:val="4"/>
        </w:numPr>
        <w:rPr>
          <w:rFonts w:ascii="Arial" w:cs="Arial" w:eastAsia="Arial" w:hAnsi="Arial"/>
          <w:sz w:val="22"/>
          <w:szCs w:val="22"/>
          <w:color w:val="auto"/>
        </w:rPr>
      </w:pPr>
      <w:r>
        <w:rPr>
          <w:rFonts w:ascii="Arial" w:cs="Arial" w:eastAsia="Arial" w:hAnsi="Arial"/>
          <w:sz w:val="22"/>
          <w:szCs w:val="22"/>
          <w:color w:val="auto"/>
        </w:rPr>
        <w:t>FIFTH THIRD BANK, NATIONAL ASSOCIATION, a national banking association, as collateral agent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4"/>
        </w:numPr>
        <w:rPr>
          <w:rFonts w:ascii="Arial" w:cs="Arial" w:eastAsia="Arial" w:hAnsi="Arial"/>
          <w:sz w:val="22"/>
          <w:szCs w:val="22"/>
          <w:color w:val="auto"/>
        </w:rPr>
      </w:pPr>
      <w:r>
        <w:rPr>
          <w:rFonts w:ascii="Arial" w:cs="Arial" w:eastAsia="Arial" w:hAnsi="Arial"/>
          <w:sz w:val="22"/>
          <w:szCs w:val="22"/>
          <w:color w:val="auto"/>
        </w:rPr>
        <w:t>SYSTEMS &amp; SERVICES TECHNOLOGIES, INC., a Delaware corporation (“</w:t>
      </w:r>
      <w:r>
        <w:rPr>
          <w:rFonts w:ascii="Arial" w:cs="Arial" w:eastAsia="Arial" w:hAnsi="Arial"/>
          <w:sz w:val="22"/>
          <w:szCs w:val="22"/>
          <w:u w:val="single" w:color="auto"/>
          <w:color w:val="auto"/>
        </w:rPr>
        <w:t>SST</w:t>
      </w:r>
      <w:r>
        <w:rPr>
          <w:rFonts w:ascii="Arial" w:cs="Arial" w:eastAsia="Arial" w:hAnsi="Arial"/>
          <w:sz w:val="22"/>
          <w:szCs w:val="22"/>
          <w:color w:val="auto"/>
        </w:rPr>
        <w:t>”), as backup servicer (the “</w:t>
      </w:r>
      <w:r>
        <w:rPr>
          <w:rFonts w:ascii="Arial" w:cs="Arial" w:eastAsia="Arial" w:hAnsi="Arial"/>
          <w:sz w:val="22"/>
          <w:szCs w:val="22"/>
          <w:u w:val="single" w:color="auto"/>
          <w:color w:val="auto"/>
        </w:rPr>
        <w:t>Backup Servicer</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Borrower was formed for the purpose of taking assignments of, and holding, various assets, including loans to dealers and motor vehicle finance contracts, amounts received on or in respect of such finance contracts and proceeds of the foregoing;</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Borrower has requested that the Lenders make loans to the Borrower on the Closing Date, the proceeds of which will be used to finance the purchase price of certain dealer loans and motor vehicle finance contracts as described herein; and</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Lenders have agreed to make such loans to the Borrower upon the terms and subject to the conditions set forth herein;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for other good and valuable consideration, the receipt and sufficiency of which are hereby acknowledged, the parties hereto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Certain Defined Terms</w:t>
      </w:r>
    </w:p>
    <w:p>
      <w:pPr>
        <w:spacing w:after="0" w:line="202" w:lineRule="exact"/>
        <w:rPr>
          <w:sz w:val="20"/>
          <w:szCs w:val="20"/>
          <w:color w:val="auto"/>
        </w:rPr>
      </w:pPr>
    </w:p>
    <w:p>
      <w:pPr>
        <w:ind w:left="1940" w:hanging="636"/>
        <w:spacing w:after="0"/>
        <w:tabs>
          <w:tab w:leader="none" w:pos="1940" w:val="left"/>
        </w:tabs>
        <w:numPr>
          <w:ilvl w:val="0"/>
          <w:numId w:val="5"/>
        </w:numPr>
        <w:rPr>
          <w:rFonts w:ascii="Arial" w:cs="Arial" w:eastAsia="Arial" w:hAnsi="Arial"/>
          <w:sz w:val="21"/>
          <w:szCs w:val="21"/>
          <w:color w:val="auto"/>
        </w:rPr>
      </w:pPr>
      <w:r>
        <w:rPr>
          <w:rFonts w:ascii="Arial" w:cs="Arial" w:eastAsia="Arial" w:hAnsi="Arial"/>
          <w:sz w:val="21"/>
          <w:szCs w:val="21"/>
          <w:color w:val="auto"/>
        </w:rPr>
        <w:t xml:space="preserve">Certain capitalized terms used throughout this Agreement are defined above or in this </w:t>
      </w:r>
      <w:r>
        <w:rPr>
          <w:rFonts w:ascii="Arial" w:cs="Arial" w:eastAsia="Arial" w:hAnsi="Arial"/>
          <w:sz w:val="21"/>
          <w:szCs w:val="21"/>
          <w:u w:val="single" w:color="auto"/>
          <w:color w:val="auto"/>
        </w:rPr>
        <w:t>Section 1.1</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right="20" w:firstLine="1304"/>
        <w:spacing w:after="0" w:line="263" w:lineRule="auto"/>
        <w:tabs>
          <w:tab w:leader="none" w:pos="1939" w:val="left"/>
        </w:tabs>
        <w:numPr>
          <w:ilvl w:val="0"/>
          <w:numId w:val="5"/>
        </w:numPr>
        <w:rPr>
          <w:rFonts w:ascii="Arial" w:cs="Arial" w:eastAsia="Arial" w:hAnsi="Arial"/>
          <w:sz w:val="22"/>
          <w:szCs w:val="22"/>
          <w:color w:val="auto"/>
        </w:rPr>
      </w:pPr>
      <w:r>
        <w:rPr>
          <w:rFonts w:ascii="Arial" w:cs="Arial" w:eastAsia="Arial" w:hAnsi="Arial"/>
          <w:sz w:val="22"/>
          <w:szCs w:val="22"/>
          <w:color w:val="auto"/>
        </w:rPr>
        <w:t>As used in this Agreement and its schedules, exhibits and other attachments, unless the context requires a different meaning, the following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 w:name="page12"/>
    <w:bookmarkEnd w:id="11"/>
    <w:p>
      <w:pPr>
        <w:jc w:val="both"/>
        <w:ind w:firstLine="972"/>
        <w:spacing w:after="0" w:line="223" w:lineRule="auto"/>
        <w:rPr>
          <w:sz w:val="20"/>
          <w:szCs w:val="20"/>
          <w:color w:val="auto"/>
        </w:rPr>
      </w:pPr>
      <w:r>
        <w:rPr>
          <w:rFonts w:ascii="Arial" w:cs="Arial" w:eastAsia="Arial" w:hAnsi="Arial"/>
          <w:sz w:val="22"/>
          <w:szCs w:val="22"/>
          <w:u w:val="single" w:color="auto"/>
          <w:color w:val="auto"/>
        </w:rPr>
        <w:t>Accrual Period</w:t>
      </w:r>
      <w:r>
        <w:rPr>
          <w:rFonts w:ascii="Arial" w:cs="Arial" w:eastAsia="Arial" w:hAnsi="Arial"/>
          <w:sz w:val="22"/>
          <w:szCs w:val="22"/>
          <w:color w:val="auto"/>
        </w:rPr>
        <w:t>: For any Payment Date, the period from and including the fifteenth (15</w:t>
      </w:r>
      <w:r>
        <w:rPr>
          <w:rFonts w:ascii="Arial" w:cs="Arial" w:eastAsia="Arial" w:hAnsi="Arial"/>
          <w:sz w:val="28"/>
          <w:szCs w:val="28"/>
          <w:color w:val="auto"/>
          <w:vertAlign w:val="superscript"/>
        </w:rPr>
        <w:t>th</w:t>
      </w:r>
      <w:r>
        <w:rPr>
          <w:rFonts w:ascii="Arial" w:cs="Arial" w:eastAsia="Arial" w:hAnsi="Arial"/>
          <w:sz w:val="22"/>
          <w:szCs w:val="22"/>
          <w:color w:val="auto"/>
        </w:rPr>
        <w:t>) calendar day of the prior calendar month—or, in the case of the first Payment Date, from and including the Closing Date—to but excluding the fifteenth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calendar day of the current calendar month;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Accrual Period that commences before the Final Scheduled Payment Date that would otherwise end after the Final Scheduled Payment Date shall end on the Final Scheduled Payment Date.</w:t>
      </w:r>
    </w:p>
    <w:p>
      <w:pPr>
        <w:spacing w:after="0" w:line="203"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Addition Date</w:t>
      </w:r>
      <w:r>
        <w:rPr>
          <w:rFonts w:ascii="Arial" w:cs="Arial" w:eastAsia="Arial" w:hAnsi="Arial"/>
          <w:sz w:val="22"/>
          <w:szCs w:val="22"/>
          <w:color w:val="auto"/>
        </w:rPr>
        <w:t>: (a) With respect to any Dealer Loan, the date on which such Dealer Loan is contributed or otherwise transferred by Credit Acceptance to the Borrower pursuant to the Contribution Agreement; and (b) with respect to any Purchased Loan, the date on which such Purchased Loan is contributed or otherwise transferred by Credit Acceptance to the Borrower pursuant to the Contribution Agreement.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Additional Amount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2.14(a)</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Additional Cut-Off Date</w:t>
      </w:r>
      <w:r>
        <w:rPr>
          <w:rFonts w:ascii="Arial" w:cs="Arial" w:eastAsia="Arial" w:hAnsi="Arial"/>
          <w:sz w:val="19"/>
          <w:szCs w:val="19"/>
          <w:color w:val="auto"/>
        </w:rPr>
        <w:t>: Each date on and after which Collections on an Additional Loan are to be transferred to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Collateral.</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Additional Loans</w:t>
      </w:r>
      <w:r>
        <w:rPr>
          <w:rFonts w:ascii="Arial" w:cs="Arial" w:eastAsia="Arial" w:hAnsi="Arial"/>
          <w:sz w:val="22"/>
          <w:szCs w:val="22"/>
          <w:color w:val="auto"/>
        </w:rPr>
        <w:t>: All Loans that become part of the Collateral after the Closing Date.</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Adjusted Collateral Amount</w:t>
      </w:r>
      <w:r>
        <w:rPr>
          <w:rFonts w:ascii="Arial" w:cs="Arial" w:eastAsia="Arial" w:hAnsi="Arial"/>
          <w:sz w:val="22"/>
          <w:szCs w:val="22"/>
          <w:color w:val="auto"/>
        </w:rPr>
        <w:t>: On any Payment Date during the Revolving Period, an amount equal to the sum of: (i) the Collateral Amount; and (ii) the amount on deposit in the Principal Collection Account.</w:t>
      </w:r>
    </w:p>
    <w:p>
      <w:pPr>
        <w:spacing w:after="0" w:line="17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Adjusted LIBOR Rate</w:t>
      </w:r>
      <w:r>
        <w:rPr>
          <w:rFonts w:ascii="Arial" w:cs="Arial" w:eastAsia="Arial" w:hAnsi="Arial"/>
          <w:sz w:val="22"/>
          <w:szCs w:val="22"/>
          <w:color w:val="auto"/>
        </w:rPr>
        <w:t>: For any Accrual Period, an interest rate per annum equal to a fraction, expressed as a percentage and rounded upwards (if necessary), to the nearest 1/100 of 1%, (i) the numerator of which is equal to the LIBOR Rate for such Accrual Period and (ii) the denominator of which is equal to 100% minus the Eurodollar Reserve Percentage for such Accrual Period.</w:t>
      </w:r>
    </w:p>
    <w:p>
      <w:pPr>
        <w:spacing w:after="0" w:line="188"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Affected Party</w:t>
      </w:r>
      <w:r>
        <w:rPr>
          <w:rFonts w:ascii="Arial" w:cs="Arial" w:eastAsia="Arial" w:hAnsi="Arial"/>
          <w:sz w:val="22"/>
          <w:szCs w:val="22"/>
          <w:color w:val="auto"/>
        </w:rPr>
        <w:t>: Each of the Lenders, any assignee or participant of any Lender, the Deal Agent, any successor to Fifth Third Bank, National Association as Deal Agent or any sub-agent of the Deal Agent.</w:t>
      </w:r>
    </w:p>
    <w:p>
      <w:pPr>
        <w:spacing w:after="0" w:line="175"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u w:val="single" w:color="auto"/>
          <w:color w:val="auto"/>
        </w:rPr>
        <w:t>Affiliate</w:t>
      </w:r>
      <w:r>
        <w:rPr>
          <w:rFonts w:ascii="Arial" w:cs="Arial" w:eastAsia="Arial" w:hAnsi="Arial"/>
          <w:sz w:val="22"/>
          <w:szCs w:val="22"/>
          <w:color w:val="auto"/>
        </w:rPr>
        <w:t>: With respect to a Person, means any other Person that, directly or indirectly, controls, is controlled by or under common control with such Person, or is a director or officer of such Person. For purposes of this definition, “control” (including the terms “controlling,” “controlled by” and “under common control with”) when used with respect to any specified Person means the possession, direct or indirect, of the power to vote 5% or more of the voting securities of such Person or to direct or cause the direction of the management or policies of such Person, whether through the ownership of voting securities, by contract or otherwise.</w:t>
      </w:r>
    </w:p>
    <w:p>
      <w:pPr>
        <w:spacing w:after="0" w:line="193"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Aggregate Outstanding Eligible Loan Balance</w:t>
      </w:r>
      <w:r>
        <w:rPr>
          <w:rFonts w:ascii="Arial" w:cs="Arial" w:eastAsia="Arial" w:hAnsi="Arial"/>
          <w:sz w:val="22"/>
          <w:szCs w:val="22"/>
          <w:color w:val="auto"/>
        </w:rPr>
        <w:t>: On any date of determination, the sum of the Outstanding Balances of all Eligible Loans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0" w:right="339" w:bottom="1440" w:gutter="0" w:footer="0" w:header="0"/>
        </w:sectPr>
      </w:pPr>
    </w:p>
    <w:bookmarkStart w:id="12" w:name="page13"/>
    <w:bookmarkEnd w:id="12"/>
    <w:p>
      <w:pPr>
        <w:jc w:val="both"/>
        <w:ind w:firstLine="972"/>
        <w:spacing w:after="0" w:line="263" w:lineRule="auto"/>
        <w:rPr>
          <w:sz w:val="20"/>
          <w:szCs w:val="20"/>
          <w:color w:val="auto"/>
        </w:rPr>
      </w:pPr>
      <w:r>
        <w:rPr>
          <w:rFonts w:ascii="Arial" w:cs="Arial" w:eastAsia="Arial" w:hAnsi="Arial"/>
          <w:sz w:val="21"/>
          <w:szCs w:val="21"/>
          <w:u w:val="single" w:color="auto"/>
          <w:color w:val="auto"/>
        </w:rPr>
        <w:t>Aggregate Unpaids</w:t>
      </w:r>
      <w:r>
        <w:rPr>
          <w:rFonts w:ascii="Arial" w:cs="Arial" w:eastAsia="Arial" w:hAnsi="Arial"/>
          <w:sz w:val="21"/>
          <w:szCs w:val="21"/>
          <w:color w:val="auto"/>
        </w:rPr>
        <w:t>: At any time, an amount, equal to the sum of all accrued and unpaid Capital, Interest, Yield, Hedge Costs, fees, indemnities and all other amounts owed by the Borrower hereunder or under any other Transaction Document or by the Borrower or any other Person under any fee letter delivered in connection with the transactions contemplated by this Agreement (whether due or accrued) and any unpaid fees, expenses and indemnities due to the Collateral Agent and to the Backup Servicer hereunder, both before and after the Assumption Date.</w:t>
      </w:r>
    </w:p>
    <w:p>
      <w:pPr>
        <w:spacing w:after="0" w:line="17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u w:val="single" w:color="auto"/>
          <w:color w:val="auto"/>
        </w:rPr>
        <w:t>Amortization Event</w:t>
      </w:r>
      <w:r>
        <w:rPr>
          <w:rFonts w:ascii="Arial" w:cs="Arial" w:eastAsia="Arial" w:hAnsi="Arial"/>
          <w:sz w:val="19"/>
          <w:szCs w:val="19"/>
          <w:color w:val="auto"/>
        </w:rPr>
        <w:t>: The occurrence of any of the following events: (i) on any Payment Date after giving effect to all purchases of Additional Loans (or the funding of any additional Dealer Loan Contracts allocated to an open pool of Dealer Loan Contracts securing a Dealer Loan) on such date, the amount on deposit in the Principal Collection Account is greater than 5.0% of the Adjusted Collateral Amount for two (2) or more Business Days; (ii) on any Payment Date after giving effect to all purchases of Additional Loans, the Adjusted Collateral Amount is less than the Minimum Collateral Amount and such deficiency continues for two (2) or more Business Days; (iii) a Reserve Advance is made, except if on the date of such Reserve Advance, the Capital is zero; (iv) cumulative Collections through the end of the related Collection Period, expressed as a percentage of the cumulative Forecasted Collections though the end of the related Collection Period, are less than 90.0% for any three (3) consecutive Collection Periods; (v) on any Payment Date, the Weighted Average Spread Rate is less than the Minimum Weighted Average Spread Rate; (vi) the Borrower fails to make a payment or deposit when required under this Agreement or within any applicable grace or cure period; or (vii) the Commitment Termination Date.</w:t>
      </w:r>
    </w:p>
    <w:p>
      <w:pPr>
        <w:spacing w:after="0" w:line="163"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u w:val="single" w:color="auto"/>
          <w:color w:val="auto"/>
        </w:rPr>
        <w:t>Amortization Period</w:t>
      </w:r>
      <w:r>
        <w:rPr>
          <w:rFonts w:ascii="Arial" w:cs="Arial" w:eastAsia="Arial" w:hAnsi="Arial"/>
          <w:sz w:val="21"/>
          <w:szCs w:val="21"/>
          <w:color w:val="auto"/>
        </w:rPr>
        <w:t>: With respect to each Lender, the period beginning on the earlier of: (i) the occurrence of an Amortization Event and (ii) the occurrence or declaration of the Termination Date, and ending on the Collection Date.</w:t>
      </w:r>
    </w:p>
    <w:p>
      <w:pPr>
        <w:spacing w:after="0" w:line="15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Anti-Corruption Laws</w:t>
      </w:r>
      <w:r>
        <w:rPr>
          <w:rFonts w:ascii="Arial" w:cs="Arial" w:eastAsia="Arial" w:hAnsi="Arial"/>
          <w:sz w:val="22"/>
          <w:szCs w:val="22"/>
          <w:color w:val="auto"/>
        </w:rPr>
        <w:t>: (a) The U.S. Foreign Corrupt Practices Act of 1977, as amended; (b) the U.K. Bribery Act 2010, as amended; and (c) any other anti-bribery or anti-corruption laws, regulations or ordinances in any jurisdiction in which the Borrower or any member of the Borrowing Group is located or doing business.</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Anti-Money Laundering Laws</w:t>
      </w:r>
      <w:r>
        <w:rPr>
          <w:rFonts w:ascii="Arial" w:cs="Arial" w:eastAsia="Arial" w:hAnsi="Arial"/>
          <w:sz w:val="22"/>
          <w:szCs w:val="22"/>
          <w:color w:val="auto"/>
        </w:rPr>
        <w:t>: The applicable laws or regulations in any jurisdiction in which the Borrower or any member of the Borrowing Group is located or doing business that relates to money laundering, any predicate crime to money laundering, or any financial record keeping and reporting requirements related thereto.</w:t>
      </w:r>
    </w:p>
    <w:p>
      <w:pPr>
        <w:spacing w:after="0" w:line="185"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For any Person, all existing and future applicable laws, rules, regulations (including proposed, temporary and final income tax regulations), statutes, treaties, codes, ordinances, permits, certificates, orders and licenses of and interpretations by any Governmental Authority (including, without limitation, usury laws, the Federal Truth in Lending Act, and Regulation Z and Regulation B of the Board of Governors of the Federal Reserve System), and applicable judgments, decrees, injunctions, writs, orders, or action of any court, arbitrator or other administrative, judicial, or quasi-judicial tribunal or agency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3" w:name="page14"/>
    <w:bookmarkEnd w:id="13"/>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An assignment and acceptance entered into by a Lender and an assignee, and accepted by the Deal Agent, in substantially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Assumption Date</w:t>
      </w:r>
      <w:r>
        <w:rPr>
          <w:rFonts w:ascii="Arial" w:cs="Arial" w:eastAsia="Arial" w:hAnsi="Arial"/>
          <w:sz w:val="22"/>
          <w:szCs w:val="22"/>
          <w:color w:val="auto"/>
        </w:rPr>
        <w:t>: Defined in the Backup Servicing Agreement.</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1"/>
          <w:szCs w:val="21"/>
          <w:u w:val="single" w:color="auto"/>
          <w:color w:val="auto"/>
        </w:rPr>
        <w:t>Authoritative Electronic Copy</w:t>
      </w:r>
      <w:r>
        <w:rPr>
          <w:rFonts w:ascii="Arial" w:cs="Arial" w:eastAsia="Arial" w:hAnsi="Arial"/>
          <w:sz w:val="21"/>
          <w:szCs w:val="21"/>
          <w:color w:val="auto"/>
        </w:rPr>
        <w:t>: With respect to any Contract stored in an electronic medium, the single electronic “authoritative copy” (within the meaning of Section 9-105 of the UCC) of such Contract (i) that constitutes the single authoritative copy of the record or records comprising the related chattel paper which is unique, identifiable and, except as otherwise provided in clauses (iv), (v) and (vi) below, unalterable, (ii) that identifies Credit Acceptance as the sole assignee thereof, (iii) that is communicated to and maintained by Credit Acceptance, (iv) copies or revisions to which that add or change an identified assignee thereof can only be made with the participation of Credit Acceptance, (v) for which any copy thereof is readily identifiable as a copy that is not the authoritative copy and (vi) for which any revision of the authoritative copy is readily identifiable as an authorized or unauthorized revision.</w:t>
      </w:r>
    </w:p>
    <w:p>
      <w:pPr>
        <w:spacing w:after="0" w:line="183"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1"/>
          <w:szCs w:val="21"/>
          <w:u w:val="single" w:color="auto"/>
          <w:color w:val="auto"/>
        </w:rPr>
        <w:t>Available Funds</w:t>
      </w:r>
      <w:r>
        <w:rPr>
          <w:rFonts w:ascii="Arial" w:cs="Arial" w:eastAsia="Arial" w:hAnsi="Arial"/>
          <w:sz w:val="21"/>
          <w:szCs w:val="21"/>
          <w:color w:val="auto"/>
        </w:rPr>
        <w:t xml:space="preserve">: With respect to any Payment Date: (i) all amounts deposited in the Collection Account and Principal Collection Account during the Collection Period (other than Dealer Collections and Repossession Expenses) that ended on the last day of the calendar month immediately preceding the calendar month in which such Payment Date occurs and investment earnings thereon; (ii) all Reserve Advances (which shall be applied in accordance with </w:t>
      </w:r>
      <w:r>
        <w:rPr>
          <w:rFonts w:ascii="Arial" w:cs="Arial" w:eastAsia="Arial" w:hAnsi="Arial"/>
          <w:sz w:val="21"/>
          <w:szCs w:val="21"/>
          <w:u w:val="single" w:color="auto"/>
          <w:color w:val="auto"/>
        </w:rPr>
        <w:t>Section 2.7(b)</w:t>
      </w:r>
      <w:r>
        <w:rPr>
          <w:rFonts w:ascii="Arial" w:cs="Arial" w:eastAsia="Arial" w:hAnsi="Arial"/>
          <w:sz w:val="21"/>
          <w:szCs w:val="21"/>
          <w:color w:val="auto"/>
        </w:rPr>
        <w:t xml:space="preserve"> hereof); (iii) all amounts paid by the Borrower pursuant to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hereof with respect to the prior Collection Period in respect of Ineligible Loans; (iv) all amounts paid under any Dealer Agreement; and (v) any other funds on deposit in the Collection Account on such date (other than Dealer Collections and Repossession Expenses).</w:t>
      </w:r>
    </w:p>
    <w:p>
      <w:pPr>
        <w:spacing w:after="0" w:line="18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Backup Servicer</w:t>
      </w:r>
      <w:r>
        <w:rPr>
          <w:rFonts w:ascii="Arial" w:cs="Arial" w:eastAsia="Arial" w:hAnsi="Arial"/>
          <w:sz w:val="22"/>
          <w:szCs w:val="22"/>
          <w:color w:val="auto"/>
        </w:rPr>
        <w:t>: SST or any Person designated as a successor backup servicer following SST's removal or resignation as Backup Servicer pursuant to the terms of the Backup Servicing Agreement.</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Backup Servicing Agreement</w:t>
      </w:r>
      <w:r>
        <w:rPr>
          <w:rFonts w:ascii="Arial" w:cs="Arial" w:eastAsia="Arial" w:hAnsi="Arial"/>
          <w:sz w:val="22"/>
          <w:szCs w:val="22"/>
          <w:color w:val="auto"/>
        </w:rPr>
        <w:t>: The Backup Servicing Agreement, dated as of January 29, 2021, among the Backup Servicer, the Servicer, the Deal Agent, the Collateral Agent and the Borrower, as the same may be amended, restated, supplemented or otherwise modified from time to time.</w:t>
      </w:r>
    </w:p>
    <w:p>
      <w:pPr>
        <w:spacing w:after="0" w:line="18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Backup Servicing Fee</w:t>
      </w:r>
      <w:r>
        <w:rPr>
          <w:rFonts w:ascii="Arial" w:cs="Arial" w:eastAsia="Arial" w:hAnsi="Arial"/>
          <w:sz w:val="22"/>
          <w:szCs w:val="22"/>
          <w:color w:val="auto"/>
        </w:rPr>
        <w:t xml:space="preserve">: The fee payable by the Borrower to the Backup Servicer pursuant to the Backup Servicing Agreement and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hereof.</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Bankruptcy Code</w:t>
      </w:r>
      <w:r>
        <w:rPr>
          <w:rFonts w:ascii="Arial" w:cs="Arial" w:eastAsia="Arial" w:hAnsi="Arial"/>
          <w:sz w:val="22"/>
          <w:szCs w:val="22"/>
          <w:color w:val="auto"/>
        </w:rPr>
        <w:t>: The United States Bankruptcy Reform Act of 1978 (11 U.S.C. § 101, et seq.), as amended from time to time.</w:t>
      </w:r>
    </w:p>
    <w:p>
      <w:pPr>
        <w:spacing w:after="0" w:line="17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Base Rate</w:t>
      </w:r>
      <w:r>
        <w:rPr>
          <w:rFonts w:ascii="Arial" w:cs="Arial" w:eastAsia="Arial" w:hAnsi="Arial"/>
          <w:sz w:val="22"/>
          <w:szCs w:val="22"/>
          <w:color w:val="auto"/>
        </w:rPr>
        <w:t>: On any date, a fluctuating interest rate per annum equal to the higher of (a) the Prime Rate or (b) the Federal Funds Rate plus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4" w:name="page15"/>
    <w:bookmarkEnd w:id="14"/>
    <w:p>
      <w:pPr>
        <w:jc w:val="both"/>
        <w:ind w:firstLine="972"/>
        <w:spacing w:after="0" w:line="343" w:lineRule="auto"/>
        <w:rPr>
          <w:sz w:val="20"/>
          <w:szCs w:val="20"/>
          <w:color w:val="auto"/>
        </w:rPr>
      </w:pP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The Adjusted LIBOR Rate except to the extent that (i) the Benchmark is required to be the Base Rate pursuant to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or (ii) a Benchmark Replacement has been selected in accordance with </w:t>
      </w:r>
      <w:r>
        <w:rPr>
          <w:rFonts w:ascii="Arial" w:cs="Arial" w:eastAsia="Arial" w:hAnsi="Arial"/>
          <w:sz w:val="19"/>
          <w:szCs w:val="19"/>
          <w:u w:val="single" w:color="auto"/>
          <w:color w:val="auto"/>
        </w:rPr>
        <w:t>Section 2.17(b)</w:t>
      </w:r>
      <w:r>
        <w:rPr>
          <w:rFonts w:ascii="Arial" w:cs="Arial" w:eastAsia="Arial" w:hAnsi="Arial"/>
          <w:sz w:val="19"/>
          <w:szCs w:val="19"/>
          <w:color w:val="auto"/>
        </w:rPr>
        <w:t>.</w:t>
      </w:r>
    </w:p>
    <w:p>
      <w:pPr>
        <w:spacing w:after="0" w:line="104"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Benchmark Determination Date</w:t>
      </w:r>
      <w:r>
        <w:rPr>
          <w:rFonts w:ascii="Arial" w:cs="Arial" w:eastAsia="Arial" w:hAnsi="Arial"/>
          <w:sz w:val="22"/>
          <w:szCs w:val="22"/>
          <w:color w:val="auto"/>
        </w:rPr>
        <w:t>: With respect to any Accrual Period, the date that is two Business Days before the first day of such Accrual Period.</w:t>
      </w:r>
    </w:p>
    <w:p>
      <w:pPr>
        <w:spacing w:after="0" w:line="17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beneficial ownership to the extent required by the Beneficial Ownership Regulation.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31 C.F.R. § 1010.230.</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Benefit Plan</w:t>
      </w:r>
      <w:r>
        <w:rPr>
          <w:rFonts w:ascii="Arial" w:cs="Arial" w:eastAsia="Arial" w:hAnsi="Arial"/>
          <w:sz w:val="22"/>
          <w:szCs w:val="22"/>
          <w:color w:val="auto"/>
        </w:rPr>
        <w:t>: Any employee benefit plan as defined in Section 3(3) of ERISA in respect of which the Borrower or any ERISA Affiliate of the Borrower is, or at any time during the immediately preceding six years was, an “employer” as defined in Section 3(5) of ERISA.</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 Credit Acceptance Funding LLC 2021-1, a Delaware limited liability company.</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Borrowing Group</w:t>
      </w:r>
      <w:r>
        <w:rPr>
          <w:rFonts w:ascii="Arial" w:cs="Arial" w:eastAsia="Arial" w:hAnsi="Arial"/>
          <w:sz w:val="22"/>
          <w:szCs w:val="22"/>
          <w:color w:val="auto"/>
        </w:rPr>
        <w:t>: (a) The Borrower, (b) the parent of the Borrower, (c) any affiliate or subsidiary of the Borrower, (d) the owner of any collateral securing any part of the credit or this Agreement and (e) any officer, director or agent acting on behalf of any of the parties referred to in items (a) through (c) with respect to the credit, this Agreement or any other Transaction Document.</w:t>
      </w:r>
    </w:p>
    <w:p>
      <w:pPr>
        <w:spacing w:after="0" w:line="18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u w:val="single" w:color="auto"/>
          <w:color w:val="auto"/>
        </w:rPr>
        <w:t>Business Day</w:t>
      </w:r>
      <w:r>
        <w:rPr>
          <w:rFonts w:ascii="Arial" w:cs="Arial" w:eastAsia="Arial" w:hAnsi="Arial"/>
          <w:sz w:val="21"/>
          <w:szCs w:val="21"/>
          <w:color w:val="auto"/>
        </w:rPr>
        <w:t>: Any day other than a Saturday or a Sunday on which (a) banks are not required or authorized to be closed in New York City, New York, Delaware, Cincinnati, Ohio, Detroit, Michigan, or if the Backup Servicer becomes the Servicer, Missouri, and (b) if the term “Business Day” is used in connection with the determination of the LIBOR Rate, dealings in United States dollar deposits are carried on in the London interbank market.</w:t>
      </w:r>
    </w:p>
    <w:p>
      <w:pPr>
        <w:spacing w:after="0" w:line="175"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u w:val="single" w:color="auto"/>
          <w:color w:val="auto"/>
        </w:rPr>
        <w:t>Capital</w:t>
      </w:r>
      <w:r>
        <w:rPr>
          <w:rFonts w:ascii="Arial" w:cs="Arial" w:eastAsia="Arial" w:hAnsi="Arial"/>
          <w:sz w:val="19"/>
          <w:szCs w:val="19"/>
          <w:color w:val="auto"/>
        </w:rPr>
        <w:t xml:space="preserve">: The amounts advanced to the Borrower by the Lenders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reduced from time to time by Collections distributed on account of such Capital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spacing w:after="0" w:line="14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Capped Servicing Fee</w:t>
      </w:r>
      <w:r>
        <w:rPr>
          <w:rFonts w:ascii="Arial" w:cs="Arial" w:eastAsia="Arial" w:hAnsi="Arial"/>
          <w:sz w:val="22"/>
          <w:szCs w:val="22"/>
          <w:color w:val="auto"/>
        </w:rPr>
        <w:t>: With respect to any Collection Period when the Backup Servicer has become the Servicer, the greater of (x) an amount equal to the product of (i) 10.00% and (ii) Collections received during such Collection Period (exclusive of amounts received under any Hedging Agreement) and (y) $5,000.</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Carrying Costs</w:t>
      </w:r>
      <w:r>
        <w:rPr>
          <w:rFonts w:ascii="Arial" w:cs="Arial" w:eastAsia="Arial" w:hAnsi="Arial"/>
          <w:sz w:val="19"/>
          <w:szCs w:val="19"/>
          <w:color w:val="auto"/>
        </w:rPr>
        <w:t xml:space="preserve">: With respect to any Payment Date, the sum of amounts payable under </w:t>
      </w:r>
      <w:r>
        <w:rPr>
          <w:rFonts w:ascii="Arial" w:cs="Arial" w:eastAsia="Arial" w:hAnsi="Arial"/>
          <w:sz w:val="19"/>
          <w:szCs w:val="19"/>
          <w:u w:val="single" w:color="auto"/>
          <w:color w:val="auto"/>
        </w:rPr>
        <w:t>Section 2.7(a)(iii)(A)–(C)</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5" w:name="page16"/>
    <w:bookmarkEnd w:id="15"/>
    <w:p>
      <w:pPr>
        <w:jc w:val="both"/>
        <w:ind w:firstLine="972"/>
        <w:spacing w:after="0" w:line="294" w:lineRule="auto"/>
        <w:rPr>
          <w:sz w:val="20"/>
          <w:szCs w:val="20"/>
          <w:color w:val="auto"/>
        </w:rPr>
      </w:pPr>
      <w:r>
        <w:rPr>
          <w:rFonts w:ascii="Arial" w:cs="Arial" w:eastAsia="Arial" w:hAnsi="Arial"/>
          <w:sz w:val="19"/>
          <w:szCs w:val="19"/>
          <w:u w:val="single" w:color="auto"/>
          <w:color w:val="auto"/>
        </w:rPr>
        <w:t>Certificate of Title</w:t>
      </w:r>
      <w:r>
        <w:rPr>
          <w:rFonts w:ascii="Arial" w:cs="Arial" w:eastAsia="Arial" w:hAnsi="Arial"/>
          <w:sz w:val="19"/>
          <w:szCs w:val="19"/>
          <w:color w:val="auto"/>
        </w:rPr>
        <w:t>: With regard to each Financed Vehicle (i) the original certificate of title relating thereto, or copies of correspondence and application made in accordance with applicable law to the appropriate state title registration agency, and all enclosures thereto, for issuance of its original certificate of title or (ii) if the appropriate state title registration agency issues a letter or other form of evidence of Lien (whether in paper or electronic) in lieu of a certificate of title, the original lien entry letter or form or copies of correspondence and application made in accordance with applicable law to such state title registration agency, and all enclosures thereto, for issuance of the original lien entry letter or form.</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Change-in-Control</w:t>
      </w:r>
      <w:r>
        <w:rPr>
          <w:rFonts w:ascii="Arial" w:cs="Arial" w:eastAsia="Arial" w:hAnsi="Arial"/>
          <w:sz w:val="22"/>
          <w:szCs w:val="22"/>
          <w:color w:val="auto"/>
        </w:rPr>
        <w:t>: Any of the following:</w:t>
      </w:r>
    </w:p>
    <w:p>
      <w:pPr>
        <w:spacing w:after="0" w:line="220"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creation or imposition of any Lien on any limited liability company interests of the Borrower;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failure by the Originator to own all of the issued and outstanding limited liability company interests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Borrower.</w:t>
      </w:r>
    </w:p>
    <w:p>
      <w:pPr>
        <w:spacing w:after="0" w:line="20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Closed Pool</w:t>
      </w:r>
      <w:r>
        <w:rPr>
          <w:rFonts w:ascii="Arial" w:cs="Arial" w:eastAsia="Arial" w:hAnsi="Arial"/>
          <w:sz w:val="22"/>
          <w:szCs w:val="22"/>
          <w:color w:val="auto"/>
        </w:rPr>
        <w:t>: With respect to any Dealer Loan, a Pool as to which, pursuant to the terms of the related Dealer Agreement, no additional Dealer Loan Contracts may be allocated.</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Closing Date</w:t>
      </w:r>
      <w:r>
        <w:rPr>
          <w:rFonts w:ascii="Arial" w:cs="Arial" w:eastAsia="Arial" w:hAnsi="Arial"/>
          <w:sz w:val="22"/>
          <w:szCs w:val="22"/>
          <w:color w:val="auto"/>
        </w:rPr>
        <w:t>: January 29, 2021.</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Collateral Agent</w:t>
      </w:r>
      <w:r>
        <w:rPr>
          <w:rFonts w:ascii="Arial" w:cs="Arial" w:eastAsia="Arial" w:hAnsi="Arial"/>
          <w:sz w:val="22"/>
          <w:szCs w:val="22"/>
          <w:color w:val="auto"/>
        </w:rPr>
        <w:t>: Fifth Third, and its successors and assigns in such capacity.</w:t>
      </w:r>
    </w:p>
    <w:p>
      <w:pPr>
        <w:spacing w:after="0" w:line="22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u w:val="single" w:color="auto"/>
          <w:color w:val="auto"/>
        </w:rPr>
        <w:t>Collateral Amount</w:t>
      </w:r>
      <w:r>
        <w:rPr>
          <w:rFonts w:ascii="Arial" w:cs="Arial" w:eastAsia="Arial" w:hAnsi="Arial"/>
          <w:sz w:val="19"/>
          <w:szCs w:val="19"/>
          <w:color w:val="auto"/>
        </w:rPr>
        <w:t xml:space="preserve">: On any Payment Date, an amount equal to the Aggregate Outstanding Eligible Loan Balance less the aggregate of the Overconcentration Loan Amounts and the aggregate of the Loan Excess Advance Amounts, if any, after giving effect to all purchases of Loans on such date. Solely for purposes of calculating the “Collateral Amount,” the determination of whether a Loan is an “Eligible Loan” shall be made as if such Loan were sold on the date of such calculation;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Dealer Loan relating to a Dealer that, to the knowledge of the Servicer, has become insolvent after the sale of such Dealer Loan to the Borrower shall continue to constitute an “Eligible Dealer Loan” (assuming that such Dealer Loan would otherwise be an “Eligible Dealer Loan” on such date of determination if the applicable Dealer had not become insolvent) for purposes of calculating the “Collateral Amount” so long as (i) the characterization of such Dealer Loan as an “Eligible Dealer Loan” would not cause the percentage of the aggregate Outstanding Balance of all Dealer Loans relating to Dealers who are insolvent to exceed 2.5% of the Aggregate Outstanding Eligible Loan Balance and (ii) no bankruptcy court has entered an order (whether or not final), which order has not been vacated or overturned, stating that a person other than the Borrower (or the Servicer on the Borrower's behalf) is entitled to receive any collections on that Dealer Loan or the Contracts relating thereto.</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Collection Account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6" w:name="page17"/>
    <w:bookmarkEnd w:id="16"/>
    <w:p>
      <w:pPr>
        <w:ind w:left="980"/>
        <w:spacing w:after="0"/>
        <w:rPr>
          <w:sz w:val="20"/>
          <w:szCs w:val="20"/>
          <w:color w:val="auto"/>
        </w:rPr>
      </w:pPr>
      <w:r>
        <w:rPr>
          <w:rFonts w:ascii="Arial" w:cs="Arial" w:eastAsia="Arial" w:hAnsi="Arial"/>
          <w:sz w:val="19"/>
          <w:szCs w:val="19"/>
          <w:u w:val="single" w:color="auto"/>
          <w:color w:val="auto"/>
        </w:rPr>
        <w:t>Collection Date</w:t>
      </w:r>
      <w:r>
        <w:rPr>
          <w:rFonts w:ascii="Arial" w:cs="Arial" w:eastAsia="Arial" w:hAnsi="Arial"/>
          <w:sz w:val="19"/>
          <w:szCs w:val="19"/>
          <w:color w:val="auto"/>
        </w:rPr>
        <w:t>: The date on which the Aggregate Unpaids have been reduced to zero and indefeasibly paid in full.</w:t>
      </w:r>
    </w:p>
    <w:p>
      <w:pPr>
        <w:spacing w:after="0" w:line="254"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u w:val="single" w:color="auto"/>
          <w:color w:val="auto"/>
        </w:rPr>
        <w:t>Collection Guidelines</w:t>
      </w:r>
      <w:r>
        <w:rPr>
          <w:rFonts w:ascii="Arial" w:cs="Arial" w:eastAsia="Arial" w:hAnsi="Arial"/>
          <w:sz w:val="22"/>
          <w:szCs w:val="22"/>
          <w:color w:val="auto"/>
        </w:rPr>
        <w:t>: With respect to Credit Acceptance, the policies and procedures of the Servicer relating to the collection of amounts due on contracts for the sale of automobiles and/or light-duty trucks, as in effect on the Cut-Off Date and as amended from time to time in accordance herewith and with the other Transaction Documents or as required by Applicable Law, and with respect to the Backup Servicer, as Successor Servicer, the customary servicing policies and procedures set forth in the Backup Servicing Agreement.</w:t>
      </w:r>
    </w:p>
    <w:p>
      <w:pPr>
        <w:spacing w:after="0" w:line="192"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Collection Period</w:t>
      </w:r>
      <w:r>
        <w:rPr>
          <w:rFonts w:ascii="Arial" w:cs="Arial" w:eastAsia="Arial" w:hAnsi="Arial"/>
          <w:sz w:val="22"/>
          <w:szCs w:val="22"/>
          <w:color w:val="auto"/>
        </w:rPr>
        <w:t>: Each calendar month, except in the case of the first Collection Period, the period beginning on the Cut-Off Date to and including the last day of the calendar month in which the Closing Date occurs.</w:t>
      </w:r>
    </w:p>
    <w:p>
      <w:pPr>
        <w:spacing w:after="0" w:line="175"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u w:val="single" w:color="auto"/>
          <w:color w:val="auto"/>
        </w:rPr>
        <w:t>Collections</w:t>
      </w:r>
      <w:r>
        <w:rPr>
          <w:rFonts w:ascii="Arial" w:cs="Arial" w:eastAsia="Arial" w:hAnsi="Arial"/>
          <w:sz w:val="19"/>
          <w:szCs w:val="19"/>
          <w:color w:val="auto"/>
        </w:rPr>
        <w:t>: All payments (including recoveries on Defaulted Contracts, credit-related insurance proceeds and proceeds of Related Security and so long as Credit Acceptance is the Servicer, excluding certain recovery and repossession expenses, in accordance with the terms of the Dealer Agreements) received by the Servicer, Credit Acceptance or the Borrower on or after the Cut-Off Date in respect of the Loans in the form of cash, checks, wire transfers or other form of payment in accordance with the Loans and the Dealer Agreements and all net amounts received under any Hedging Agreement.</w:t>
      </w:r>
    </w:p>
    <w:p>
      <w:pPr>
        <w:spacing w:after="0" w:line="147"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For each Lender, the commitment of such Lender to make a loan to the Borrower in an amount set forth opposite such Lender's name on </w:t>
      </w:r>
      <w:r>
        <w:rPr>
          <w:rFonts w:ascii="Arial" w:cs="Arial" w:eastAsia="Arial" w:hAnsi="Arial"/>
          <w:sz w:val="22"/>
          <w:szCs w:val="22"/>
          <w:u w:val="single" w:color="auto"/>
          <w:color w:val="auto"/>
        </w:rPr>
        <w:t>Schedule VIII</w:t>
      </w:r>
      <w:r>
        <w:rPr>
          <w:rFonts w:ascii="Arial" w:cs="Arial" w:eastAsia="Arial" w:hAnsi="Arial"/>
          <w:sz w:val="22"/>
          <w:szCs w:val="22"/>
          <w:color w:val="auto"/>
        </w:rPr>
        <w:t xml:space="preserve"> to this Agreement.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Commitment Termination Date</w:t>
      </w:r>
      <w:r>
        <w:rPr>
          <w:rFonts w:ascii="Arial" w:cs="Arial" w:eastAsia="Arial" w:hAnsi="Arial"/>
          <w:sz w:val="19"/>
          <w:szCs w:val="19"/>
          <w:color w:val="auto"/>
        </w:rPr>
        <w:t>: With respect to each Lender, the close of business on the February 2023 Payment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Contract</w:t>
      </w:r>
      <w:r>
        <w:rPr>
          <w:rFonts w:ascii="Arial" w:cs="Arial" w:eastAsia="Arial" w:hAnsi="Arial"/>
          <w:sz w:val="22"/>
          <w:szCs w:val="22"/>
          <w:color w:val="auto"/>
        </w:rPr>
        <w:t>: Any Dealer Loan Contract or Purchased Loan Contract.</w:t>
      </w:r>
    </w:p>
    <w:p>
      <w:pPr>
        <w:spacing w:after="0" w:line="220"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u w:val="single" w:color="auto"/>
          <w:color w:val="auto"/>
        </w:rPr>
        <w:t>Contract Files</w:t>
      </w:r>
      <w:r>
        <w:rPr>
          <w:rFonts w:ascii="Arial" w:cs="Arial" w:eastAsia="Arial" w:hAnsi="Arial"/>
          <w:sz w:val="22"/>
          <w:szCs w:val="22"/>
          <w:color w:val="auto"/>
        </w:rPr>
        <w:t>: With respect to each Contract, the fully executed original counterpart of the Contract or, in the case of any Contract constituting electronic chattel paper, the Authoritative Electronic Copy of the Contract (in each case, for UCC purposes), the Certificate of Title with respect to the related financed vehicle or other evidence of lien, all original or electronic instruments modifying the terms and conditions of such Contract and the original or electronic endorsements or assignments of such Contract.</w:t>
      </w:r>
    </w:p>
    <w:p>
      <w:pPr>
        <w:spacing w:after="0" w:line="19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Contribution Agreement</w:t>
      </w:r>
      <w:r>
        <w:rPr>
          <w:rFonts w:ascii="Arial" w:cs="Arial" w:eastAsia="Arial" w:hAnsi="Arial"/>
          <w:sz w:val="22"/>
          <w:szCs w:val="22"/>
          <w:color w:val="auto"/>
        </w:rPr>
        <w:t xml:space="preserve">: The Sale and Contribution Agreement, dated as of January 29, 2021, substantially in the form of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hereto, between Credit Acceptance and the Borrower, as the same may be amended, restated, supplemented or otherwise modified from time to time.</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Contractual Obligation</w:t>
      </w:r>
      <w:r>
        <w:rPr>
          <w:rFonts w:ascii="Arial" w:cs="Arial" w:eastAsia="Arial" w:hAnsi="Arial"/>
          <w:sz w:val="22"/>
          <w:szCs w:val="22"/>
          <w:color w:val="auto"/>
        </w:rPr>
        <w:t>: With respect to any Person, means any provision of any securities issued by such Person or any indenture, mortgage, deed of trust, contract,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22"/>
          <w:szCs w:val="22"/>
          <w:color w:val="auto"/>
        </w:rPr>
        <w:t>agreement, instrument or other document to which such Person is a party or by which it or any of its property is bound or is subject.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Credit Acceptance</w:t>
      </w:r>
      <w:r>
        <w:rPr>
          <w:rFonts w:ascii="Arial" w:cs="Arial" w:eastAsia="Arial" w:hAnsi="Arial"/>
          <w:sz w:val="19"/>
          <w:szCs w:val="19"/>
          <w:color w:val="auto"/>
        </w:rPr>
        <w:t>: Credit Acceptance Corporation, a Michigan corporation, and its successors and permitted assigns.</w:t>
      </w:r>
    </w:p>
    <w:p>
      <w:pPr>
        <w:spacing w:after="0" w:line="254"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u w:val="single" w:color="auto"/>
          <w:color w:val="auto"/>
        </w:rPr>
        <w:t>Credit Acceptance Payment Account</w:t>
      </w:r>
      <w:r>
        <w:rPr>
          <w:rFonts w:ascii="Arial" w:cs="Arial" w:eastAsia="Arial" w:hAnsi="Arial"/>
          <w:sz w:val="21"/>
          <w:szCs w:val="21"/>
          <w:color w:val="auto"/>
        </w:rPr>
        <w:t>: The clearinghouse account number xxxxxx5068 maintained by Credit Acceptance at Comerica Bank, where payments received in respect of all loans and contracts are deposited or paid.</w:t>
      </w:r>
    </w:p>
    <w:p>
      <w:pPr>
        <w:spacing w:after="0" w:line="151"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That certain Sixth Amended and Restated Credit Acceptance Corporation Credit Agreement, dated as of June 23, 2014, with Comerica Bank, as administrative agent and collateral agent, Credit Acceptance, as borrower, and the banks signatory thereto, as amended from time to time.</w:t>
      </w:r>
    </w:p>
    <w:p>
      <w:pPr>
        <w:spacing w:after="0" w:line="185"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u w:val="single" w:color="auto"/>
          <w:color w:val="auto"/>
        </w:rPr>
        <w:t>Credit Guidelines</w:t>
      </w:r>
      <w:r>
        <w:rPr>
          <w:rFonts w:ascii="Arial" w:cs="Arial" w:eastAsia="Arial" w:hAnsi="Arial"/>
          <w:sz w:val="22"/>
          <w:szCs w:val="22"/>
          <w:color w:val="auto"/>
        </w:rPr>
        <w:t xml:space="preserve">: The policies of Credit Acceptance, relating to the extension of credit to automobile and light-duty truck dealers and consumers in respect of retail installment contracts for the sale of automobiles and/or light-duty trucks, including, without limitation, the policies for determining the creditworthiness of such dealers and consumers and, relating to this extension of credit to such dealers and consumers, the maintenance of installment sale contracts, as in effect on the Cut-Off Date and as amended from time to time in accordance herewith and with the other Transaction Documents or as required by Applicable Law, attached hereto as </w:t>
      </w:r>
      <w:r>
        <w:rPr>
          <w:rFonts w:ascii="Arial" w:cs="Arial" w:eastAsia="Arial" w:hAnsi="Arial"/>
          <w:sz w:val="22"/>
          <w:szCs w:val="22"/>
          <w:u w:val="single" w:color="auto"/>
          <w:color w:val="auto"/>
        </w:rPr>
        <w:t>Schedule II</w:t>
      </w:r>
      <w:r>
        <w:rPr>
          <w:rFonts w:ascii="Arial" w:cs="Arial" w:eastAsia="Arial" w:hAnsi="Arial"/>
          <w:sz w:val="22"/>
          <w:szCs w:val="22"/>
          <w:color w:val="auto"/>
        </w:rPr>
        <w:t>.</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Custodian</w:t>
      </w:r>
      <w:r>
        <w:rPr>
          <w:rFonts w:ascii="Arial" w:cs="Arial" w:eastAsia="Arial" w:hAnsi="Arial"/>
          <w:sz w:val="22"/>
          <w:szCs w:val="22"/>
          <w:color w:val="auto"/>
        </w:rPr>
        <w:t xml:space="preserve">: Credit Acceptance, or any person appointed as Custodian pursuant to </w:t>
      </w:r>
      <w:r>
        <w:rPr>
          <w:rFonts w:ascii="Arial" w:cs="Arial" w:eastAsia="Arial" w:hAnsi="Arial"/>
          <w:sz w:val="22"/>
          <w:szCs w:val="22"/>
          <w:u w:val="single" w:color="auto"/>
          <w:color w:val="auto"/>
        </w:rPr>
        <w:t>Section 6.2(d)</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u w:val="single" w:color="auto"/>
          <w:color w:val="auto"/>
        </w:rPr>
        <w:t>Cut-Off Date</w:t>
      </w:r>
      <w:r>
        <w:rPr>
          <w:rFonts w:ascii="Arial" w:cs="Arial" w:eastAsia="Arial" w:hAnsi="Arial"/>
          <w:sz w:val="21"/>
          <w:szCs w:val="21"/>
          <w:color w:val="auto"/>
        </w:rPr>
        <w:t>: With respect to the Loans transferred to the Borrower on the Closing Date, December 31, 2020, and with respect to the Loans transferred to the Borrower on each Addition Date, the related Additional Cut-Off Date</w:t>
      </w:r>
    </w:p>
    <w:p>
      <w:pPr>
        <w:spacing w:after="0" w:line="151" w:lineRule="exact"/>
        <w:rPr>
          <w:sz w:val="20"/>
          <w:szCs w:val="20"/>
          <w:color w:val="auto"/>
        </w:rPr>
      </w:pPr>
    </w:p>
    <w:p>
      <w:pPr>
        <w:jc w:val="both"/>
        <w:ind w:right="20" w:firstLine="972"/>
        <w:spacing w:after="0" w:line="343" w:lineRule="auto"/>
        <w:rPr>
          <w:sz w:val="20"/>
          <w:szCs w:val="20"/>
          <w:color w:val="auto"/>
        </w:rPr>
      </w:pPr>
      <w:r>
        <w:rPr>
          <w:rFonts w:ascii="Arial" w:cs="Arial" w:eastAsia="Arial" w:hAnsi="Arial"/>
          <w:sz w:val="19"/>
          <w:szCs w:val="19"/>
          <w:u w:val="single" w:color="auto"/>
          <w:color w:val="auto"/>
        </w:rPr>
        <w:t>Date of Processing</w:t>
      </w:r>
      <w:r>
        <w:rPr>
          <w:rFonts w:ascii="Arial" w:cs="Arial" w:eastAsia="Arial" w:hAnsi="Arial"/>
          <w:sz w:val="19"/>
          <w:szCs w:val="19"/>
          <w:color w:val="auto"/>
        </w:rPr>
        <w:t>: With respect to any transaction relating to a Loan or a Contract, the date on which such transaction is first recorded on the Servicer's master servicing file (without regard to the effective date of such recordation).</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Deal Agent</w:t>
      </w:r>
      <w:r>
        <w:rPr>
          <w:rFonts w:ascii="Arial" w:cs="Arial" w:eastAsia="Arial" w:hAnsi="Arial"/>
          <w:sz w:val="22"/>
          <w:szCs w:val="22"/>
          <w:color w:val="auto"/>
        </w:rPr>
        <w:t>: Defined in the preamble of the Agreement.</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Dealer</w:t>
      </w:r>
      <w:r>
        <w:rPr>
          <w:rFonts w:ascii="Arial" w:cs="Arial" w:eastAsia="Arial" w:hAnsi="Arial"/>
          <w:sz w:val="22"/>
          <w:szCs w:val="22"/>
          <w:color w:val="auto"/>
        </w:rPr>
        <w:t>: Any new or used automobile and/or light-duty truck dealer who has entered into a Dealer Agreement or a Purchase Agreement with Credit Acceptance.</w:t>
      </w:r>
    </w:p>
    <w:p>
      <w:pPr>
        <w:spacing w:after="0" w:line="17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Dealer Agreement</w:t>
      </w:r>
      <w:r>
        <w:rPr>
          <w:rFonts w:ascii="Arial" w:cs="Arial" w:eastAsia="Arial" w:hAnsi="Arial"/>
          <w:sz w:val="22"/>
          <w:szCs w:val="22"/>
          <w:color w:val="auto"/>
        </w:rPr>
        <w:t xml:space="preserve">: Each agreement between Credit Acceptance and any Dealer, in substantially the form attached hereto as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Dealer Collections</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2.9(d)</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Dealer Collections Purchase</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6.15(a)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8" w:name="page19"/>
    <w:bookmarkEnd w:id="18"/>
    <w:p>
      <w:pPr>
        <w:ind w:left="980"/>
        <w:spacing w:after="0"/>
        <w:rPr>
          <w:sz w:val="20"/>
          <w:szCs w:val="20"/>
          <w:color w:val="auto"/>
        </w:rPr>
      </w:pPr>
      <w:r>
        <w:rPr>
          <w:rFonts w:ascii="Arial" w:cs="Arial" w:eastAsia="Arial" w:hAnsi="Arial"/>
          <w:sz w:val="22"/>
          <w:szCs w:val="22"/>
          <w:u w:val="single" w:color="auto"/>
          <w:color w:val="auto"/>
        </w:rPr>
        <w:t>Dealer Collections Purchase Agreement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6.15(a)</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Dealer Collections Purchase Price</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6.15(b)</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u w:val="single" w:color="auto"/>
          <w:color w:val="auto"/>
        </w:rPr>
        <w:t>Dealer Concentration Limit</w:t>
      </w:r>
      <w:r>
        <w:rPr>
          <w:rFonts w:ascii="Arial" w:cs="Arial" w:eastAsia="Arial" w:hAnsi="Arial"/>
          <w:sz w:val="19"/>
          <w:szCs w:val="19"/>
          <w:color w:val="auto"/>
        </w:rPr>
        <w:t xml:space="preserve">: With respect to the Eligible Dealer Loans and with respect to any Dealer (measured by the Aggregate Outstanding Eligible Loan Balance of each such Dealer), an amount equal to: (A) with respect to the Closing Date, 1.5% of the Aggregate Outstanding Eligible Loan Balance of Dealer Loans as of the initial Cut-Off Date; and (B) with respect to each Addition Date during the Revolving Period on which Dealer Loans are purchased by the Borrower, 1.5% of the Aggregate Outstanding Eligible Loan Balance of Dealer Loans as of such Addition Date, after giving effect to all Collections from the related Collection Period and the purchase of Dealer Loans on such Addition Date;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after giving effect to the foregoing, the sum of the aggregate of the Outstanding Balances of the Eligible Dealer Loans of the top twenty Dealers (measured by the Aggregate Outstanding Eligible Loan Balance of each such Dealer) shall not exceed 20.0% of the Aggregate Outstanding Eligible Loan Balance of all Dealer Loans on the initial Cut-Off Date or each Addition Date during the Revolving Period on which Dealer Loans are purchased by the Borrower, as the case may be.</w:t>
      </w:r>
    </w:p>
    <w:p>
      <w:pPr>
        <w:spacing w:after="0" w:line="159" w:lineRule="exact"/>
        <w:rPr>
          <w:sz w:val="20"/>
          <w:szCs w:val="20"/>
          <w:color w:val="auto"/>
        </w:rPr>
      </w:pPr>
    </w:p>
    <w:p>
      <w:pPr>
        <w:jc w:val="both"/>
        <w:ind w:firstLine="972"/>
        <w:spacing w:after="0" w:line="292" w:lineRule="auto"/>
        <w:rPr>
          <w:sz w:val="20"/>
          <w:szCs w:val="20"/>
          <w:color w:val="auto"/>
        </w:rPr>
      </w:pPr>
      <w:r>
        <w:rPr>
          <w:rFonts w:ascii="Arial" w:cs="Arial" w:eastAsia="Arial" w:hAnsi="Arial"/>
          <w:sz w:val="19"/>
          <w:szCs w:val="19"/>
          <w:u w:val="single" w:color="auto"/>
          <w:color w:val="auto"/>
        </w:rPr>
        <w:t>Dealer Loan</w:t>
      </w:r>
      <w:r>
        <w:rPr>
          <w:rFonts w:ascii="Arial" w:cs="Arial" w:eastAsia="Arial" w:hAnsi="Arial"/>
          <w:sz w:val="19"/>
          <w:szCs w:val="19"/>
          <w:color w:val="auto"/>
        </w:rPr>
        <w:t xml:space="preserve">: A group of advances made by the Originator to a Dealer in respect of an identified group of Dealer Loan Contracts, all of which secure repayment thereof, plus revenue accrued with respect to such Dealer Loan in accordance with Credit Acceptance's adjusted accounting policies (as in effect as of January 1, 2020), plus the amount of monies paid to the Dealer under the related Dealer Agreement (including any portfolio profit express payment), less Collections on the related Contracts securing such Dealer Loan applied to the reduction of the balance of such Dealer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term “Dealer Loan” shall, for the purposes of this Agreement, include only those Dealer Loans identified from time to time on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hereto, as amended or supplemented from time to time in accordance with the terms of this Agreement.</w:t>
      </w:r>
    </w:p>
    <w:p>
      <w:pPr>
        <w:spacing w:after="0" w:line="151"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Dealer Loan Contract</w:t>
      </w:r>
      <w:r>
        <w:rPr>
          <w:rFonts w:ascii="Arial" w:cs="Arial" w:eastAsia="Arial" w:hAnsi="Arial"/>
          <w:sz w:val="22"/>
          <w:szCs w:val="22"/>
          <w:color w:val="auto"/>
        </w:rPr>
        <w:t xml:space="preserve">: Each retail installment sales contract, in substantially one of the forms attached hereto as </w:t>
      </w:r>
      <w:r>
        <w:rPr>
          <w:rFonts w:ascii="Arial" w:cs="Arial" w:eastAsia="Arial" w:hAnsi="Arial"/>
          <w:sz w:val="22"/>
          <w:szCs w:val="22"/>
          <w:u w:val="single" w:color="auto"/>
          <w:color w:val="auto"/>
        </w:rPr>
        <w:t>Exhibit L</w:t>
      </w:r>
      <w:r>
        <w:rPr>
          <w:rFonts w:ascii="Arial" w:cs="Arial" w:eastAsia="Arial" w:hAnsi="Arial"/>
          <w:sz w:val="22"/>
          <w:szCs w:val="22"/>
          <w:color w:val="auto"/>
        </w:rPr>
        <w:t>, relating to the sale of an automobile or light-duty truck originated by a Dealer and in which Credit Acceptance shall have been granted a security interest and shall have acquired certain other rights under a related Dealer Agreement to secure the related dealer's obligation to repay one or more related Dealer Loans.</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Defaulted Contract</w:t>
      </w:r>
      <w:r>
        <w:rPr>
          <w:rFonts w:ascii="Arial" w:cs="Arial" w:eastAsia="Arial" w:hAnsi="Arial"/>
          <w:sz w:val="22"/>
          <w:szCs w:val="22"/>
          <w:color w:val="auto"/>
        </w:rPr>
        <w:t>: A Contract shall be deemed a Defaulted Contract no later than the earlier of (x) the day it becomes 90 days delinquent, based on the date the last payment thereon was received by the Servicer and (y) the day on which an auction check is posted to the relevant account.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Determination Date</w:t>
      </w:r>
      <w:r>
        <w:rPr>
          <w:rFonts w:ascii="Arial" w:cs="Arial" w:eastAsia="Arial" w:hAnsi="Arial"/>
          <w:sz w:val="22"/>
          <w:szCs w:val="22"/>
          <w:color w:val="auto"/>
        </w:rPr>
        <w:t>: The fourth (4</w:t>
      </w:r>
      <w:r>
        <w:rPr>
          <w:rFonts w:ascii="Arial" w:cs="Arial" w:eastAsia="Arial" w:hAnsi="Arial"/>
          <w:sz w:val="28"/>
          <w:szCs w:val="28"/>
          <w:color w:val="auto"/>
          <w:vertAlign w:val="superscript"/>
        </w:rPr>
        <w:t>th</w:t>
      </w:r>
      <w:r>
        <w:rPr>
          <w:rFonts w:ascii="Arial" w:cs="Arial" w:eastAsia="Arial" w:hAnsi="Arial"/>
          <w:sz w:val="22"/>
          <w:szCs w:val="22"/>
          <w:color w:val="auto"/>
        </w:rPr>
        <w:t>) Business Day prior to the related Payment Date.</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Eligible Contract</w:t>
      </w:r>
      <w:r>
        <w:rPr>
          <w:rFonts w:ascii="Arial" w:cs="Arial" w:eastAsia="Arial" w:hAnsi="Arial"/>
          <w:sz w:val="22"/>
          <w:szCs w:val="22"/>
          <w:color w:val="auto"/>
        </w:rPr>
        <w:t>: Each Eligible Dealer Loan Contract and each Eligible Purchased Loan Contract.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Eligible Dealer Agreement</w:t>
      </w:r>
      <w:r>
        <w:rPr>
          <w:rFonts w:ascii="Arial" w:cs="Arial" w:eastAsia="Arial" w:hAnsi="Arial"/>
          <w:sz w:val="22"/>
          <w:szCs w:val="22"/>
          <w:color w:val="auto"/>
        </w:rPr>
        <w:t>: Each Dealer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9" w:name="page20"/>
    <w:bookmarkEnd w:id="19"/>
    <w:p>
      <w:pPr>
        <w:ind w:firstLine="656"/>
        <w:spacing w:after="0" w:line="263" w:lineRule="auto"/>
        <w:tabs>
          <w:tab w:leader="none" w:pos="1293" w:val="left"/>
        </w:tabs>
        <w:numPr>
          <w:ilvl w:val="0"/>
          <w:numId w:val="7"/>
        </w:numPr>
        <w:rPr>
          <w:rFonts w:ascii="Arial" w:cs="Arial" w:eastAsia="Arial" w:hAnsi="Arial"/>
          <w:sz w:val="22"/>
          <w:szCs w:val="22"/>
          <w:color w:val="auto"/>
        </w:rPr>
      </w:pPr>
      <w:r>
        <w:rPr>
          <w:rFonts w:ascii="Arial" w:cs="Arial" w:eastAsia="Arial" w:hAnsi="Arial"/>
          <w:sz w:val="22"/>
          <w:szCs w:val="22"/>
          <w:color w:val="auto"/>
        </w:rPr>
        <w:t>which was originated by the Originator in material compliance with all applicable requirements of law and which complies in all material respects with all applicable requirements of law;</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291" w:val="left"/>
        </w:tabs>
        <w:numPr>
          <w:ilvl w:val="0"/>
          <w:numId w:val="7"/>
        </w:numPr>
        <w:rPr>
          <w:rFonts w:ascii="Arial" w:cs="Arial" w:eastAsia="Arial" w:hAnsi="Arial"/>
          <w:sz w:val="19"/>
          <w:szCs w:val="19"/>
          <w:color w:val="auto"/>
        </w:rPr>
      </w:pPr>
      <w:r>
        <w:rPr>
          <w:rFonts w:ascii="Arial" w:cs="Arial" w:eastAsia="Arial" w:hAnsi="Arial"/>
          <w:sz w:val="19"/>
          <w:szCs w:val="19"/>
          <w:color w:val="auto"/>
        </w:rPr>
        <w:t>with respect to which all material consents, licenses, approvals or authorizations of, or registrations or declarations with, any Governmental Authority required to be obtained, effected or given by the Borrower, Credit Acceptance or the Servicer in connection with the origination of such Dealer Agreement or the execution, delivery and performance by the Borrower, Credit Acceptance or the Servicer of such Dealer Agreement have been duly obtained, effected or given and are in full force and effect;</w:t>
      </w:r>
    </w:p>
    <w:p>
      <w:pPr>
        <w:spacing w:after="0" w:line="142" w:lineRule="exact"/>
        <w:rPr>
          <w:rFonts w:ascii="Arial" w:cs="Arial" w:eastAsia="Arial" w:hAnsi="Arial"/>
          <w:sz w:val="19"/>
          <w:szCs w:val="19"/>
          <w:color w:val="auto"/>
        </w:rPr>
      </w:pPr>
    </w:p>
    <w:p>
      <w:pPr>
        <w:ind w:firstLine="656"/>
        <w:spacing w:after="0" w:line="263" w:lineRule="auto"/>
        <w:tabs>
          <w:tab w:leader="none" w:pos="1293" w:val="left"/>
        </w:tabs>
        <w:numPr>
          <w:ilvl w:val="0"/>
          <w:numId w:val="7"/>
        </w:numPr>
        <w:rPr>
          <w:rFonts w:ascii="Arial" w:cs="Arial" w:eastAsia="Arial" w:hAnsi="Arial"/>
          <w:sz w:val="22"/>
          <w:szCs w:val="22"/>
          <w:color w:val="auto"/>
        </w:rPr>
      </w:pPr>
      <w:r>
        <w:rPr>
          <w:rFonts w:ascii="Arial" w:cs="Arial" w:eastAsia="Arial" w:hAnsi="Arial"/>
          <w:sz w:val="22"/>
          <w:szCs w:val="22"/>
          <w:color w:val="auto"/>
        </w:rPr>
        <w:t>as to which at the time of the transfer of rights thereunder to the Collateral Agent and the Secured Parties, the Borrower will have good and marketable title thereto, free and clear of all Liens;</w:t>
      </w:r>
    </w:p>
    <w:p>
      <w:pPr>
        <w:spacing w:after="0" w:line="174"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Borrower's rights under which have been the subject of a valid grant by the Borrower of a first priority perfected security interest in such rights and in the proceeds thereof in favor of the Collateral Agent;</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293" w:val="left"/>
        </w:tabs>
        <w:numPr>
          <w:ilvl w:val="0"/>
          <w:numId w:val="7"/>
        </w:numPr>
        <w:rPr>
          <w:rFonts w:ascii="Arial" w:cs="Arial" w:eastAsia="Arial" w:hAnsi="Arial"/>
          <w:sz w:val="22"/>
          <w:szCs w:val="22"/>
          <w:color w:val="auto"/>
        </w:rPr>
      </w:pPr>
      <w:r>
        <w:rPr>
          <w:rFonts w:ascii="Arial" w:cs="Arial" w:eastAsia="Arial" w:hAnsi="Arial"/>
          <w:sz w:val="22"/>
          <w:szCs w:val="22"/>
          <w:color w:val="auto"/>
        </w:rPr>
        <w:t>which will at all times be the legal, valid and binding obligation of the Dealer party thereto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192" w:lineRule="exact"/>
        <w:rPr>
          <w:rFonts w:ascii="Arial" w:cs="Arial" w:eastAsia="Arial" w:hAnsi="Arial"/>
          <w:sz w:val="22"/>
          <w:szCs w:val="22"/>
          <w:color w:val="auto"/>
        </w:rPr>
      </w:pPr>
    </w:p>
    <w:p>
      <w:pPr>
        <w:ind w:left="1300" w:hanging="644"/>
        <w:spacing w:after="0"/>
        <w:tabs>
          <w:tab w:leader="none" w:pos="1300" w:val="left"/>
        </w:tabs>
        <w:numPr>
          <w:ilvl w:val="0"/>
          <w:numId w:val="7"/>
        </w:numPr>
        <w:rPr>
          <w:rFonts w:ascii="Arial" w:cs="Arial" w:eastAsia="Arial" w:hAnsi="Arial"/>
          <w:sz w:val="19"/>
          <w:szCs w:val="19"/>
          <w:color w:val="auto"/>
        </w:rPr>
      </w:pPr>
      <w:r>
        <w:rPr>
          <w:rFonts w:ascii="Arial" w:cs="Arial" w:eastAsia="Arial" w:hAnsi="Arial"/>
          <w:sz w:val="19"/>
          <w:szCs w:val="19"/>
          <w:color w:val="auto"/>
        </w:rPr>
        <w:t>which constitutes either a “general intangible” or “tangible chattel paper” under and as defined in Article 9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UCC;</w:t>
      </w:r>
    </w:p>
    <w:p>
      <w:pPr>
        <w:spacing w:after="0" w:line="201" w:lineRule="exact"/>
        <w:rPr>
          <w:rFonts w:ascii="Arial" w:cs="Arial" w:eastAsia="Arial" w:hAnsi="Arial"/>
          <w:sz w:val="19"/>
          <w:szCs w:val="19"/>
          <w:color w:val="auto"/>
        </w:rPr>
      </w:pPr>
    </w:p>
    <w:p>
      <w:pPr>
        <w:ind w:firstLine="656"/>
        <w:spacing w:after="0" w:line="263" w:lineRule="auto"/>
        <w:tabs>
          <w:tab w:leader="none" w:pos="1291" w:val="left"/>
        </w:tabs>
        <w:numPr>
          <w:ilvl w:val="0"/>
          <w:numId w:val="7"/>
        </w:numPr>
        <w:rPr>
          <w:rFonts w:ascii="Arial" w:cs="Arial" w:eastAsia="Arial" w:hAnsi="Arial"/>
          <w:sz w:val="22"/>
          <w:szCs w:val="22"/>
          <w:color w:val="auto"/>
        </w:rPr>
      </w:pPr>
      <w:r>
        <w:rPr>
          <w:rFonts w:ascii="Arial" w:cs="Arial" w:eastAsia="Arial" w:hAnsi="Arial"/>
          <w:sz w:val="22"/>
          <w:szCs w:val="22"/>
          <w:color w:val="auto"/>
        </w:rPr>
        <w:t>which, at the time of the pledge of the rights to payment thereunder to the Collateral Agent for the benefit of the Secured Parties, no right to payment thereunder has been waived or modified;</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7"/>
        </w:numPr>
        <w:rPr>
          <w:rFonts w:ascii="Arial" w:cs="Arial" w:eastAsia="Arial" w:hAnsi="Arial"/>
          <w:sz w:val="22"/>
          <w:szCs w:val="22"/>
          <w:color w:val="auto"/>
        </w:rPr>
      </w:pPr>
      <w:r>
        <w:rPr>
          <w:rFonts w:ascii="Arial" w:cs="Arial" w:eastAsia="Arial" w:hAnsi="Arial"/>
          <w:sz w:val="22"/>
          <w:szCs w:val="22"/>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84" w:val="left"/>
        </w:tabs>
        <w:numPr>
          <w:ilvl w:val="0"/>
          <w:numId w:val="7"/>
        </w:numPr>
        <w:rPr>
          <w:rFonts w:ascii="Arial" w:cs="Arial" w:eastAsia="Arial" w:hAnsi="Arial"/>
          <w:sz w:val="22"/>
          <w:szCs w:val="22"/>
          <w:color w:val="auto"/>
        </w:rPr>
      </w:pPr>
      <w:r>
        <w:rPr>
          <w:rFonts w:ascii="Arial" w:cs="Arial" w:eastAsia="Arial" w:hAnsi="Arial"/>
          <w:sz w:val="22"/>
          <w:szCs w:val="22"/>
          <w:color w:val="auto"/>
        </w:rPr>
        <w:t>as to which Credit Acceptance, the Servicer and the Borrower have satisfied in all material respects all obligations to be fulfilled at the time the rights to payment thereunder are pledged to the Collateral Agent for the benefit of the Secured Parties;</w:t>
      </w:r>
    </w:p>
    <w:p>
      <w:pPr>
        <w:spacing w:after="0" w:line="185" w:lineRule="exact"/>
        <w:rPr>
          <w:rFonts w:ascii="Arial" w:cs="Arial" w:eastAsia="Arial" w:hAnsi="Arial"/>
          <w:sz w:val="22"/>
          <w:szCs w:val="22"/>
          <w:color w:val="auto"/>
        </w:rPr>
      </w:pPr>
    </w:p>
    <w:p>
      <w:pPr>
        <w:ind w:firstLine="656"/>
        <w:spacing w:after="0" w:line="263" w:lineRule="auto"/>
        <w:tabs>
          <w:tab w:leader="none" w:pos="1284" w:val="left"/>
        </w:tabs>
        <w:numPr>
          <w:ilvl w:val="0"/>
          <w:numId w:val="7"/>
        </w:numPr>
        <w:rPr>
          <w:rFonts w:ascii="Arial" w:cs="Arial" w:eastAsia="Arial" w:hAnsi="Arial"/>
          <w:sz w:val="22"/>
          <w:szCs w:val="22"/>
          <w:color w:val="auto"/>
        </w:rPr>
      </w:pPr>
      <w:r>
        <w:rPr>
          <w:rFonts w:ascii="Arial" w:cs="Arial" w:eastAsia="Arial" w:hAnsi="Arial"/>
          <w:sz w:val="22"/>
          <w:szCs w:val="22"/>
          <w:color w:val="auto"/>
        </w:rPr>
        <w:t>as to which the related Dealer has not asserted that such agreement is void or unenforceable in any legal proceedings not being contested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0" w:name="page21"/>
    <w:bookmarkEnd w:id="20"/>
    <w:p>
      <w:pPr>
        <w:ind w:right="20" w:firstLine="656"/>
        <w:spacing w:after="0" w:line="263" w:lineRule="auto"/>
        <w:tabs>
          <w:tab w:leader="none" w:pos="1291" w:val="left"/>
        </w:tabs>
        <w:numPr>
          <w:ilvl w:val="0"/>
          <w:numId w:val="8"/>
        </w:numPr>
        <w:rPr>
          <w:rFonts w:ascii="Arial" w:cs="Arial" w:eastAsia="Arial" w:hAnsi="Arial"/>
          <w:sz w:val="22"/>
          <w:szCs w:val="22"/>
          <w:color w:val="auto"/>
        </w:rPr>
      </w:pPr>
      <w:r>
        <w:rPr>
          <w:rFonts w:ascii="Arial" w:cs="Arial" w:eastAsia="Arial" w:hAnsi="Arial"/>
          <w:sz w:val="22"/>
          <w:szCs w:val="22"/>
          <w:color w:val="auto"/>
        </w:rPr>
        <w:t>as to which the related Dealer is not known to be bankrupt or insolvent, subject to the proviso related to the definition of “Collateral Amount” with respect to bankruptcy and insolvency of Dealers;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as to which the related Dealer is not an Affiliate of or an executive of Credit Acceptance or an Affiliate of Credit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Acceptance;</w:t>
      </w:r>
    </w:p>
    <w:p>
      <w:pPr>
        <w:spacing w:after="0" w:line="201" w:lineRule="exact"/>
        <w:rPr>
          <w:rFonts w:ascii="Arial" w:cs="Arial" w:eastAsia="Arial" w:hAnsi="Arial"/>
          <w:sz w:val="19"/>
          <w:szCs w:val="19"/>
          <w:color w:val="auto"/>
        </w:rPr>
      </w:pPr>
    </w:p>
    <w:p>
      <w:pPr>
        <w:ind w:left="1300" w:hanging="644"/>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as to which the related Dealer is located in the United States; and</w:t>
      </w:r>
    </w:p>
    <w:p>
      <w:pPr>
        <w:spacing w:after="0" w:line="219" w:lineRule="exact"/>
        <w:rPr>
          <w:rFonts w:ascii="Arial" w:cs="Arial" w:eastAsia="Arial" w:hAnsi="Arial"/>
          <w:sz w:val="22"/>
          <w:szCs w:val="22"/>
          <w:color w:val="auto"/>
        </w:rPr>
      </w:pPr>
    </w:p>
    <w:p>
      <w:pPr>
        <w:jc w:val="both"/>
        <w:ind w:right="20" w:firstLine="656"/>
        <w:spacing w:after="0" w:line="253" w:lineRule="auto"/>
        <w:tabs>
          <w:tab w:leader="none" w:pos="1291" w:val="left"/>
        </w:tabs>
        <w:numPr>
          <w:ilvl w:val="0"/>
          <w:numId w:val="8"/>
        </w:numPr>
        <w:rPr>
          <w:rFonts w:ascii="Arial" w:cs="Arial" w:eastAsia="Arial" w:hAnsi="Arial"/>
          <w:sz w:val="22"/>
          <w:szCs w:val="22"/>
          <w:color w:val="auto"/>
        </w:rPr>
      </w:pPr>
      <w:r>
        <w:rPr>
          <w:rFonts w:ascii="Arial" w:cs="Arial" w:eastAsia="Arial" w:hAnsi="Arial"/>
          <w:sz w:val="22"/>
          <w:szCs w:val="22"/>
          <w:color w:val="auto"/>
        </w:rPr>
        <w:t>as to which none of Credit Acceptance, the Servicer or the Borrower has done anything, at the time of its pledge to the Collateral Agent for the benefit of the Secured Parties, to materially impair the rights of the Collateral Agent or the other Secured Parties therein.</w:t>
      </w:r>
    </w:p>
    <w:p>
      <w:pPr>
        <w:spacing w:after="0" w:line="185"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u w:val="single" w:color="auto"/>
          <w:color w:val="auto"/>
        </w:rPr>
        <w:t>Eligible Dealer Loan Contract</w:t>
      </w:r>
      <w:r>
        <w:rPr>
          <w:rFonts w:ascii="Arial" w:cs="Arial" w:eastAsia="Arial" w:hAnsi="Arial"/>
          <w:sz w:val="19"/>
          <w:szCs w:val="19"/>
          <w:color w:val="auto"/>
        </w:rPr>
        <w:t xml:space="preserve">: Each Dealer Loan Contract which at the time of its pledge by the applicable Dealer to the Originator, satisfied the requirements for “Qualifying Receivable” set forth in the related Dealer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Eligible Dealer Loan Contract that has become subject to the payment of a Release Price pursuant to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hereof (regardless of whether such payment is actually paid) shall not constitute an “Eligible Contract.”</w:t>
      </w:r>
    </w:p>
    <w:p>
      <w:pPr>
        <w:spacing w:after="0" w:line="142"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Eligible Dealer Loans</w:t>
      </w:r>
      <w:r>
        <w:rPr>
          <w:rFonts w:ascii="Arial" w:cs="Arial" w:eastAsia="Arial" w:hAnsi="Arial"/>
          <w:sz w:val="22"/>
          <w:szCs w:val="22"/>
          <w:color w:val="auto"/>
        </w:rPr>
        <w:t>: Each Dealer Loan, at the time of its transfer to the Borrower under the Contribution Agreement:</w:t>
      </w:r>
    </w:p>
    <w:p>
      <w:pPr>
        <w:spacing w:after="0" w:line="175" w:lineRule="exact"/>
        <w:rPr>
          <w:sz w:val="20"/>
          <w:szCs w:val="20"/>
          <w:color w:val="auto"/>
        </w:rPr>
      </w:pPr>
    </w:p>
    <w:p>
      <w:pPr>
        <w:ind w:firstLine="656"/>
        <w:spacing w:after="0" w:line="263" w:lineRule="auto"/>
        <w:tabs>
          <w:tab w:leader="none" w:pos="1293" w:val="left"/>
        </w:tabs>
        <w:numPr>
          <w:ilvl w:val="0"/>
          <w:numId w:val="9"/>
        </w:numPr>
        <w:rPr>
          <w:rFonts w:ascii="Arial" w:cs="Arial" w:eastAsia="Arial" w:hAnsi="Arial"/>
          <w:sz w:val="22"/>
          <w:szCs w:val="22"/>
          <w:color w:val="auto"/>
        </w:rPr>
      </w:pPr>
      <w:r>
        <w:rPr>
          <w:rFonts w:ascii="Arial" w:cs="Arial" w:eastAsia="Arial" w:hAnsi="Arial"/>
          <w:sz w:val="22"/>
          <w:szCs w:val="22"/>
          <w:color w:val="auto"/>
        </w:rPr>
        <w:t>which has arisen under a Dealer Agreement that, on the day the Dealer Loan was created, qualified as an Eligible Dealer Agreement;</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9"/>
        </w:numPr>
        <w:rPr>
          <w:rFonts w:ascii="Arial" w:cs="Arial" w:eastAsia="Arial" w:hAnsi="Arial"/>
          <w:sz w:val="22"/>
          <w:szCs w:val="22"/>
          <w:color w:val="auto"/>
        </w:rPr>
      </w:pPr>
      <w:r>
        <w:rPr>
          <w:rFonts w:ascii="Arial" w:cs="Arial" w:eastAsia="Arial" w:hAnsi="Arial"/>
          <w:sz w:val="22"/>
          <w:szCs w:val="22"/>
          <w:color w:val="auto"/>
        </w:rPr>
        <w:t>which was created in material compliance with all applicable requirements of law and pursuant to an Eligible Dealer Agreement which complies in all material respects with all applicable requirements of law;</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9"/>
        </w:numPr>
        <w:rPr>
          <w:rFonts w:ascii="Arial" w:cs="Arial" w:eastAsia="Arial" w:hAnsi="Arial"/>
          <w:sz w:val="22"/>
          <w:szCs w:val="22"/>
          <w:color w:val="auto"/>
        </w:rPr>
      </w:pPr>
      <w:r>
        <w:rPr>
          <w:rFonts w:ascii="Arial" w:cs="Arial" w:eastAsia="Arial" w:hAnsi="Arial"/>
          <w:sz w:val="22"/>
          <w:szCs w:val="22"/>
          <w:color w:val="auto"/>
        </w:rPr>
        <w:t>with respect to which all material consents, licenses, approvals or authorizations of, or registrations or declarations with, any Governmental Authority required to be obtained, effected or given by the Borrower, in connection with the creation of such Dealer Loan or the execution, delivery and performance by the Borrower, of the related Eligible Dealer Agreement have been duly obtained, effected or given and are in full force and effect;</w:t>
      </w:r>
    </w:p>
    <w:p>
      <w:pPr>
        <w:spacing w:after="0" w:line="187" w:lineRule="exact"/>
        <w:rPr>
          <w:rFonts w:ascii="Arial" w:cs="Arial" w:eastAsia="Arial" w:hAnsi="Arial"/>
          <w:sz w:val="22"/>
          <w:szCs w:val="22"/>
          <w:color w:val="auto"/>
        </w:rPr>
      </w:pPr>
    </w:p>
    <w:p>
      <w:pPr>
        <w:ind w:firstLine="656"/>
        <w:spacing w:after="0" w:line="263" w:lineRule="auto"/>
        <w:tabs>
          <w:tab w:leader="none" w:pos="1291" w:val="left"/>
        </w:tabs>
        <w:numPr>
          <w:ilvl w:val="0"/>
          <w:numId w:val="9"/>
        </w:numPr>
        <w:rPr>
          <w:rFonts w:ascii="Arial" w:cs="Arial" w:eastAsia="Arial" w:hAnsi="Arial"/>
          <w:sz w:val="22"/>
          <w:szCs w:val="22"/>
          <w:color w:val="auto"/>
        </w:rPr>
      </w:pPr>
      <w:r>
        <w:rPr>
          <w:rFonts w:ascii="Arial" w:cs="Arial" w:eastAsia="Arial" w:hAnsi="Arial"/>
          <w:sz w:val="22"/>
          <w:szCs w:val="22"/>
          <w:color w:val="auto"/>
        </w:rPr>
        <w:t>as to which at the time of the pledge of such Dealer Loan to the Collateral Agent for the benefit of the Secured Parties, the Borrower will have good and marketable title thereto, free and clear of all Liens;</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9"/>
        </w:numPr>
        <w:rPr>
          <w:rFonts w:ascii="Arial" w:cs="Arial" w:eastAsia="Arial" w:hAnsi="Arial"/>
          <w:sz w:val="22"/>
          <w:szCs w:val="22"/>
          <w:color w:val="auto"/>
        </w:rPr>
      </w:pPr>
      <w:r>
        <w:rPr>
          <w:rFonts w:ascii="Arial" w:cs="Arial" w:eastAsia="Arial" w:hAnsi="Arial"/>
          <w:sz w:val="22"/>
          <w:szCs w:val="22"/>
          <w:color w:val="auto"/>
        </w:rPr>
        <w:t>as to which a valid first priority perfected security interest in such Dealer Loan, related security and in the Proceeds thereof has been granted by the Originator in favor of the Borrower and by the Borrower in favor of the Collateral Agent;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color w:val="auto"/>
        </w:rPr>
        <w:t>which will at all times be the legal, valid and binding payment obligation of the Obligor thereof (it being understood that recourse for such payment obligation shall be limited to the extent set forth in the Dealer Agreement), enforceable against such Obligor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1" w:name="page22"/>
    <w:bookmarkEnd w:id="21"/>
    <w:p>
      <w:pPr>
        <w:jc w:val="both"/>
        <w:spacing w:after="0" w:line="312" w:lineRule="auto"/>
        <w:rPr>
          <w:sz w:val="20"/>
          <w:szCs w:val="20"/>
          <w:color w:val="auto"/>
        </w:rPr>
      </w:pPr>
      <w:r>
        <w:rPr>
          <w:rFonts w:ascii="Arial" w:cs="Arial" w:eastAsia="Arial" w:hAnsi="Arial"/>
          <w:sz w:val="19"/>
          <w:szCs w:val="19"/>
          <w:color w:val="auto"/>
        </w:rPr>
        <w:t>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133"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which constitutes a “general intangible” under and as defined in Article 9 of the UCC as in effect in the relevant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State;</w:t>
      </w:r>
    </w:p>
    <w:p>
      <w:pPr>
        <w:spacing w:after="0" w:line="20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which is denominated and payable in United States dollars;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which, at the time of its pledge to the Collateral Agent for the benefit of the Secured Parties, has not been waived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modified;</w:t>
      </w:r>
    </w:p>
    <w:p>
      <w:pPr>
        <w:spacing w:after="0" w:line="201" w:lineRule="exact"/>
        <w:rPr>
          <w:rFonts w:ascii="Arial" w:cs="Arial" w:eastAsia="Arial" w:hAnsi="Arial"/>
          <w:sz w:val="19"/>
          <w:szCs w:val="19"/>
          <w:color w:val="auto"/>
        </w:rPr>
      </w:pPr>
    </w:p>
    <w:p>
      <w:pPr>
        <w:jc w:val="both"/>
        <w:ind w:firstLine="656"/>
        <w:spacing w:after="0" w:line="250" w:lineRule="auto"/>
        <w:tabs>
          <w:tab w:leader="none" w:pos="1291" w:val="left"/>
        </w:tabs>
        <w:numPr>
          <w:ilvl w:val="0"/>
          <w:numId w:val="11"/>
        </w:numPr>
        <w:rPr>
          <w:rFonts w:ascii="Arial" w:cs="Arial" w:eastAsia="Arial" w:hAnsi="Arial"/>
          <w:sz w:val="22"/>
          <w:szCs w:val="22"/>
          <w:color w:val="auto"/>
        </w:rPr>
      </w:pPr>
      <w:r>
        <w:rPr>
          <w:rFonts w:ascii="Arial" w:cs="Arial" w:eastAsia="Arial" w:hAnsi="Arial"/>
          <w:sz w:val="22"/>
          <w:szCs w:val="22"/>
          <w:color w:val="auto"/>
        </w:rPr>
        <w:t>which is not subject to any right of rescission (subject to the rights of the related Dealer to repay the outstanding balance of the Dealer Loan and terminate the related Dealer Agreement),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187" w:lineRule="exact"/>
        <w:rPr>
          <w:rFonts w:ascii="Arial" w:cs="Arial" w:eastAsia="Arial" w:hAnsi="Arial"/>
          <w:sz w:val="22"/>
          <w:szCs w:val="22"/>
          <w:color w:val="auto"/>
        </w:rPr>
      </w:pPr>
    </w:p>
    <w:p>
      <w:pPr>
        <w:ind w:firstLine="656"/>
        <w:spacing w:after="0" w:line="263" w:lineRule="auto"/>
        <w:tabs>
          <w:tab w:leader="none" w:pos="1284" w:val="left"/>
        </w:tabs>
        <w:numPr>
          <w:ilvl w:val="0"/>
          <w:numId w:val="11"/>
        </w:numPr>
        <w:rPr>
          <w:rFonts w:ascii="Arial" w:cs="Arial" w:eastAsia="Arial" w:hAnsi="Arial"/>
          <w:sz w:val="22"/>
          <w:szCs w:val="22"/>
          <w:color w:val="auto"/>
        </w:rPr>
      </w:pPr>
      <w:r>
        <w:rPr>
          <w:rFonts w:ascii="Arial" w:cs="Arial" w:eastAsia="Arial" w:hAnsi="Arial"/>
          <w:sz w:val="22"/>
          <w:szCs w:val="22"/>
          <w:color w:val="auto"/>
        </w:rPr>
        <w:t>as to which Credit Acceptance, the Servicer and the Borrower have satisfied all material obligations to be fulfilled at the time it is pledged to the Collateral Agent for the benefit of the Secured Parties;</w:t>
      </w:r>
    </w:p>
    <w:p>
      <w:pPr>
        <w:spacing w:after="0" w:line="174" w:lineRule="exact"/>
        <w:rPr>
          <w:rFonts w:ascii="Arial" w:cs="Arial" w:eastAsia="Arial" w:hAnsi="Arial"/>
          <w:sz w:val="22"/>
          <w:szCs w:val="22"/>
          <w:color w:val="auto"/>
        </w:rPr>
      </w:pPr>
    </w:p>
    <w:p>
      <w:pPr>
        <w:ind w:firstLine="656"/>
        <w:spacing w:after="0" w:line="263" w:lineRule="auto"/>
        <w:tabs>
          <w:tab w:leader="none" w:pos="1284" w:val="left"/>
        </w:tabs>
        <w:numPr>
          <w:ilvl w:val="0"/>
          <w:numId w:val="11"/>
        </w:numPr>
        <w:rPr>
          <w:rFonts w:ascii="Arial" w:cs="Arial" w:eastAsia="Arial" w:hAnsi="Arial"/>
          <w:sz w:val="22"/>
          <w:szCs w:val="22"/>
          <w:color w:val="auto"/>
        </w:rPr>
      </w:pPr>
      <w:r>
        <w:rPr>
          <w:rFonts w:ascii="Arial" w:cs="Arial" w:eastAsia="Arial" w:hAnsi="Arial"/>
          <w:sz w:val="22"/>
          <w:szCs w:val="22"/>
          <w:color w:val="auto"/>
        </w:rPr>
        <w:t>as to which the related Dealer has not asserted that the related Dealer Agreement is void or unenforceable in any legal proceeding not being contested in good faith;</w:t>
      </w:r>
    </w:p>
    <w:p>
      <w:pPr>
        <w:spacing w:after="0" w:line="174"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11"/>
        </w:numPr>
        <w:rPr>
          <w:rFonts w:ascii="Arial" w:cs="Arial" w:eastAsia="Arial" w:hAnsi="Arial"/>
          <w:sz w:val="22"/>
          <w:szCs w:val="22"/>
          <w:color w:val="auto"/>
        </w:rPr>
      </w:pPr>
      <w:r>
        <w:rPr>
          <w:rFonts w:ascii="Arial" w:cs="Arial" w:eastAsia="Arial" w:hAnsi="Arial"/>
          <w:sz w:val="22"/>
          <w:szCs w:val="22"/>
          <w:color w:val="auto"/>
        </w:rPr>
        <w:t>as to which the related Dealer is not known to be bankrupt or insolvent, subject to the proviso related to the definition of “Collateral Amount” with respect to bankruptcy and insolvency of Dealers;</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11"/>
        </w:numPr>
        <w:rPr>
          <w:rFonts w:ascii="Arial" w:cs="Arial" w:eastAsia="Arial" w:hAnsi="Arial"/>
          <w:sz w:val="22"/>
          <w:szCs w:val="22"/>
          <w:color w:val="auto"/>
        </w:rPr>
      </w:pPr>
      <w:r>
        <w:rPr>
          <w:rFonts w:ascii="Arial" w:cs="Arial" w:eastAsia="Arial" w:hAnsi="Arial"/>
          <w:sz w:val="22"/>
          <w:szCs w:val="22"/>
          <w:color w:val="auto"/>
        </w:rPr>
        <w:t>as to which none of Credit Acceptance, the Servicer or the Borrower has done anything, at the time of its pledge to the Collateral Agent for the benefit of the Secured Parties, to impair the rights of the Collateral Agent or the other Secured Parties;</w:t>
      </w:r>
    </w:p>
    <w:p>
      <w:pPr>
        <w:spacing w:after="0" w:line="185"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proceeds of which were used to finance the purchases of new or used automobiles and/or light-duty trucks and related products;</w:t>
      </w:r>
    </w:p>
    <w:p>
      <w:pPr>
        <w:spacing w:after="0" w:line="174" w:lineRule="exact"/>
        <w:rPr>
          <w:rFonts w:ascii="Arial" w:cs="Arial" w:eastAsia="Arial" w:hAnsi="Arial"/>
          <w:sz w:val="22"/>
          <w:szCs w:val="22"/>
          <w:color w:val="auto"/>
        </w:rPr>
      </w:pPr>
    </w:p>
    <w:p>
      <w:pPr>
        <w:jc w:val="both"/>
        <w:ind w:firstLine="656"/>
        <w:spacing w:after="0" w:line="312" w:lineRule="auto"/>
        <w:tabs>
          <w:tab w:leader="none" w:pos="1291"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any Dealer Loan Contract securing such Dealer Loan is an electronic contract, such electronic contract constitutes “electronic chattel paper” and there is only a single “authoritative copy” (as such terms are used in Section 9-105 of the UCC) of such electronic contract and such “authoritative copy” constitutes an Authoritative Electronic Copy; and</w:t>
      </w:r>
    </w:p>
    <w:p>
      <w:pPr>
        <w:spacing w:after="0" w:line="133" w:lineRule="exact"/>
        <w:rPr>
          <w:rFonts w:ascii="Arial" w:cs="Arial" w:eastAsia="Arial" w:hAnsi="Arial"/>
          <w:sz w:val="19"/>
          <w:szCs w:val="19"/>
          <w:color w:val="auto"/>
        </w:rPr>
      </w:pPr>
    </w:p>
    <w:p>
      <w:pPr>
        <w:ind w:right="20" w:firstLine="656"/>
        <w:spacing w:after="0" w:line="263"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color w:val="auto"/>
        </w:rPr>
        <w:t>if any Dealer Loan Contract securing such Dealer Loan constitutes electronic chattel paper, Credit Acceptance shall have “control” of such electronic chattel paper within the meaning of Section 9-105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2" w:name="page23"/>
    <w:bookmarkEnd w:id="22"/>
    <w:p>
      <w:pPr>
        <w:ind w:left="980"/>
        <w:spacing w:after="0"/>
        <w:rPr>
          <w:sz w:val="20"/>
          <w:szCs w:val="20"/>
          <w:color w:val="auto"/>
        </w:rPr>
      </w:pPr>
      <w:r>
        <w:rPr>
          <w:rFonts w:ascii="Arial" w:cs="Arial" w:eastAsia="Arial" w:hAnsi="Arial"/>
          <w:sz w:val="22"/>
          <w:szCs w:val="22"/>
          <w:u w:val="single" w:color="auto"/>
          <w:color w:val="auto"/>
        </w:rPr>
        <w:t>Eligible Hedge Transaction</w:t>
      </w:r>
      <w:r>
        <w:rPr>
          <w:rFonts w:ascii="Arial" w:cs="Arial" w:eastAsia="Arial" w:hAnsi="Arial"/>
          <w:sz w:val="22"/>
          <w:szCs w:val="22"/>
          <w:color w:val="auto"/>
        </w:rPr>
        <w:t>: Each Hedge Transaction governed by an Eligible Hedging Agreement.</w:t>
      </w:r>
    </w:p>
    <w:p>
      <w:pPr>
        <w:spacing w:after="0" w:line="220"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u w:val="single" w:color="auto"/>
          <w:color w:val="auto"/>
        </w:rPr>
        <w:t>Eligible Hedging Agreement</w:t>
      </w:r>
      <w:r>
        <w:rPr>
          <w:rFonts w:ascii="Arial" w:cs="Arial" w:eastAsia="Arial" w:hAnsi="Arial"/>
          <w:sz w:val="22"/>
          <w:szCs w:val="22"/>
          <w:color w:val="auto"/>
        </w:rPr>
        <w:t>: Any of the following: (i) that certain ISDA Master Agreement and the Schedule thereto, each dated as of December 23, 2020, and entered into between the Borrower and Fifth Third, as amended, supplemented or otherwise modified and in effect on the date hereof and as may be further amended, supplemented or otherwise modified with the written consent of the Deal Agent, or (ii) any other Hedging Agreement approved by the Deal Agent in writing with respect to a Hedge Transaction.</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Eligible Loans</w:t>
      </w:r>
      <w:r>
        <w:rPr>
          <w:rFonts w:ascii="Arial" w:cs="Arial" w:eastAsia="Arial" w:hAnsi="Arial"/>
          <w:sz w:val="22"/>
          <w:szCs w:val="22"/>
          <w:color w:val="auto"/>
        </w:rPr>
        <w:t>: The Eligible Dealer Loans and Eligible Purchased Loans.</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Eligible Purchased Loan Contract</w:t>
      </w:r>
      <w:r>
        <w:rPr>
          <w:rFonts w:ascii="Arial" w:cs="Arial" w:eastAsia="Arial" w:hAnsi="Arial"/>
          <w:sz w:val="22"/>
          <w:szCs w:val="22"/>
          <w:color w:val="auto"/>
        </w:rPr>
        <w:t xml:space="preserve">: Each Purchased Loan Contract which at the time of its purchase from the applicable Dealer by the Originator, evidenced an Eligible Purchased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an Eligible Purchased Loan Contract that has become subject to the payment of a Release Price pursuant to </w:t>
      </w:r>
      <w:r>
        <w:rPr>
          <w:rFonts w:ascii="Arial" w:cs="Arial" w:eastAsia="Arial" w:hAnsi="Arial"/>
          <w:sz w:val="22"/>
          <w:szCs w:val="22"/>
          <w:u w:val="single" w:color="auto"/>
          <w:color w:val="auto"/>
        </w:rPr>
        <w:t>Section 4.5(a)</w:t>
      </w:r>
      <w:r>
        <w:rPr>
          <w:rFonts w:ascii="Arial" w:cs="Arial" w:eastAsia="Arial" w:hAnsi="Arial"/>
          <w:sz w:val="22"/>
          <w:szCs w:val="22"/>
          <w:color w:val="auto"/>
        </w:rPr>
        <w:t xml:space="preserve"> hereof (regardless of whether such payment is actually paid) shall not constitute an “Eligible Contract.”</w:t>
      </w:r>
    </w:p>
    <w:p>
      <w:pPr>
        <w:spacing w:after="0" w:line="18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Eligible Purchased Loans</w:t>
      </w:r>
      <w:r>
        <w:rPr>
          <w:rFonts w:ascii="Arial" w:cs="Arial" w:eastAsia="Arial" w:hAnsi="Arial"/>
          <w:sz w:val="22"/>
          <w:szCs w:val="22"/>
          <w:color w:val="auto"/>
        </w:rPr>
        <w:t>: Each Purchased Loan, at the time of its transfer to the Borrower under the Contribution Agreement:</w:t>
      </w:r>
    </w:p>
    <w:p>
      <w:pPr>
        <w:spacing w:after="0" w:line="175" w:lineRule="exact"/>
        <w:rPr>
          <w:sz w:val="20"/>
          <w:szCs w:val="20"/>
          <w:color w:val="auto"/>
        </w:rPr>
      </w:pPr>
    </w:p>
    <w:p>
      <w:pPr>
        <w:jc w:val="both"/>
        <w:ind w:firstLine="656"/>
        <w:spacing w:after="0" w:line="248" w:lineRule="auto"/>
        <w:tabs>
          <w:tab w:leader="none" w:pos="1296" w:val="left"/>
        </w:tabs>
        <w:numPr>
          <w:ilvl w:val="0"/>
          <w:numId w:val="12"/>
        </w:numPr>
        <w:rPr>
          <w:rFonts w:ascii="Arial" w:cs="Arial" w:eastAsia="Arial" w:hAnsi="Arial"/>
          <w:sz w:val="22"/>
          <w:szCs w:val="22"/>
          <w:color w:val="auto"/>
        </w:rPr>
      </w:pPr>
      <w:r>
        <w:rPr>
          <w:rFonts w:ascii="Arial" w:cs="Arial" w:eastAsia="Arial" w:hAnsi="Arial"/>
          <w:sz w:val="22"/>
          <w:szCs w:val="22"/>
          <w:color w:val="auto"/>
        </w:rPr>
        <w:t>which has been originated in the United States by a Dealer for the retail sale of a Financed Vehicle in the ordinary course of such Dealer's business and is evidenced by a fully and properly executed Purchased Loan Contract of which there is only one original executed copy (or, if such Purchased Loan Contract is an electronic contract, there is only a single “authoritative copy” (as such term is used in Section 9-105 of the UCC) of such electronic contract and such “authoritative copy” constitutes an Authoritative Electronic Copy);</w:t>
      </w:r>
    </w:p>
    <w:p>
      <w:pPr>
        <w:spacing w:after="0" w:line="192" w:lineRule="exact"/>
        <w:rPr>
          <w:sz w:val="20"/>
          <w:szCs w:val="20"/>
          <w:color w:val="auto"/>
        </w:rPr>
      </w:pPr>
    </w:p>
    <w:p>
      <w:pPr>
        <w:jc w:val="both"/>
        <w:ind w:firstLine="656"/>
        <w:spacing w:after="0" w:line="253" w:lineRule="auto"/>
        <w:tabs>
          <w:tab w:leader="none" w:pos="1284" w:val="left"/>
        </w:tabs>
        <w:numPr>
          <w:ilvl w:val="0"/>
          <w:numId w:val="13"/>
        </w:numPr>
        <w:rPr>
          <w:rFonts w:ascii="Arial" w:cs="Arial" w:eastAsia="Arial" w:hAnsi="Arial"/>
          <w:sz w:val="22"/>
          <w:szCs w:val="22"/>
          <w:color w:val="auto"/>
        </w:rPr>
      </w:pPr>
      <w:r>
        <w:rPr>
          <w:rFonts w:ascii="Arial" w:cs="Arial" w:eastAsia="Arial" w:hAnsi="Arial"/>
          <w:sz w:val="22"/>
          <w:szCs w:val="22"/>
          <w:color w:val="auto"/>
        </w:rPr>
        <w:t>which creates a valid, subsisting, and enforceable first priority security interest for the benefit of the Originator in the Financed Vehicle, which security interest has been, in turn, assigned by the Originator to the Borrower, and by the Borrower to the Collateral Agent;</w:t>
      </w:r>
    </w:p>
    <w:p>
      <w:pPr>
        <w:spacing w:after="0" w:line="185" w:lineRule="exact"/>
        <w:rPr>
          <w:rFonts w:ascii="Arial" w:cs="Arial" w:eastAsia="Arial" w:hAnsi="Arial"/>
          <w:sz w:val="22"/>
          <w:szCs w:val="22"/>
          <w:color w:val="auto"/>
        </w:rPr>
      </w:pPr>
    </w:p>
    <w:p>
      <w:pPr>
        <w:ind w:firstLine="656"/>
        <w:spacing w:after="0" w:line="263" w:lineRule="auto"/>
        <w:tabs>
          <w:tab w:leader="none" w:pos="1296" w:val="left"/>
        </w:tabs>
        <w:numPr>
          <w:ilvl w:val="0"/>
          <w:numId w:val="13"/>
        </w:numPr>
        <w:rPr>
          <w:rFonts w:ascii="Arial" w:cs="Arial" w:eastAsia="Arial" w:hAnsi="Arial"/>
          <w:sz w:val="22"/>
          <w:szCs w:val="22"/>
          <w:color w:val="auto"/>
        </w:rPr>
      </w:pPr>
      <w:r>
        <w:rPr>
          <w:rFonts w:ascii="Arial" w:cs="Arial" w:eastAsia="Arial" w:hAnsi="Arial"/>
          <w:sz w:val="22"/>
          <w:szCs w:val="22"/>
          <w:color w:val="auto"/>
        </w:rPr>
        <w:t>which contains customary and enforceable provisions such that the rights and remedies of the holder thereof shall be adequate for realization against the collateral of the benefits of the security;</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84" w:val="left"/>
        </w:tabs>
        <w:numPr>
          <w:ilvl w:val="0"/>
          <w:numId w:val="13"/>
        </w:numPr>
        <w:rPr>
          <w:rFonts w:ascii="Arial" w:cs="Arial" w:eastAsia="Arial" w:hAnsi="Arial"/>
          <w:sz w:val="22"/>
          <w:szCs w:val="22"/>
          <w:color w:val="auto"/>
        </w:rPr>
      </w:pPr>
      <w:r>
        <w:rPr>
          <w:rFonts w:ascii="Arial" w:cs="Arial" w:eastAsia="Arial" w:hAnsi="Arial"/>
          <w:sz w:val="22"/>
          <w:szCs w:val="22"/>
          <w:color w:val="auto"/>
        </w:rPr>
        <w:t>which provides for, in the event that such Purchased Loan is prepaid in full, a prepayment that fully pays the Outstanding Balance of such Purchased Loan (net of all rebates for the unused portion of any ancillary products and net of all unearned finance charges);</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which was created in material compliance with all applicable requirements of law;</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284" w:val="left"/>
        </w:tabs>
        <w:numPr>
          <w:ilvl w:val="0"/>
          <w:numId w:val="13"/>
        </w:numPr>
        <w:rPr>
          <w:rFonts w:ascii="Arial" w:cs="Arial" w:eastAsia="Arial" w:hAnsi="Arial"/>
          <w:sz w:val="22"/>
          <w:szCs w:val="22"/>
          <w:color w:val="auto"/>
        </w:rPr>
      </w:pPr>
      <w:r>
        <w:rPr>
          <w:rFonts w:ascii="Arial" w:cs="Arial" w:eastAsia="Arial" w:hAnsi="Arial"/>
          <w:sz w:val="22"/>
          <w:szCs w:val="22"/>
          <w:color w:val="auto"/>
        </w:rPr>
        <w:t>which will at all times be the legal, valid and binding payment obligation of the Obligor thereof, enforceable against such Obligor in accordance with its terms, except as such enforceability may be limited by applicable bankruptcy, insolvency, reorganization, moratorium or other similar laws, now or hereafter in effect, affecting the enforcement of creditors' rights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3" w:name="page24"/>
    <w:bookmarkEnd w:id="23"/>
    <w:p>
      <w:pPr>
        <w:ind w:right="20"/>
        <w:spacing w:after="0" w:line="263" w:lineRule="auto"/>
        <w:rPr>
          <w:sz w:val="20"/>
          <w:szCs w:val="20"/>
          <w:color w:val="auto"/>
        </w:rPr>
      </w:pPr>
      <w:r>
        <w:rPr>
          <w:rFonts w:ascii="Arial" w:cs="Arial" w:eastAsia="Arial" w:hAnsi="Arial"/>
          <w:sz w:val="22"/>
          <w:szCs w:val="22"/>
          <w:color w:val="auto"/>
        </w:rPr>
        <w:t>general and except as such enforceability may be limited by general principles of equity (whether considered in a suit at law or in equity);</w:t>
      </w:r>
    </w:p>
    <w:p>
      <w:pPr>
        <w:spacing w:after="0" w:line="175" w:lineRule="exact"/>
        <w:rPr>
          <w:sz w:val="20"/>
          <w:szCs w:val="20"/>
          <w:color w:val="auto"/>
        </w:rPr>
      </w:pPr>
    </w:p>
    <w:p>
      <w:pPr>
        <w:jc w:val="both"/>
        <w:ind w:firstLine="656"/>
        <w:spacing w:after="0" w:line="253" w:lineRule="auto"/>
        <w:tabs>
          <w:tab w:leader="none" w:pos="12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185"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with respect to which the Obligor thereon is not the United States, any State or any agency, department, or instrumentality of the United States or any State;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with respect to which the Obligor thereon is a natural person;</w:t>
      </w:r>
    </w:p>
    <w:p>
      <w:pPr>
        <w:spacing w:after="0" w:line="219" w:lineRule="exact"/>
        <w:rPr>
          <w:rFonts w:ascii="Arial" w:cs="Arial" w:eastAsia="Arial" w:hAnsi="Arial"/>
          <w:sz w:val="22"/>
          <w:szCs w:val="22"/>
          <w:color w:val="auto"/>
        </w:rPr>
      </w:pPr>
    </w:p>
    <w:p>
      <w:pPr>
        <w:jc w:val="both"/>
        <w:ind w:right="20" w:firstLine="656"/>
        <w:spacing w:after="0" w:line="271" w:lineRule="auto"/>
        <w:tabs>
          <w:tab w:leader="none" w:pos="1288" w:val="left"/>
        </w:tabs>
        <w:numPr>
          <w:ilvl w:val="0"/>
          <w:numId w:val="14"/>
        </w:numPr>
        <w:rPr>
          <w:rFonts w:ascii="Arial" w:cs="Arial" w:eastAsia="Arial" w:hAnsi="Arial"/>
          <w:sz w:val="21"/>
          <w:szCs w:val="21"/>
          <w:color w:val="auto"/>
        </w:rPr>
      </w:pPr>
      <w:r>
        <w:rPr>
          <w:rFonts w:ascii="Arial" w:cs="Arial" w:eastAsia="Arial" w:hAnsi="Arial"/>
          <w:sz w:val="21"/>
          <w:szCs w:val="21"/>
          <w:color w:val="auto"/>
        </w:rPr>
        <w:t>with respect to which, to the best of the Originator's knowledge, no liens or claims have been filed for work, labor, materials, taxes or liens that arise out of operation of law relating to the applicable Financed Vehicle that are prior to, or equal with, the security interest in the Financed Vehicle granted by the related Purchased Loan Contract;</w:t>
      </w:r>
    </w:p>
    <w:p>
      <w:pPr>
        <w:spacing w:after="0" w:line="167" w:lineRule="exact"/>
        <w:rPr>
          <w:rFonts w:ascii="Arial" w:cs="Arial" w:eastAsia="Arial" w:hAnsi="Arial"/>
          <w:sz w:val="21"/>
          <w:szCs w:val="21"/>
          <w:color w:val="auto"/>
        </w:rPr>
      </w:pPr>
    </w:p>
    <w:p>
      <w:pPr>
        <w:ind w:firstLine="656"/>
        <w:spacing w:after="0" w:line="263" w:lineRule="auto"/>
        <w:tabs>
          <w:tab w:leader="none" w:pos="1288" w:val="left"/>
        </w:tabs>
        <w:numPr>
          <w:ilvl w:val="0"/>
          <w:numId w:val="14"/>
        </w:numPr>
        <w:rPr>
          <w:rFonts w:ascii="Arial" w:cs="Arial" w:eastAsia="Arial" w:hAnsi="Arial"/>
          <w:sz w:val="22"/>
          <w:szCs w:val="22"/>
          <w:color w:val="auto"/>
        </w:rPr>
      </w:pPr>
      <w:r>
        <w:rPr>
          <w:rFonts w:ascii="Arial" w:cs="Arial" w:eastAsia="Arial" w:hAnsi="Arial"/>
          <w:sz w:val="22"/>
          <w:szCs w:val="22"/>
          <w:color w:val="auto"/>
        </w:rPr>
        <w:t>with respect to which, to the best of the Originator's knowledge, there was no material misrepresentation by the Obligor thereon on such Obligor's credit application;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which has not been originated in, and is not subject to the laws of, any jurisdiction under which the sale, transfer and assignment of such Purchased Loan under this Agreement or pursuant to the transfer of the related Purchased Loan Contract shall be unlawful, void or voidable;</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288" w:val="left"/>
        </w:tabs>
        <w:numPr>
          <w:ilvl w:val="0"/>
          <w:numId w:val="14"/>
        </w:numPr>
        <w:rPr>
          <w:rFonts w:ascii="Arial" w:cs="Arial" w:eastAsia="Arial" w:hAnsi="Arial"/>
          <w:sz w:val="22"/>
          <w:szCs w:val="22"/>
          <w:color w:val="auto"/>
        </w:rPr>
      </w:pPr>
      <w:r>
        <w:rPr>
          <w:rFonts w:ascii="Arial" w:cs="Arial" w:eastAsia="Arial" w:hAnsi="Arial"/>
          <w:sz w:val="22"/>
          <w:szCs w:val="22"/>
          <w:color w:val="auto"/>
        </w:rPr>
        <w:t>which (i) constitutes either “tangible chattel paper,” “electronic chattel paper” or a “payment intangible” each as defined in the UCC in the relevant State, (ii) if “tangible chattel paper,” shall be maintained in its original “tangible” form, unless the Deal Agent has consented in writing to such chattel paper being maintained in another form or medium, and (iii) if “electronic chattel paper,” there is only a single “authoritative copy” (as such term is used in Section 9-105 of the UCC) and such “authoritative copy” constitutes an Authoritative Electronic Copy;</w:t>
      </w:r>
    </w:p>
    <w:p>
      <w:pPr>
        <w:spacing w:after="0" w:line="191" w:lineRule="exact"/>
        <w:rPr>
          <w:rFonts w:ascii="Arial" w:cs="Arial" w:eastAsia="Arial" w:hAnsi="Arial"/>
          <w:sz w:val="22"/>
          <w:szCs w:val="22"/>
          <w:color w:val="auto"/>
        </w:rPr>
      </w:pPr>
    </w:p>
    <w:p>
      <w:pPr>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which is payable in United States dollars and the Obligor thereon is an individual who is a United States resident;</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which satisfies in all material respects the requirements under the Credit Guidelines;</w:t>
      </w:r>
    </w:p>
    <w:p>
      <w:pPr>
        <w:spacing w:after="0" w:line="219" w:lineRule="exact"/>
        <w:rPr>
          <w:rFonts w:ascii="Arial" w:cs="Arial" w:eastAsia="Arial" w:hAnsi="Arial"/>
          <w:sz w:val="22"/>
          <w:szCs w:val="22"/>
          <w:color w:val="auto"/>
        </w:rPr>
      </w:pPr>
    </w:p>
    <w:p>
      <w:pPr>
        <w:ind w:firstLine="656"/>
        <w:spacing w:after="0" w:line="263"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with respect to which the collection practices used with respect thereto have complied in all material respects with the Collection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4" w:name="page25"/>
    <w:bookmarkEnd w:id="24"/>
    <w:p>
      <w:pPr>
        <w:ind w:right="20" w:firstLine="656"/>
        <w:spacing w:after="0" w:line="343" w:lineRule="auto"/>
        <w:tabs>
          <w:tab w:leader="none" w:pos="1296"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 respect to which there are no proceedings pending, or to the best of the Originator's knowledge, threatened, wherein the Obligor thereon or any governmental agency has alleged that such Purchased Loan is illegal or unenforceable;</w:t>
      </w:r>
    </w:p>
    <w:p>
      <w:pPr>
        <w:spacing w:after="0" w:line="104" w:lineRule="exact"/>
        <w:rPr>
          <w:rFonts w:ascii="Arial" w:cs="Arial" w:eastAsia="Arial" w:hAnsi="Arial"/>
          <w:sz w:val="19"/>
          <w:szCs w:val="19"/>
          <w:color w:val="auto"/>
        </w:rPr>
      </w:pPr>
    </w:p>
    <w:p>
      <w:pPr>
        <w:jc w:val="both"/>
        <w:ind w:firstLine="656"/>
        <w:spacing w:after="0" w:line="302" w:lineRule="auto"/>
        <w:tabs>
          <w:tab w:leader="none" w:pos="1275"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 respect to which the Originator has duly fulfilled all material obligations to be fulfilled on the lender's part under or in connection with the origination, acquisition and assignment of such Purchased Loan, including, without limitation, giving any notices or consents necessary to effect the acquisition of such Purchased Loan by the Borrower, and has done nothing to materially impair the rights of the Borrower, or the Secured Parties in payments with respect thereto;</w:t>
      </w:r>
    </w:p>
    <w:p>
      <w:pPr>
        <w:spacing w:after="0" w:line="142" w:lineRule="exact"/>
        <w:rPr>
          <w:rFonts w:ascii="Arial" w:cs="Arial" w:eastAsia="Arial" w:hAnsi="Arial"/>
          <w:sz w:val="19"/>
          <w:szCs w:val="19"/>
          <w:color w:val="auto"/>
        </w:rPr>
      </w:pPr>
    </w:p>
    <w:p>
      <w:pPr>
        <w:ind w:right="20" w:firstLine="656"/>
        <w:spacing w:after="0" w:line="287" w:lineRule="auto"/>
        <w:tabs>
          <w:tab w:leader="none" w:pos="1285" w:val="left"/>
        </w:tabs>
        <w:numPr>
          <w:ilvl w:val="0"/>
          <w:numId w:val="15"/>
        </w:numPr>
        <w:rPr>
          <w:rFonts w:ascii="Arial" w:cs="Arial" w:eastAsia="Arial" w:hAnsi="Arial"/>
          <w:sz w:val="21"/>
          <w:szCs w:val="21"/>
          <w:color w:val="auto"/>
        </w:rPr>
      </w:pPr>
      <w:r>
        <w:rPr>
          <w:rFonts w:ascii="Arial" w:cs="Arial" w:eastAsia="Arial" w:hAnsi="Arial"/>
          <w:sz w:val="21"/>
          <w:szCs w:val="21"/>
          <w:color w:val="auto"/>
        </w:rPr>
        <w:t>which was purchased by the Originator from a Dealer pursuant to a Purchase Agreement or, in the case of any Purchased Loan Contract that previously secured a Dealer Loan, another agreement with the applicable Dealer;</w:t>
      </w:r>
    </w:p>
    <w:p>
      <w:pPr>
        <w:spacing w:after="0" w:line="151" w:lineRule="exact"/>
        <w:rPr>
          <w:rFonts w:ascii="Arial" w:cs="Arial" w:eastAsia="Arial" w:hAnsi="Arial"/>
          <w:sz w:val="21"/>
          <w:szCs w:val="21"/>
          <w:color w:val="auto"/>
        </w:rPr>
      </w:pPr>
    </w:p>
    <w:p>
      <w:pPr>
        <w:jc w:val="both"/>
        <w:ind w:firstLine="656"/>
        <w:spacing w:after="0" w:line="253" w:lineRule="auto"/>
        <w:tabs>
          <w:tab w:leader="none" w:pos="1288" w:val="left"/>
        </w:tabs>
        <w:numPr>
          <w:ilvl w:val="0"/>
          <w:numId w:val="15"/>
        </w:numPr>
        <w:rPr>
          <w:rFonts w:ascii="Arial" w:cs="Arial" w:eastAsia="Arial" w:hAnsi="Arial"/>
          <w:sz w:val="22"/>
          <w:szCs w:val="22"/>
          <w:color w:val="auto"/>
        </w:rPr>
      </w:pPr>
      <w:r>
        <w:rPr>
          <w:rFonts w:ascii="Arial" w:cs="Arial" w:eastAsia="Arial" w:hAnsi="Arial"/>
          <w:sz w:val="22"/>
          <w:szCs w:val="22"/>
          <w:color w:val="auto"/>
        </w:rPr>
        <w:t>with respect to which the Dealer from whom the Originator purchased such Purchased Loan has not engaged in any conduct constituting fraud or material misrepresentation with respect to such Purchased Loan to the best of the Originator's knowledge;</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15"/>
        </w:numPr>
        <w:rPr>
          <w:rFonts w:ascii="Arial" w:cs="Arial" w:eastAsia="Arial" w:hAnsi="Arial"/>
          <w:sz w:val="22"/>
          <w:szCs w:val="22"/>
          <w:color w:val="auto"/>
        </w:rPr>
      </w:pPr>
      <w:r>
        <w:rPr>
          <w:rFonts w:ascii="Arial" w:cs="Arial" w:eastAsia="Arial" w:hAnsi="Arial"/>
          <w:sz w:val="22"/>
          <w:szCs w:val="22"/>
          <w:color w:val="auto"/>
        </w:rPr>
        <w:t>with respect to which, at the time such Purchased Loan was originated the proceeds thereof were fully disbursed and there is no requirement for future advances thereunder, and all fees and expenses in connection with the origination of such Purchased Loan have been paid;</w:t>
      </w:r>
    </w:p>
    <w:p>
      <w:pPr>
        <w:spacing w:after="0" w:line="185" w:lineRule="exact"/>
        <w:rPr>
          <w:rFonts w:ascii="Arial" w:cs="Arial" w:eastAsia="Arial" w:hAnsi="Arial"/>
          <w:sz w:val="22"/>
          <w:szCs w:val="22"/>
          <w:color w:val="auto"/>
        </w:rPr>
      </w:pPr>
    </w:p>
    <w:p>
      <w:pPr>
        <w:jc w:val="both"/>
        <w:ind w:firstLine="656"/>
        <w:spacing w:after="0" w:line="290" w:lineRule="auto"/>
        <w:tabs>
          <w:tab w:leader="none" w:pos="1282"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 respect to which, if applicable State law requires or permits the Servicer to hold the certificate of title in respect of a Financed Vehicle financed by a Purchased Loan Contract, the Servicer holds the certificate of title (or if an electronic certificate of title is issued in lieu of a paper certificate of title by the relevant governmental department or agency, Credit Acceptance is listed as lienholder on such electronic certificate of title) or the application for a certificate of title for the related Financed Vehicle as of the date on which the related Purchased Loan Contract is sold to the Borrower and will obtain within 180 days of such date a certificate of title (or ensure that an electronic certificate of title is issued in lieu of a paper certificate of title by the relevant governmental department or agency on which Credit Acceptance is listed as lienholder) with respect to such Financed Vehicle as to which the Servicer holds only such application;</w:t>
      </w:r>
    </w:p>
    <w:p>
      <w:pPr>
        <w:spacing w:after="0" w:line="155" w:lineRule="exact"/>
        <w:rPr>
          <w:rFonts w:ascii="Arial" w:cs="Arial" w:eastAsia="Arial" w:hAnsi="Arial"/>
          <w:sz w:val="19"/>
          <w:szCs w:val="19"/>
          <w:color w:val="auto"/>
        </w:rPr>
      </w:pPr>
    </w:p>
    <w:p>
      <w:pPr>
        <w:jc w:val="both"/>
        <w:ind w:firstLine="656"/>
        <w:spacing w:after="0" w:line="253" w:lineRule="auto"/>
        <w:tabs>
          <w:tab w:leader="none" w:pos="1276" w:val="left"/>
        </w:tabs>
        <w:numPr>
          <w:ilvl w:val="0"/>
          <w:numId w:val="15"/>
        </w:numPr>
        <w:rPr>
          <w:rFonts w:ascii="Arial" w:cs="Arial" w:eastAsia="Arial" w:hAnsi="Arial"/>
          <w:sz w:val="22"/>
          <w:szCs w:val="22"/>
          <w:color w:val="auto"/>
        </w:rPr>
      </w:pPr>
      <w:r>
        <w:rPr>
          <w:rFonts w:ascii="Arial" w:cs="Arial" w:eastAsia="Arial" w:hAnsi="Arial"/>
          <w:sz w:val="22"/>
          <w:szCs w:val="22"/>
          <w:color w:val="auto"/>
        </w:rPr>
        <w:t>with respect to which the related Purchased Loan Contract has not been extended or rewritten and is not subject to any forbearance, or any other modified payment plan, in each case, other than in accordance with the Credit Guidelines or the Collection Guidelines or otherwise in accordance with Applicable Law; and</w:t>
      </w:r>
    </w:p>
    <w:p>
      <w:pPr>
        <w:spacing w:after="0" w:line="185" w:lineRule="exact"/>
        <w:rPr>
          <w:rFonts w:ascii="Arial" w:cs="Arial" w:eastAsia="Arial" w:hAnsi="Arial"/>
          <w:sz w:val="22"/>
          <w:szCs w:val="22"/>
          <w:color w:val="auto"/>
        </w:rPr>
      </w:pPr>
    </w:p>
    <w:p>
      <w:pPr>
        <w:ind w:firstLine="656"/>
        <w:spacing w:after="0" w:line="287" w:lineRule="auto"/>
        <w:tabs>
          <w:tab w:leader="none" w:pos="1296" w:val="left"/>
        </w:tabs>
        <w:numPr>
          <w:ilvl w:val="0"/>
          <w:numId w:val="15"/>
        </w:numPr>
        <w:rPr>
          <w:rFonts w:ascii="Arial" w:cs="Arial" w:eastAsia="Arial" w:hAnsi="Arial"/>
          <w:sz w:val="21"/>
          <w:szCs w:val="21"/>
          <w:color w:val="auto"/>
        </w:rPr>
      </w:pPr>
      <w:r>
        <w:rPr>
          <w:rFonts w:ascii="Arial" w:cs="Arial" w:eastAsia="Arial" w:hAnsi="Arial"/>
          <w:sz w:val="21"/>
          <w:szCs w:val="21"/>
          <w:color w:val="auto"/>
        </w:rPr>
        <w:t>if the related Purchased Loan Contract constitutes electronic chattel paper, with respect to which Credit Acceptance shall have “control” of such electronic chattel paper within the meaning of Section 9-105 of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5" w:name="page26"/>
    <w:bookmarkEnd w:id="25"/>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The United States Employee Retirement Income Security Act of 1974, as amended from time to time, and the regulations promulgated and rulings issued thereunder.</w:t>
      </w:r>
    </w:p>
    <w:p>
      <w:pPr>
        <w:spacing w:after="0" w:line="175"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u w:val="single" w:color="auto"/>
          <w:color w:val="auto"/>
        </w:rPr>
        <w:t>ERISA Affiliate</w:t>
      </w:r>
      <w:r>
        <w:rPr>
          <w:rFonts w:ascii="Arial" w:cs="Arial" w:eastAsia="Arial" w:hAnsi="Arial"/>
          <w:sz w:val="22"/>
          <w:szCs w:val="22"/>
          <w:color w:val="auto"/>
        </w:rPr>
        <w:t>: (a) Any corporation that is a member of the same controlled group of corporations (within the meaning of Section 414(b) of the Code) as the Borrower, (b) a trade or business (whether or not incorporated) under common control (within the meaning of Section 414(c) of the Code) with the Borrower, or (c) a member of the same affiliated service group (within the meaning of Section 414(m) of the Code) as the Borrower, any corporation described in clause (a) above or any trade or business described in clause (b) above.</w:t>
      </w:r>
    </w:p>
    <w:p>
      <w:pPr>
        <w:spacing w:after="0" w:line="192"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Eurocurrency Liabilities</w:t>
      </w:r>
      <w:r>
        <w:rPr>
          <w:rFonts w:ascii="Arial" w:cs="Arial" w:eastAsia="Arial" w:hAnsi="Arial"/>
          <w:sz w:val="22"/>
          <w:szCs w:val="22"/>
          <w:color w:val="auto"/>
        </w:rPr>
        <w:t>: Defined in Regulation D of the Board of Governors of the Federal Reserve System, as in effect from time to time.</w:t>
      </w:r>
    </w:p>
    <w:p>
      <w:pPr>
        <w:spacing w:after="0" w:line="175" w:lineRule="exact"/>
        <w:rPr>
          <w:sz w:val="20"/>
          <w:szCs w:val="20"/>
          <w:color w:val="auto"/>
        </w:rPr>
      </w:pPr>
    </w:p>
    <w:p>
      <w:pPr>
        <w:jc w:val="both"/>
        <w:ind w:firstLine="972"/>
        <w:spacing w:after="0" w:line="294" w:lineRule="auto"/>
        <w:rPr>
          <w:sz w:val="20"/>
          <w:szCs w:val="20"/>
          <w:color w:val="auto"/>
        </w:rPr>
      </w:pPr>
      <w:r>
        <w:rPr>
          <w:rFonts w:ascii="Arial" w:cs="Arial" w:eastAsia="Arial" w:hAnsi="Arial"/>
          <w:sz w:val="19"/>
          <w:szCs w:val="19"/>
          <w:u w:val="single" w:color="auto"/>
          <w:color w:val="auto"/>
        </w:rPr>
        <w:t>Eurodollar Reserve Percentage</w:t>
      </w:r>
      <w:r>
        <w:rPr>
          <w:rFonts w:ascii="Arial" w:cs="Arial" w:eastAsia="Arial" w:hAnsi="Arial"/>
          <w:sz w:val="19"/>
          <w:szCs w:val="19"/>
          <w:color w:val="auto"/>
        </w:rPr>
        <w:t>: Of any Reference Bank for any period, for Capital means the percentage applicable during such period (or, if more than one such percentage shall be so applicable, the 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without limitation, any emergency, supplemental or other marginal reserve requirement) for such Reference Bank with respect to liabilities or assets consisting of or including Eurocurrency Liabilities having a term of one month.</w:t>
      </w:r>
    </w:p>
    <w:p>
      <w:pPr>
        <w:spacing w:after="0" w:line="14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Excess Reserve Amount</w:t>
      </w:r>
      <w:r>
        <w:rPr>
          <w:rFonts w:ascii="Arial" w:cs="Arial" w:eastAsia="Arial" w:hAnsi="Arial"/>
          <w:sz w:val="22"/>
          <w:szCs w:val="22"/>
          <w:color w:val="auto"/>
        </w:rPr>
        <w:t>: With respect to any Payment Date, the excess, if any, of the amount on deposit in the Reserve Account over the Required Reserve Account Amount.</w:t>
      </w:r>
    </w:p>
    <w:p>
      <w:pPr>
        <w:spacing w:after="0" w:line="175"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u w:val="single" w:color="auto"/>
          <w:color w:val="auto"/>
        </w:rPr>
        <w:t>Excluded Dealer Agreement Rights</w:t>
      </w:r>
      <w:r>
        <w:rPr>
          <w:rFonts w:ascii="Arial" w:cs="Arial" w:eastAsia="Arial" w:hAnsi="Arial"/>
          <w:sz w:val="21"/>
          <w:szCs w:val="21"/>
          <w:color w:val="auto"/>
        </w:rPr>
        <w:t>: With respect to any Dealer Agreement, the rights of Credit Acceptance thereunder related to loans made to the related Dealer which are not Dealer Loans pledged by the Borrower to the Collateral Agent hereunder, including rights of set-off and rights of indemnification, related to such Dealer Loans.</w:t>
      </w:r>
    </w:p>
    <w:p>
      <w:pPr>
        <w:spacing w:after="0" w:line="167" w:lineRule="exact"/>
        <w:rPr>
          <w:sz w:val="20"/>
          <w:szCs w:val="20"/>
          <w:color w:val="auto"/>
        </w:rPr>
      </w:pPr>
    </w:p>
    <w:p>
      <w:pPr>
        <w:jc w:val="both"/>
        <w:ind w:firstLine="972"/>
        <w:spacing w:after="0" w:line="248" w:lineRule="auto"/>
        <w:rPr>
          <w:sz w:val="20"/>
          <w:szCs w:val="20"/>
          <w:color w:val="auto"/>
        </w:rPr>
      </w:pPr>
      <w:r>
        <w:rPr>
          <w:rFonts w:ascii="Arial" w:cs="Arial" w:eastAsia="Arial" w:hAnsi="Arial"/>
          <w:sz w:val="22"/>
          <w:szCs w:val="22"/>
          <w:u w:val="single" w:color="auto"/>
          <w:color w:val="auto"/>
        </w:rPr>
        <w:t>FATCA</w:t>
      </w:r>
      <w:r>
        <w:rPr>
          <w:rFonts w:ascii="Arial" w:cs="Arial" w:eastAsia="Arial" w:hAnsi="Arial"/>
          <w:sz w:val="22"/>
          <w:szCs w:val="22"/>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2" w:lineRule="exact"/>
        <w:rPr>
          <w:sz w:val="20"/>
          <w:szCs w:val="20"/>
          <w:color w:val="auto"/>
        </w:rPr>
      </w:pPr>
    </w:p>
    <w:p>
      <w:pPr>
        <w:jc w:val="both"/>
        <w:ind w:firstLine="972"/>
        <w:spacing w:after="0" w:line="247" w:lineRule="auto"/>
        <w:rPr>
          <w:sz w:val="20"/>
          <w:szCs w:val="20"/>
          <w:color w:val="auto"/>
        </w:rPr>
      </w:pPr>
      <w:r>
        <w:rPr>
          <w:rFonts w:ascii="Arial" w:cs="Arial" w:eastAsia="Arial" w:hAnsi="Arial"/>
          <w:sz w:val="22"/>
          <w:szCs w:val="22"/>
          <w:u w:val="single" w:color="auto"/>
          <w:color w:val="auto"/>
        </w:rPr>
        <w:t>Federal Funds Rate</w:t>
      </w:r>
      <w:r>
        <w:rPr>
          <w:rFonts w:ascii="Arial" w:cs="Arial" w:eastAsia="Arial" w:hAnsi="Arial"/>
          <w:sz w:val="22"/>
          <w:szCs w:val="22"/>
          <w:color w:val="auto"/>
        </w:rPr>
        <w:t>: For any period, a fluctuating interest rate per annum equal for each day during such period to the weighted average of the federal funds rates as quoted by Fifth Third and confirmed in Federal Reserve Board Statistical Release H.15(519) or any successor or substitute publication selected by Fifth Third (or, if such day is not a Business Day, for the next preceding Business Day), or, if, for any reason, such rate is not available on any day, the rate determined, in the sole opinion of Fifth Third, to be the rate at which federal funds are being offered for sale in the national federal funds market at 9:00 a.m. Cincinnati, Ohio time.</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Fifth Third</w:t>
      </w:r>
      <w:r>
        <w:rPr>
          <w:rFonts w:ascii="Arial" w:cs="Arial" w:eastAsia="Arial" w:hAnsi="Arial"/>
          <w:sz w:val="22"/>
          <w:szCs w:val="22"/>
          <w:color w:val="auto"/>
        </w:rPr>
        <w:t>: Defined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6" w:name="page27"/>
    <w:bookmarkEnd w:id="26"/>
    <w:p>
      <w:pPr>
        <w:ind w:left="980"/>
        <w:spacing w:after="0"/>
        <w:rPr>
          <w:sz w:val="20"/>
          <w:szCs w:val="20"/>
          <w:color w:val="auto"/>
        </w:rPr>
      </w:pPr>
      <w:r>
        <w:rPr>
          <w:rFonts w:ascii="Arial" w:cs="Arial" w:eastAsia="Arial" w:hAnsi="Arial"/>
          <w:sz w:val="22"/>
          <w:szCs w:val="22"/>
          <w:u w:val="single" w:color="auto"/>
          <w:color w:val="auto"/>
        </w:rPr>
        <w:t>Final Scheduled Payment Date</w:t>
      </w:r>
      <w:r>
        <w:rPr>
          <w:rFonts w:ascii="Arial" w:cs="Arial" w:eastAsia="Arial" w:hAnsi="Arial"/>
          <w:sz w:val="22"/>
          <w:szCs w:val="22"/>
          <w:color w:val="auto"/>
        </w:rPr>
        <w:t>: January 15, 2031.</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Final Score</w:t>
      </w:r>
      <w:r>
        <w:rPr>
          <w:rFonts w:ascii="Arial" w:cs="Arial" w:eastAsia="Arial" w:hAnsi="Arial"/>
          <w:sz w:val="22"/>
          <w:szCs w:val="22"/>
          <w:color w:val="auto"/>
        </w:rPr>
        <w:t>: The final output from the Originator's proprietary credit scoring process.</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Financed Vehicle</w:t>
      </w:r>
      <w:r>
        <w:rPr>
          <w:rFonts w:ascii="Arial" w:cs="Arial" w:eastAsia="Arial" w:hAnsi="Arial"/>
          <w:sz w:val="22"/>
          <w:szCs w:val="22"/>
          <w:color w:val="auto"/>
        </w:rPr>
        <w:t>: With respect to a Contract, any new or used automobile, light-duty truck, minivan or sport utility vehicle, together with all accessories thereto, securing the related Obligor's indebtedness thereunder.</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Forecasted Collections</w:t>
      </w:r>
      <w:r>
        <w:rPr>
          <w:rFonts w:ascii="Arial" w:cs="Arial" w:eastAsia="Arial" w:hAnsi="Arial"/>
          <w:sz w:val="22"/>
          <w:szCs w:val="22"/>
          <w:color w:val="auto"/>
        </w:rPr>
        <w:t xml:space="preserve">: The expected amount of Collections to be received with respect to the Aggregate Outstanding Eligible Loan Balance each month as determined by Credit Acceptance in accordance with its forecasting model submitted to Fifth Third prior to the Closing Date and attached hereto as </w:t>
      </w:r>
      <w:r>
        <w:rPr>
          <w:rFonts w:ascii="Arial" w:cs="Arial" w:eastAsia="Arial" w:hAnsi="Arial"/>
          <w:sz w:val="22"/>
          <w:szCs w:val="22"/>
          <w:u w:val="single" w:color="auto"/>
          <w:color w:val="auto"/>
        </w:rPr>
        <w:t>Schedule VII</w:t>
      </w:r>
      <w:r>
        <w:rPr>
          <w:rFonts w:ascii="Arial" w:cs="Arial" w:eastAsia="Arial" w:hAnsi="Arial"/>
          <w:sz w:val="22"/>
          <w:szCs w:val="22"/>
          <w:color w:val="auto"/>
        </w:rPr>
        <w: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as in effect from time to time in the United States.</w:t>
      </w:r>
    </w:p>
    <w:p>
      <w:pPr>
        <w:spacing w:after="0" w:line="220"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u w:val="single" w:color="auto"/>
          <w:color w:val="auto"/>
        </w:rPr>
        <w:t>Governmental Authority</w:t>
      </w:r>
      <w:r>
        <w:rPr>
          <w:rFonts w:ascii="Arial" w:cs="Arial" w:eastAsia="Arial" w:hAnsi="Arial"/>
          <w:sz w:val="19"/>
          <w:szCs w:val="19"/>
          <w:color w:val="auto"/>
        </w:rPr>
        <w:t>: Any nation or government, any state or other political subdivision thereof, any central bank (or similar monetary or regulatory authority) thereof, any body or entity exercising executive, legislative, judicial, regulatory or administrative functions of or pertaining to government and any court or arbitrator having jurisdiction over such Person, and any accounting board or authority (whether or not a part of government) which is responsible for the establishment or interpretation of national or international accounting principles, in each case whether foreign or domestic.</w:t>
      </w:r>
    </w:p>
    <w:p>
      <w:pPr>
        <w:spacing w:after="0" w:line="147"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Hedge Costs</w:t>
      </w:r>
      <w:r>
        <w:rPr>
          <w:rFonts w:ascii="Arial" w:cs="Arial" w:eastAsia="Arial" w:hAnsi="Arial"/>
          <w:sz w:val="22"/>
          <w:szCs w:val="22"/>
          <w:color w:val="auto"/>
        </w:rPr>
        <w:t>: For any Hedging Agreement, any amount payable by the Borrower with respect thereto, including any swap payments, any breakage payments, any termination payments, any notional reduction payments and any other amounts due to the Hedge Counterparty.</w:t>
      </w:r>
    </w:p>
    <w:p>
      <w:pPr>
        <w:spacing w:after="0" w:line="18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19"/>
          <w:szCs w:val="19"/>
          <w:u w:val="single" w:color="auto"/>
          <w:color w:val="auto"/>
        </w:rPr>
        <w:t>Hedge Counterparty</w:t>
      </w:r>
      <w:r>
        <w:rPr>
          <w:rFonts w:ascii="Arial" w:cs="Arial" w:eastAsia="Arial" w:hAnsi="Arial"/>
          <w:sz w:val="19"/>
          <w:szCs w:val="19"/>
          <w:color w:val="auto"/>
        </w:rPr>
        <w:t>: (I) Any entity that (a) on the date of entering into any Hedge Transaction (i) is an interest rate swap dealer that is either the Lender or an Affiliate of the Lender, or has been approved in writing by the Deal Agent (which approval shall be in the sole discretion of the Deal Agent), and (ii) unless otherwise agreed to by the Deal Agent, has a long-term unsecured debt rating of not less than “A” by S&amp;P and not less than “A2” by Moody's (“</w:t>
      </w:r>
      <w:r>
        <w:rPr>
          <w:rFonts w:ascii="Arial" w:cs="Arial" w:eastAsia="Arial" w:hAnsi="Arial"/>
          <w:sz w:val="19"/>
          <w:szCs w:val="19"/>
          <w:u w:val="single" w:color="auto"/>
          <w:color w:val="auto"/>
        </w:rPr>
        <w:t>Long-term Rating Requirement</w:t>
      </w:r>
      <w:r>
        <w:rPr>
          <w:rFonts w:ascii="Arial" w:cs="Arial" w:eastAsia="Arial" w:hAnsi="Arial"/>
          <w:sz w:val="19"/>
          <w:szCs w:val="19"/>
          <w:color w:val="auto"/>
        </w:rPr>
        <w:t>”) and a short-term unsecured debt rating of not less than “A-1” by S&amp;P and not less than “P-1” by Moody's (“</w:t>
      </w:r>
      <w:r>
        <w:rPr>
          <w:rFonts w:ascii="Arial" w:cs="Arial" w:eastAsia="Arial" w:hAnsi="Arial"/>
          <w:sz w:val="19"/>
          <w:szCs w:val="19"/>
          <w:u w:val="single" w:color="auto"/>
          <w:color w:val="auto"/>
        </w:rPr>
        <w:t>Short-term Rating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Requirement</w:t>
      </w:r>
      <w:r>
        <w:rPr>
          <w:rFonts w:ascii="Arial" w:cs="Arial" w:eastAsia="Arial" w:hAnsi="Arial"/>
          <w:sz w:val="19"/>
          <w:szCs w:val="19"/>
          <w:color w:val="auto"/>
        </w:rPr>
        <w:t xml:space="preserve">”), and (b) in a Hedging Agreement (i) consents to the assignment of the Borrower's rights under the Hedging Agreement to the Deal Agent pursuant to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and (ii) agrees that in the event that Moody's or S&amp;P reduces its long-term unsecured debt rating below the Long-term Rating Requirement, or reduces its short-term unsecured debt rating below the Short-term Rating Requirement, it shall transfer its rights and obligations under each Hedging Agreement to another entity that meets the requirements of clause (a) and (b) hereof and has entered into a Hedging Agreement with the Borrower on or prior to the date of such transfer, or (II) any entity that (a) on the date of entering into any Hedge Transaction (i) is a bank signatory to the Credit Agreement and (ii) unless otherwise agreed to by the Deal Agent, has a short- and long-term unsecured debt rating of not less than investment grade by S&amp;P and by Moody's, and (b)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7" w:name="page28"/>
    <w:bookmarkEnd w:id="27"/>
    <w:p>
      <w:pPr>
        <w:jc w:val="both"/>
        <w:spacing w:after="0" w:line="294" w:lineRule="auto"/>
        <w:rPr>
          <w:sz w:val="20"/>
          <w:szCs w:val="20"/>
          <w:color w:val="auto"/>
        </w:rPr>
      </w:pPr>
      <w:r>
        <w:rPr>
          <w:rFonts w:ascii="Arial" w:cs="Arial" w:eastAsia="Arial" w:hAnsi="Arial"/>
          <w:sz w:val="19"/>
          <w:szCs w:val="19"/>
          <w:color w:val="auto"/>
        </w:rPr>
        <w:t xml:space="preserve">Hedging Agreement (i) consents to the assignment of the Borrower's rights under the Hedging Agreement to the Deal Agent pursuant to </w:t>
      </w:r>
      <w:r>
        <w:rPr>
          <w:rFonts w:ascii="Arial" w:cs="Arial" w:eastAsia="Arial" w:hAnsi="Arial"/>
          <w:sz w:val="19"/>
          <w:szCs w:val="19"/>
          <w:u w:val="single" w:color="auto"/>
          <w:color w:val="auto"/>
        </w:rPr>
        <w:t>Section 2.2(a)</w:t>
      </w:r>
      <w:r>
        <w:rPr>
          <w:rFonts w:ascii="Arial" w:cs="Arial" w:eastAsia="Arial" w:hAnsi="Arial"/>
          <w:sz w:val="19"/>
          <w:szCs w:val="19"/>
          <w:color w:val="auto"/>
        </w:rPr>
        <w:t xml:space="preserve"> (except in the case of an interest rate cap where such consent is not required) and (ii) agrees that in the event that it no longer has a short- and long-term unsecured debt rating of not less than investment grade by S&amp;P and by Moody's, it shall transfer its rights and obligations under each Hedging Agreement to another entity that meets the requirements of clauses (I)(a) and (I)(b) or clauses (II)(a) and (II)(b) hereof and has entered into a Hedging Agreement with the Borrower on or prior to the date of such transfer (except in the case of an interest rate cap where such transfer is not required).</w:t>
      </w:r>
    </w:p>
    <w:p>
      <w:pPr>
        <w:spacing w:after="0" w:line="149"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u w:val="single" w:color="auto"/>
          <w:color w:val="auto"/>
        </w:rPr>
        <w:t>Hedge Transaction</w:t>
      </w:r>
      <w:r>
        <w:rPr>
          <w:rFonts w:ascii="Arial" w:cs="Arial" w:eastAsia="Arial" w:hAnsi="Arial"/>
          <w:sz w:val="19"/>
          <w:szCs w:val="19"/>
          <w:color w:val="auto"/>
        </w:rPr>
        <w:t xml:space="preserve">: Each interest rate swap, interest rate cap or other interest rate protection transaction between the Borrower and a Hedge Counterparty that is entered into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hereof and is governed by a Hedging Agreement.</w:t>
      </w:r>
    </w:p>
    <w:p>
      <w:pPr>
        <w:spacing w:after="0" w:line="104"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Hedging Agreement</w:t>
      </w:r>
      <w:r>
        <w:rPr>
          <w:rFonts w:ascii="Arial" w:cs="Arial" w:eastAsia="Arial" w:hAnsi="Arial"/>
          <w:sz w:val="22"/>
          <w:szCs w:val="22"/>
          <w:color w:val="auto"/>
        </w:rPr>
        <w:t xml:space="preserve">: Each agreement between the Borrower and a Hedge Counterparty that governs one or more Hedge Transactions entered into pursuant to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hereof, and each “Confirmation” thereunder confirming the specific terms of each such Hedge Transaction.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Increased Costs</w:t>
      </w:r>
      <w:r>
        <w:rPr>
          <w:rFonts w:ascii="Arial" w:cs="Arial" w:eastAsia="Arial" w:hAnsi="Arial"/>
          <w:sz w:val="19"/>
          <w:szCs w:val="19"/>
          <w:color w:val="auto"/>
        </w:rPr>
        <w:t xml:space="preserve">: Any amounts required to be paid by the Borrower to an Affected Party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254"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Independent Director</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5.2(o)(xxvii)</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Ineligible Contract</w:t>
      </w:r>
      <w:r>
        <w:rPr>
          <w:rFonts w:ascii="Arial" w:cs="Arial" w:eastAsia="Arial" w:hAnsi="Arial"/>
          <w:sz w:val="22"/>
          <w:szCs w:val="22"/>
          <w:color w:val="auto"/>
        </w:rPr>
        <w:t>: Each Contract other than an Eligible Contract.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Ineligible Loan</w:t>
      </w:r>
      <w:r>
        <w:rPr>
          <w:rFonts w:ascii="Arial" w:cs="Arial" w:eastAsia="Arial" w:hAnsi="Arial"/>
          <w:sz w:val="22"/>
          <w:szCs w:val="22"/>
          <w:color w:val="auto"/>
        </w:rPr>
        <w:t>: Each Loan other than an Eligible Loan.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Indemnified Amounts</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Indemnified Parties</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Initial Loan Amount</w:t>
      </w:r>
      <w:r>
        <w:rPr>
          <w:rFonts w:ascii="Arial" w:cs="Arial" w:eastAsia="Arial" w:hAnsi="Arial"/>
          <w:sz w:val="22"/>
          <w:szCs w:val="22"/>
          <w:color w:val="auto"/>
        </w:rPr>
        <w:t>: With respect to Fifth Third, $100,000,000.</w:t>
      </w:r>
    </w:p>
    <w:p>
      <w:pPr>
        <w:spacing w:after="0" w:line="220"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9"/>
          <w:szCs w:val="19"/>
          <w:u w:val="single" w:color="auto"/>
          <w:color w:val="auto"/>
        </w:rPr>
        <w:t>Insolvency Event</w:t>
      </w:r>
      <w:r>
        <w:rPr>
          <w:rFonts w:ascii="Arial" w:cs="Arial" w:eastAsia="Arial" w:hAnsi="Arial"/>
          <w:sz w:val="19"/>
          <w:szCs w:val="19"/>
          <w:color w:val="auto"/>
        </w:rPr>
        <w:t>: With respect to a specified Person, (a)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22"/>
          <w:szCs w:val="22"/>
          <w:color w:val="auto"/>
        </w:rPr>
        <w:t>benefit of creditors, or the failure by such Person generally to pay its debts as such debts become due, or the taking of action by such Person in furtherance of any of the foregoing.</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Insolvency Laws</w:t>
      </w:r>
      <w:r>
        <w:rPr>
          <w:rFonts w:ascii="Arial" w:cs="Arial" w:eastAsia="Arial" w:hAnsi="Arial"/>
          <w:sz w:val="22"/>
          <w:szCs w:val="22"/>
          <w:color w:val="auto"/>
        </w:rPr>
        <w:t>: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Insolvency Proceeding</w:t>
      </w:r>
      <w:r>
        <w:rPr>
          <w:rFonts w:ascii="Arial" w:cs="Arial" w:eastAsia="Arial" w:hAnsi="Arial"/>
          <w:sz w:val="22"/>
          <w:szCs w:val="22"/>
          <w:color w:val="auto"/>
        </w:rPr>
        <w:t>: Any case, action or proceeding before any court or other Governmental Authority relating to any Insolvency Event.</w:t>
      </w:r>
    </w:p>
    <w:p>
      <w:pPr>
        <w:spacing w:after="0" w:line="17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Instrument</w:t>
      </w:r>
      <w:r>
        <w:rPr>
          <w:rFonts w:ascii="Arial" w:cs="Arial" w:eastAsia="Arial" w:hAnsi="Arial"/>
          <w:sz w:val="22"/>
          <w:szCs w:val="22"/>
          <w:color w:val="auto"/>
        </w:rPr>
        <w:t>: Any “instrument” (as defined in Article 9 of the UCC), other than an instrument that constitutes part of chattel paper.</w:t>
      </w:r>
    </w:p>
    <w:p>
      <w:pPr>
        <w:spacing w:after="0" w:line="17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Intercreditor Agreement</w:t>
      </w:r>
      <w:r>
        <w:rPr>
          <w:rFonts w:ascii="Arial" w:cs="Arial" w:eastAsia="Arial" w:hAnsi="Arial"/>
          <w:sz w:val="22"/>
          <w:szCs w:val="22"/>
          <w:color w:val="auto"/>
        </w:rPr>
        <w:t>: The Amended and Restated Intercreditor Agreement, dated as of January 29, 2021, among the Borrower, Credit Acceptance, the Collateral Agent, the other signatories thereto and each other person who becomes a party thereto after the date thereof, as further amended, amended and restated, or otherwise modified from time to time in accordance with its terms.</w:t>
      </w:r>
    </w:p>
    <w:p>
      <w:pPr>
        <w:spacing w:after="0" w:line="18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Interest</w:t>
      </w:r>
      <w:r>
        <w:rPr>
          <w:rFonts w:ascii="Arial" w:cs="Arial" w:eastAsia="Arial" w:hAnsi="Arial"/>
          <w:sz w:val="22"/>
          <w:szCs w:val="22"/>
          <w:color w:val="auto"/>
        </w:rPr>
        <w:t>: With respect to each Lender and its portion of Capital, with respect to any Accrual Period, the sum of the products (for each day during such Accrual Period) of:</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85"/>
        </w:trPr>
        <w:tc>
          <w:tcPr>
            <w:tcW w:w="1080" w:type="dxa"/>
            <w:vAlign w:val="bottom"/>
            <w:vMerge w:val="restart"/>
          </w:tcPr>
          <w:p>
            <w:pPr>
              <w:spacing w:after="0"/>
              <w:rPr>
                <w:sz w:val="20"/>
                <w:szCs w:val="20"/>
                <w:color w:val="auto"/>
              </w:rPr>
            </w:pPr>
            <w:r>
              <w:rPr>
                <w:rFonts w:ascii="Arial" w:cs="Arial" w:eastAsia="Arial" w:hAnsi="Arial"/>
                <w:sz w:val="22"/>
                <w:szCs w:val="22"/>
                <w:color w:val="auto"/>
              </w:rPr>
              <w:t>IR x C x</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color w:val="auto"/>
              </w:rPr>
              <w:t>1</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22"/>
                <w:szCs w:val="22"/>
                <w:color w:val="auto"/>
                <w:w w:val="92"/>
              </w:rPr>
              <w:t>360</w:t>
            </w:r>
          </w:p>
        </w:tc>
        <w:tc>
          <w:tcPr>
            <w:tcW w:w="5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7"/>
        </w:trPr>
        <w:tc>
          <w:tcPr>
            <w:tcW w:w="1240" w:type="dxa"/>
            <w:vAlign w:val="bottom"/>
            <w:gridSpan w:val="2"/>
          </w:tcPr>
          <w:p>
            <w:pPr>
              <w:spacing w:after="0"/>
              <w:rPr>
                <w:sz w:val="20"/>
                <w:szCs w:val="20"/>
                <w:color w:val="auto"/>
              </w:rPr>
            </w:pPr>
            <w:r>
              <w:rPr>
                <w:rFonts w:ascii="Arial" w:cs="Arial" w:eastAsia="Arial" w:hAnsi="Arial"/>
                <w:sz w:val="22"/>
                <w:szCs w:val="22"/>
                <w:color w:val="auto"/>
              </w:rPr>
              <w:t>where:</w:t>
            </w:r>
          </w:p>
        </w:tc>
        <w:tc>
          <w:tcPr>
            <w:tcW w:w="5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40" w:type="dxa"/>
            <w:vAlign w:val="bottom"/>
            <w:gridSpan w:val="2"/>
          </w:tcPr>
          <w:p>
            <w:pPr>
              <w:ind w:left="960"/>
              <w:spacing w:after="0"/>
              <w:rPr>
                <w:sz w:val="20"/>
                <w:szCs w:val="20"/>
                <w:color w:val="auto"/>
              </w:rPr>
            </w:pPr>
            <w:r>
              <w:rPr>
                <w:rFonts w:ascii="Arial" w:cs="Arial" w:eastAsia="Arial" w:hAnsi="Arial"/>
                <w:sz w:val="22"/>
                <w:szCs w:val="22"/>
                <w:color w:val="auto"/>
              </w:rPr>
              <w:t>C</w:t>
            </w:r>
          </w:p>
        </w:tc>
        <w:tc>
          <w:tcPr>
            <w:tcW w:w="5920" w:type="dxa"/>
            <w:vAlign w:val="bottom"/>
            <w:gridSpan w:val="2"/>
          </w:tcPr>
          <w:p>
            <w:pPr>
              <w:ind w:left="80"/>
              <w:spacing w:after="0"/>
              <w:rPr>
                <w:sz w:val="20"/>
                <w:szCs w:val="20"/>
                <w:color w:val="auto"/>
              </w:rPr>
            </w:pPr>
            <w:r>
              <w:rPr>
                <w:rFonts w:ascii="Arial" w:cs="Arial" w:eastAsia="Arial" w:hAnsi="Arial"/>
                <w:sz w:val="22"/>
                <w:szCs w:val="22"/>
                <w:color w:val="auto"/>
                <w:w w:val="91"/>
              </w:rPr>
              <w:t>=  the outstanding principal amount of the Capital of such Lender;</w:t>
            </w:r>
          </w:p>
        </w:tc>
        <w:tc>
          <w:tcPr>
            <w:tcW w:w="0" w:type="dxa"/>
            <w:vAlign w:val="bottom"/>
          </w:tcPr>
          <w:p>
            <w:pPr>
              <w:spacing w:after="0"/>
              <w:rPr>
                <w:sz w:val="1"/>
                <w:szCs w:val="1"/>
                <w:color w:val="auto"/>
              </w:rPr>
            </w:pPr>
          </w:p>
        </w:tc>
      </w:tr>
      <w:tr>
        <w:trPr>
          <w:trHeight w:val="455"/>
        </w:trPr>
        <w:tc>
          <w:tcPr>
            <w:tcW w:w="1240" w:type="dxa"/>
            <w:vAlign w:val="bottom"/>
            <w:gridSpan w:val="2"/>
          </w:tcPr>
          <w:p>
            <w:pPr>
              <w:spacing w:after="0"/>
              <w:rPr>
                <w:sz w:val="20"/>
                <w:szCs w:val="20"/>
                <w:color w:val="auto"/>
              </w:rPr>
            </w:pPr>
            <w:r>
              <w:rPr>
                <w:rFonts w:ascii="Arial" w:cs="Arial" w:eastAsia="Arial" w:hAnsi="Arial"/>
                <w:sz w:val="22"/>
                <w:szCs w:val="22"/>
                <w:color w:val="auto"/>
              </w:rPr>
              <w:t>and</w:t>
            </w:r>
          </w:p>
        </w:tc>
        <w:tc>
          <w:tcPr>
            <w:tcW w:w="5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40" w:type="dxa"/>
            <w:vAlign w:val="bottom"/>
            <w:gridSpan w:val="2"/>
          </w:tcPr>
          <w:p>
            <w:pPr>
              <w:ind w:left="960"/>
              <w:spacing w:after="0"/>
              <w:rPr>
                <w:sz w:val="20"/>
                <w:szCs w:val="20"/>
                <w:color w:val="auto"/>
              </w:rPr>
            </w:pPr>
            <w:r>
              <w:rPr>
                <w:rFonts w:ascii="Arial" w:cs="Arial" w:eastAsia="Arial" w:hAnsi="Arial"/>
                <w:sz w:val="22"/>
                <w:szCs w:val="22"/>
                <w:color w:val="auto"/>
              </w:rPr>
              <w:t>IR</w:t>
            </w:r>
          </w:p>
        </w:tc>
        <w:tc>
          <w:tcPr>
            <w:tcW w:w="5920" w:type="dxa"/>
            <w:vAlign w:val="bottom"/>
            <w:gridSpan w:val="2"/>
          </w:tcPr>
          <w:p>
            <w:pPr>
              <w:ind w:left="160"/>
              <w:spacing w:after="0"/>
              <w:rPr>
                <w:sz w:val="20"/>
                <w:szCs w:val="20"/>
                <w:color w:val="auto"/>
              </w:rPr>
            </w:pPr>
            <w:r>
              <w:rPr>
                <w:rFonts w:ascii="Arial" w:cs="Arial" w:eastAsia="Arial" w:hAnsi="Arial"/>
                <w:sz w:val="22"/>
                <w:szCs w:val="22"/>
                <w:color w:val="auto"/>
                <w:w w:val="98"/>
              </w:rPr>
              <w:t>=  the Interest Rate for such Lender applicable on such day;</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Interest Cap</w:t>
      </w:r>
      <w:r>
        <w:rPr>
          <w:rFonts w:ascii="Arial" w:cs="Arial" w:eastAsia="Arial" w:hAnsi="Arial"/>
          <w:sz w:val="22"/>
          <w:szCs w:val="22"/>
          <w:color w:val="auto"/>
        </w:rPr>
        <w:t>: With respect to the Lender and the Capital, with respect to any Accrual Period, the amount of Interest payable for such Accrual Period determined based on an Interest Rate for each day during such Accrual Period equal to the Adjusted LIBOR Rate.</w:t>
      </w:r>
    </w:p>
    <w:p>
      <w:pPr>
        <w:spacing w:after="0" w:line="185"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9"/>
          <w:szCs w:val="19"/>
          <w:u w:val="single" w:color="auto"/>
          <w:color w:val="auto"/>
        </w:rPr>
        <w:t>Interest Cap Carryover</w:t>
      </w:r>
      <w:r>
        <w:rPr>
          <w:rFonts w:ascii="Arial" w:cs="Arial" w:eastAsia="Arial" w:hAnsi="Arial"/>
          <w:sz w:val="19"/>
          <w:szCs w:val="19"/>
          <w:color w:val="auto"/>
        </w:rPr>
        <w:t>: With respect to the Lender and any Accrual Period, an amount equal to the sum of (a) the positive excess if any of (i) Interest payable on such Payment Date to the Lender without giving effect to the Interest Cap, over</w:t>
      </w:r>
    </w:p>
    <w:p>
      <w:pPr>
        <w:spacing w:after="0" w:line="1" w:lineRule="exact"/>
        <w:rPr>
          <w:sz w:val="20"/>
          <w:szCs w:val="20"/>
          <w:color w:val="auto"/>
        </w:rPr>
      </w:pPr>
    </w:p>
    <w:p>
      <w:pPr>
        <w:ind w:right="20" w:firstLine="8"/>
        <w:spacing w:after="0" w:line="246" w:lineRule="auto"/>
        <w:tabs>
          <w:tab w:leader="none" w:pos="363"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the amount of Interest actually paid on such Payment Date to the Lender pursuant to </w:t>
      </w:r>
      <w:r>
        <w:rPr>
          <w:rFonts w:ascii="Arial" w:cs="Arial" w:eastAsia="Arial" w:hAnsi="Arial"/>
          <w:sz w:val="22"/>
          <w:szCs w:val="22"/>
          <w:u w:val="single" w:color="auto"/>
          <w:color w:val="auto"/>
        </w:rPr>
        <w:t>Section 2.7(a)(iii)</w:t>
      </w:r>
      <w:r>
        <w:rPr>
          <w:rFonts w:ascii="Arial" w:cs="Arial" w:eastAsia="Arial" w:hAnsi="Arial"/>
          <w:sz w:val="22"/>
          <w:szCs w:val="22"/>
          <w:color w:val="auto"/>
        </w:rPr>
        <w:t>, plus (b) any previously unpaid Interest Cap Carryover with respect to the Lender.</w:t>
      </w:r>
    </w:p>
    <w:p>
      <w:pPr>
        <w:spacing w:after="0" w:line="192" w:lineRule="exact"/>
        <w:rPr>
          <w:sz w:val="20"/>
          <w:szCs w:val="20"/>
          <w:color w:val="auto"/>
        </w:rPr>
      </w:pPr>
    </w:p>
    <w:p>
      <w:pPr>
        <w:ind w:firstLine="972"/>
        <w:spacing w:after="0" w:line="263" w:lineRule="auto"/>
        <w:rPr>
          <w:sz w:val="20"/>
          <w:szCs w:val="20"/>
          <w:color w:val="auto"/>
        </w:rPr>
      </w:pPr>
      <w:r>
        <w:rPr>
          <w:rFonts w:ascii="Arial" w:cs="Arial" w:eastAsia="Arial" w:hAnsi="Arial"/>
          <w:sz w:val="22"/>
          <w:szCs w:val="22"/>
          <w:u w:val="single" w:color="auto"/>
          <w:color w:val="auto"/>
        </w:rPr>
        <w:t>Interest Rate</w:t>
      </w:r>
      <w:r>
        <w:rPr>
          <w:rFonts w:ascii="Arial" w:cs="Arial" w:eastAsia="Arial" w:hAnsi="Arial"/>
          <w:sz w:val="22"/>
          <w:szCs w:val="22"/>
          <w:color w:val="auto"/>
        </w:rPr>
        <w:t>: For any Accrual Period and for the aggregate principal amount of Capital allocated to such Accrual Period, a per annum rate corresponding to the Benchmark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29" w:name="page30"/>
    <w:bookmarkEnd w:id="29"/>
    <w:p>
      <w:pPr>
        <w:jc w:val="both"/>
        <w:ind w:firstLine="972"/>
        <w:spacing w:after="0" w:line="250" w:lineRule="auto"/>
        <w:rPr>
          <w:sz w:val="20"/>
          <w:szCs w:val="20"/>
          <w:color w:val="auto"/>
        </w:rPr>
      </w:pPr>
      <w:r>
        <w:rPr>
          <w:rFonts w:ascii="Arial" w:cs="Arial" w:eastAsia="Arial" w:hAnsi="Arial"/>
          <w:sz w:val="22"/>
          <w:szCs w:val="22"/>
          <w:u w:val="single" w:color="auto"/>
          <w:color w:val="auto"/>
        </w:rPr>
        <w:t>Investment</w:t>
      </w:r>
      <w:r>
        <w:rPr>
          <w:rFonts w:ascii="Arial" w:cs="Arial" w:eastAsia="Arial" w:hAnsi="Arial"/>
          <w:sz w:val="22"/>
          <w:szCs w:val="22"/>
          <w:color w:val="auto"/>
        </w:rPr>
        <w:t>: With respect to any Person, any direct or indirect loan, advance or investment by such Person in any other Person, whether by means of share purchase, capital contribution, loan or otherwise, excluding the acquisition of assets pursuant to the Contribution Agreement and excluding commission, travel and similar advances to officers, employees and directors made in the ordinary course of business.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United States Investment Company Act of 1940, as amended.</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Late Fees</w:t>
      </w:r>
      <w:r>
        <w:rPr>
          <w:rFonts w:ascii="Arial" w:cs="Arial" w:eastAsia="Arial" w:hAnsi="Arial"/>
          <w:sz w:val="22"/>
          <w:szCs w:val="22"/>
          <w:color w:val="auto"/>
        </w:rPr>
        <w:t>: If the Backup Servicer has become the Successor Servicer, any late fees collected with respect to any Contract in accordance with the Collection Guidelines.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Fifth Third and any other Person who becomes a Lender as provided in </w:t>
      </w:r>
      <w:r>
        <w:rPr>
          <w:rFonts w:ascii="Arial" w:cs="Arial" w:eastAsia="Arial" w:hAnsi="Arial"/>
          <w:sz w:val="22"/>
          <w:szCs w:val="22"/>
          <w:u w:val="single" w:color="auto"/>
          <w:color w:val="auto"/>
        </w:rPr>
        <w:t>Section 13.1(a)</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LIBOR Determination Date</w:t>
      </w:r>
      <w:r>
        <w:rPr>
          <w:rFonts w:ascii="Arial" w:cs="Arial" w:eastAsia="Arial" w:hAnsi="Arial"/>
          <w:sz w:val="22"/>
          <w:szCs w:val="22"/>
          <w:color w:val="auto"/>
        </w:rPr>
        <w:t>: With respect to any Accrual Period, the date that is two Business Days before the first day of such Accrual Period.</w:t>
      </w:r>
    </w:p>
    <w:p>
      <w:pPr>
        <w:spacing w:after="0" w:line="175"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21"/>
          <w:szCs w:val="21"/>
          <w:u w:val="single" w:color="auto"/>
          <w:color w:val="auto"/>
        </w:rPr>
        <w:t>LIBOR Rate</w:t>
      </w:r>
      <w:r>
        <w:rPr>
          <w:rFonts w:ascii="Arial" w:cs="Arial" w:eastAsia="Arial" w:hAnsi="Arial"/>
          <w:sz w:val="21"/>
          <w:szCs w:val="21"/>
          <w:color w:val="auto"/>
        </w:rPr>
        <w:t>: For any portion of Capital on any day during any Accrual Period, a rate per annum (rounded upwards, if necessary, to the nearest 1/100 of 1%) equal to the rate for deposits in United States Dollars for a period equal to such Accrual Period, which appears on the Reuters Screen LIBOR01 Page as of 11:00 a.m. (London, England time) on the related LIBOR Determination Date. If Thomson Reuters no longer reports such rate or if such index no longer exists or if Reuters Screen LIBOR01 Page no longer exists, the Deal Agent may select a replacement index or replacement page, as the case may be, consistent with market practices at the time. In the event that any rate set forth above shall be less than zero, such rate shall be deemed to be zero for purposes of this Agreement. The LIBOR Rate shall be adjusted for each Accrual Period after the initial Accrual Period, as of the first day of each such Accrual Period, and as of the effective day of any change in the maximum reserve requirement.</w:t>
      </w:r>
    </w:p>
    <w:p>
      <w:pPr>
        <w:spacing w:after="0" w:line="179"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u w:val="single" w:color="auto"/>
          <w:color w:val="auto"/>
        </w:rPr>
        <w:t>Lien</w:t>
      </w:r>
      <w:r>
        <w:rPr>
          <w:rFonts w:ascii="Arial" w:cs="Arial" w:eastAsia="Arial" w:hAnsi="Arial"/>
          <w:sz w:val="19"/>
          <w:szCs w:val="19"/>
          <w:color w:val="auto"/>
        </w:rPr>
        <w:t>: With respect to any Loan, Dealer Agreement or Contract, any mortgage, lien, pledge, charge, security interest or encumbrance of any kind (other than any Permitted Lien, mechanics' liens, liens of collection attorneys or agents collecting the property subject to such Permitted Lien or mechanics' lien and any liens which attach thereto by operation of law).</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Loan</w:t>
      </w:r>
      <w:r>
        <w:rPr>
          <w:rFonts w:ascii="Arial" w:cs="Arial" w:eastAsia="Arial" w:hAnsi="Arial"/>
          <w:sz w:val="22"/>
          <w:szCs w:val="22"/>
          <w:color w:val="auto"/>
        </w:rPr>
        <w:t>: Any Dealer Loan or Purchased Loan.</w:t>
      </w:r>
    </w:p>
    <w:p>
      <w:pPr>
        <w:spacing w:after="0" w:line="220"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u w:val="single" w:color="auto"/>
          <w:color w:val="auto"/>
        </w:rPr>
        <w:t>Loan Excess Advance Amount</w:t>
      </w:r>
      <w:r>
        <w:rPr>
          <w:rFonts w:ascii="Arial" w:cs="Arial" w:eastAsia="Arial" w:hAnsi="Arial"/>
          <w:sz w:val="21"/>
          <w:szCs w:val="21"/>
          <w:color w:val="auto"/>
        </w:rPr>
        <w:t>: With respect to any Eligible Loan on any Payment Date during the Revolving Period, the amount by which the Outstanding Balance of such Eligible Loan, on the date it was originated, exceeds 70% of the sum of payments due under the related Eligible Contracts on their date of origination.</w:t>
      </w:r>
    </w:p>
    <w:p>
      <w:pPr>
        <w:spacing w:after="0" w:line="167"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With respect to any event or circumstance, means a material adverse effect on (a) the business, condition (financial or otherwise), operations, performance, properties or prospects of the Originator, the Servicer or the Borrower, (b) the validity, enforceability or collectibility of this Agreement or any other Transaction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0" w:name="page31"/>
    <w:bookmarkEnd w:id="30"/>
    <w:p>
      <w:pPr>
        <w:jc w:val="both"/>
        <w:spacing w:after="0" w:line="250" w:lineRule="auto"/>
        <w:rPr>
          <w:sz w:val="20"/>
          <w:szCs w:val="20"/>
          <w:color w:val="auto"/>
        </w:rPr>
      </w:pPr>
      <w:r>
        <w:rPr>
          <w:rFonts w:ascii="Arial" w:cs="Arial" w:eastAsia="Arial" w:hAnsi="Arial"/>
          <w:sz w:val="22"/>
          <w:szCs w:val="22"/>
          <w:color w:val="auto"/>
        </w:rPr>
        <w:t>the validity, enforceability or collectibility of the Loans, (c) the rights and remedies of the Deal Agent, the Collateral Agent or the Secured Parties, (d) the ability of the Borrower, the Originator or the Servicer to perform its obligations under this Agreement or any other Transaction Document, or (e) the status, existence, perfection, priority or enforceability of the Collateral Agent's or any Secured Party's interest in the Collateral.</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Material Debt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6.11(h)</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Minimum Collateral Amount</w:t>
      </w:r>
      <w:r>
        <w:rPr>
          <w:rFonts w:ascii="Arial" w:cs="Arial" w:eastAsia="Arial" w:hAnsi="Arial"/>
          <w:sz w:val="22"/>
          <w:szCs w:val="22"/>
          <w:color w:val="auto"/>
        </w:rPr>
        <w:t>: On any Payment Date during the Revolving Period, an amount equal to the Capital divided by the Net Advance Rate.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Minimum Weighted Average Spread Rate</w:t>
      </w:r>
      <w:r>
        <w:rPr>
          <w:rFonts w:ascii="Arial" w:cs="Arial" w:eastAsia="Arial" w:hAnsi="Arial"/>
          <w:sz w:val="22"/>
          <w:szCs w:val="22"/>
          <w:color w:val="auto"/>
        </w:rPr>
        <w:t>: 25.0%.</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Monthly Report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 and any successor thereto.</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Multiemployer Plan</w:t>
      </w:r>
      <w:r>
        <w:rPr>
          <w:rFonts w:ascii="Arial" w:cs="Arial" w:eastAsia="Arial" w:hAnsi="Arial"/>
          <w:sz w:val="22"/>
          <w:szCs w:val="22"/>
          <w:color w:val="auto"/>
        </w:rPr>
        <w:t>: A “multiemployer plan” as defined in Section 4001(a)(3) of ERISA that is or was at any time during the current year or the immediately preceding five years contributed to by the Borrower or any ERISA Affiliate on behalf of its employees.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Net Advance Rate</w:t>
      </w:r>
      <w:r>
        <w:rPr>
          <w:rFonts w:ascii="Arial" w:cs="Arial" w:eastAsia="Arial" w:hAnsi="Arial"/>
          <w:sz w:val="22"/>
          <w:szCs w:val="22"/>
          <w:color w:val="auto"/>
        </w:rPr>
        <w:t>: 80%.</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Nonconforming Contract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6.2(c)(ii)</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xml:space="preserve">: Any Notes of the Borrower, issued to the Lenders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hereof substantially in the form of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hereto.</w:t>
      </w:r>
    </w:p>
    <w:p>
      <w:pPr>
        <w:spacing w:after="0" w:line="175" w:lineRule="exact"/>
        <w:rPr>
          <w:sz w:val="20"/>
          <w:szCs w:val="20"/>
          <w:color w:val="auto"/>
        </w:rPr>
      </w:pPr>
    </w:p>
    <w:p>
      <w:pPr>
        <w:jc w:val="both"/>
        <w:ind w:firstLine="972"/>
        <w:spacing w:after="0" w:line="287" w:lineRule="auto"/>
        <w:rPr>
          <w:sz w:val="20"/>
          <w:szCs w:val="20"/>
          <w:color w:val="auto"/>
        </w:rPr>
      </w:pPr>
      <w:r>
        <w:rPr>
          <w:rFonts w:ascii="Arial" w:cs="Arial" w:eastAsia="Arial" w:hAnsi="Arial"/>
          <w:sz w:val="21"/>
          <w:szCs w:val="21"/>
          <w:u w:val="single" w:color="auto"/>
          <w:color w:val="auto"/>
        </w:rPr>
        <w:t>Obligor</w:t>
      </w:r>
      <w:r>
        <w:rPr>
          <w:rFonts w:ascii="Arial" w:cs="Arial" w:eastAsia="Arial" w:hAnsi="Arial"/>
          <w:sz w:val="21"/>
          <w:szCs w:val="21"/>
          <w:color w:val="auto"/>
        </w:rPr>
        <w:t>: With respect to any Loan, Dealer Agreement or Contract, the Person or Persons obligated to make payments with respect to such Loan, Dealer Agreement or Contract, respectively, including any guarantor thereof.</w:t>
      </w:r>
    </w:p>
    <w:p>
      <w:pPr>
        <w:spacing w:after="0" w:line="151"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The U.S. Department of the Treasury's Office of Foreign Assets Control.</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 certificate signed by any officer of the Borrower or the Servicer, as the case may be, and delivered to the Collateral Agent or the Backup Servicer.</w:t>
      </w:r>
    </w:p>
    <w:p>
      <w:pPr>
        <w:spacing w:after="0" w:line="17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Open Pool</w:t>
      </w:r>
      <w:r>
        <w:rPr>
          <w:rFonts w:ascii="Arial" w:cs="Arial" w:eastAsia="Arial" w:hAnsi="Arial"/>
          <w:sz w:val="22"/>
          <w:szCs w:val="22"/>
          <w:color w:val="auto"/>
        </w:rPr>
        <w:t>: With respect to any Dealer Loan, a Pool as to which, pursuant to the terms of the related Dealer Agreement, additional Dealer Loan Contracts may be allocated.</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Opinion of Counsel</w:t>
      </w:r>
      <w:r>
        <w:rPr>
          <w:rFonts w:ascii="Arial" w:cs="Arial" w:eastAsia="Arial" w:hAnsi="Arial"/>
          <w:sz w:val="19"/>
          <w:szCs w:val="19"/>
          <w:color w:val="auto"/>
        </w:rPr>
        <w:t>: An opinion of counsel, which opinion and counsel are reasonably acceptable to the recipient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202"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Original Advance Rate</w:t>
      </w:r>
      <w:r>
        <w:rPr>
          <w:rFonts w:ascii="Arial" w:cs="Arial" w:eastAsia="Arial" w:hAnsi="Arial"/>
          <w:sz w:val="22"/>
          <w:szCs w:val="22"/>
          <w:color w:val="auto"/>
        </w:rPr>
        <w:t>: With respect to any Dealer, the ratio, expressed as a percentage, where the numerator is equal to the sum of the Outstanding Balance of all Eligible Loans of such Dealer on the dates such Eligible Loans were originated and the denominator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8"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1983350-NYCSR03A - MSW</w:t>
      </w:r>
    </w:p>
    <w:p>
      <w:pPr>
        <w:sectPr>
          <w:pgSz w:w="11900" w:h="16838" w:orient="portrait"/>
          <w:cols w:equalWidth="0" w:num="1">
            <w:col w:w="11240"/>
          </w:cols>
          <w:pgMar w:left="320" w:top="142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22"/>
          <w:szCs w:val="22"/>
          <w:color w:val="auto"/>
        </w:rPr>
        <w:t>equal to the sum of payments due under all Eligible Contracts related to such Dealer on their dates of origination.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Originator</w:t>
      </w:r>
      <w:r>
        <w:rPr>
          <w:rFonts w:ascii="Arial" w:cs="Arial" w:eastAsia="Arial" w:hAnsi="Arial"/>
          <w:sz w:val="22"/>
          <w:szCs w:val="22"/>
          <w:color w:val="auto"/>
        </w:rPr>
        <w:t>: Defined in the preamble of this Agreement.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Outstanding Balance</w:t>
      </w:r>
      <w:r>
        <w:rPr>
          <w:rFonts w:ascii="Arial" w:cs="Arial" w:eastAsia="Arial" w:hAnsi="Arial"/>
          <w:sz w:val="22"/>
          <w:szCs w:val="22"/>
          <w:color w:val="auto"/>
        </w:rPr>
        <w:t>:</w:t>
      </w:r>
    </w:p>
    <w:p>
      <w:pPr>
        <w:spacing w:after="0" w:line="220" w:lineRule="exact"/>
        <w:rPr>
          <w:sz w:val="20"/>
          <w:szCs w:val="20"/>
          <w:color w:val="auto"/>
        </w:rPr>
      </w:pPr>
    </w:p>
    <w:p>
      <w:pPr>
        <w:ind w:right="80" w:firstLine="236"/>
        <w:spacing w:after="0" w:line="248" w:lineRule="auto"/>
        <w:tabs>
          <w:tab w:leader="none" w:pos="486" w:val="left"/>
        </w:tabs>
        <w:numPr>
          <w:ilvl w:val="1"/>
          <w:numId w:val="17"/>
        </w:numPr>
        <w:rPr>
          <w:rFonts w:ascii="Arial" w:cs="Arial" w:eastAsia="Arial" w:hAnsi="Arial"/>
          <w:sz w:val="22"/>
          <w:szCs w:val="22"/>
          <w:color w:val="auto"/>
        </w:rPr>
      </w:pPr>
      <w:r>
        <w:rPr>
          <w:rFonts w:ascii="Arial" w:cs="Arial" w:eastAsia="Arial" w:hAnsi="Arial"/>
          <w:sz w:val="22"/>
          <w:szCs w:val="22"/>
          <w:color w:val="auto"/>
        </w:rPr>
        <w:t>With respect to any Contract on any date of determination, all amounts owing under such Contract (whether considered principal or as finance charges) on such date of determination. The Outstanding Balance with respect to a Contract shall be deemed to have been created at the end of the day on the Date of Processing of such Contract; which shall be greater than or equal to zero (except in the case of a Contract as to which the final payment on such Contract is in excess of the amount owed on such Contract on the date of such final payment);</w:t>
      </w:r>
    </w:p>
    <w:p>
      <w:pPr>
        <w:spacing w:after="0" w:line="191" w:lineRule="exact"/>
        <w:rPr>
          <w:rFonts w:ascii="Arial" w:cs="Arial" w:eastAsia="Arial" w:hAnsi="Arial"/>
          <w:sz w:val="22"/>
          <w:szCs w:val="22"/>
          <w:color w:val="auto"/>
        </w:rPr>
      </w:pPr>
    </w:p>
    <w:p>
      <w:pPr>
        <w:ind w:right="40" w:firstLine="176"/>
        <w:spacing w:after="0" w:line="263" w:lineRule="auto"/>
        <w:tabs>
          <w:tab w:leader="none" w:pos="486" w:val="left"/>
        </w:tabs>
        <w:numPr>
          <w:ilvl w:val="1"/>
          <w:numId w:val="17"/>
        </w:numPr>
        <w:rPr>
          <w:rFonts w:ascii="Arial" w:cs="Arial" w:eastAsia="Arial" w:hAnsi="Arial"/>
          <w:sz w:val="21"/>
          <w:szCs w:val="21"/>
          <w:color w:val="auto"/>
        </w:rPr>
      </w:pPr>
      <w:r>
        <w:rPr>
          <w:rFonts w:ascii="Arial" w:cs="Arial" w:eastAsia="Arial" w:hAnsi="Arial"/>
          <w:sz w:val="21"/>
          <w:szCs w:val="21"/>
          <w:color w:val="auto"/>
        </w:rPr>
        <w:t>with respect to any Dealer Loan on any date of determination, the aggregate amount advanced under such Dealer Loan plus revenue accrued with respect to such Dealer Loan in accordance with Credit Acceptance's adjusted accounting policies (as in effect as of January 1, 2020) and the payment of monies to a Dealer under the related Dealer Agreement, less Collections on the related Dealer Loan Contracts applied through such date of determination in accordance with the related Dealer Agreement to the reduction of the balance of such Dealer Loan;</w:t>
      </w:r>
    </w:p>
    <w:p>
      <w:pPr>
        <w:spacing w:after="0" w:line="175" w:lineRule="exact"/>
        <w:rPr>
          <w:rFonts w:ascii="Arial" w:cs="Arial" w:eastAsia="Arial" w:hAnsi="Arial"/>
          <w:sz w:val="21"/>
          <w:szCs w:val="21"/>
          <w:color w:val="auto"/>
        </w:rPr>
      </w:pPr>
    </w:p>
    <w:p>
      <w:pPr>
        <w:ind w:right="20" w:firstLine="116"/>
        <w:spacing w:after="0" w:line="248" w:lineRule="auto"/>
        <w:tabs>
          <w:tab w:leader="none" w:pos="486" w:val="left"/>
        </w:tabs>
        <w:numPr>
          <w:ilvl w:val="1"/>
          <w:numId w:val="17"/>
        </w:numPr>
        <w:rPr>
          <w:rFonts w:ascii="Arial" w:cs="Arial" w:eastAsia="Arial" w:hAnsi="Arial"/>
          <w:sz w:val="22"/>
          <w:szCs w:val="22"/>
          <w:color w:val="auto"/>
        </w:rPr>
      </w:pPr>
      <w:r>
        <w:rPr>
          <w:rFonts w:ascii="Arial" w:cs="Arial" w:eastAsia="Arial" w:hAnsi="Arial"/>
          <w:sz w:val="22"/>
          <w:szCs w:val="22"/>
          <w:color w:val="auto"/>
        </w:rPr>
        <w:t>with respect to any Purchased Loan (other than any Purchased Loan arising from a Dealer Collections Purchase Agreement) on any date of determination, the aggregate amount advanced under such Purchased Loan plus revenue accrued with respect to such Purchased Loan in accordance with Credit Acceptance's adjusted accounting policies (as in effect as of January 1, 2020) less Collections on the related Purchased Loan Contract applied through the date of determination to the reduction of the balance of such Purchased Loan; and</w:t>
      </w:r>
    </w:p>
    <w:p>
      <w:pPr>
        <w:spacing w:after="0" w:line="191" w:lineRule="exact"/>
        <w:rPr>
          <w:rFonts w:ascii="Arial" w:cs="Arial" w:eastAsia="Arial" w:hAnsi="Arial"/>
          <w:sz w:val="22"/>
          <w:szCs w:val="22"/>
          <w:color w:val="auto"/>
        </w:rPr>
      </w:pPr>
    </w:p>
    <w:p>
      <w:pPr>
        <w:ind w:left="500" w:hanging="372"/>
        <w:spacing w:after="0"/>
        <w:tabs>
          <w:tab w:leader="none" w:pos="500" w:val="left"/>
        </w:tabs>
        <w:numPr>
          <w:ilvl w:val="1"/>
          <w:numId w:val="17"/>
        </w:numPr>
        <w:rPr>
          <w:rFonts w:ascii="Arial" w:cs="Arial" w:eastAsia="Arial" w:hAnsi="Arial"/>
          <w:sz w:val="19"/>
          <w:szCs w:val="19"/>
          <w:color w:val="auto"/>
        </w:rPr>
      </w:pPr>
      <w:r>
        <w:rPr>
          <w:rFonts w:ascii="Arial" w:cs="Arial" w:eastAsia="Arial" w:hAnsi="Arial"/>
          <w:sz w:val="19"/>
          <w:szCs w:val="19"/>
          <w:color w:val="auto"/>
        </w:rPr>
        <w:t>with respect to any Purchased Loan arising from a Dealer Collections Purchase Agreement on any date of determination,</w:t>
      </w:r>
    </w:p>
    <w:p>
      <w:pPr>
        <w:spacing w:after="0" w:line="55" w:lineRule="exact"/>
        <w:rPr>
          <w:rFonts w:ascii="Arial" w:cs="Arial" w:eastAsia="Arial" w:hAnsi="Arial"/>
          <w:sz w:val="19"/>
          <w:szCs w:val="19"/>
          <w:color w:val="auto"/>
        </w:rPr>
      </w:pPr>
    </w:p>
    <w:p>
      <w:pPr>
        <w:ind w:right="40" w:firstLine="8"/>
        <w:spacing w:after="0" w:line="288" w:lineRule="auto"/>
        <w:tabs>
          <w:tab w:leader="none" w:pos="354"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such Purchased Loan's pro rata share of the sum of (x) the Outstanding Balance of the related Dealer Loan as of the date of the related Dealer Collections Purchase and (y) the Dealer Collections Purchase Price with respect to such Dealer Loan (such pro rata share determined based on such Purchased Loan's pro rata share of the forecasted collections on the pool of Purchased Loans which previously constituted Dealer Loan Contracts securing such Dealer Loan), plus following the acquisition of such Purchased Loan (B) revenue accrued with respect to such Purchased Loan in accordance with Credit Acceptance's adjusted accounting policies (as in effect as of January 1, 2020) less (C) Collections on the related Purchased Loan Contract applied through the date of determination to the reduction of the balance of such Purchased Loan.</w:t>
      </w:r>
    </w:p>
    <w:p>
      <w:pPr>
        <w:spacing w:after="0" w:line="158"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u w:val="single" w:color="auto"/>
          <w:color w:val="auto"/>
        </w:rPr>
        <w:t>Overconcentration Loan Amount</w:t>
      </w:r>
      <w:r>
        <w:rPr>
          <w:rFonts w:ascii="Arial" w:cs="Arial" w:eastAsia="Arial" w:hAnsi="Arial"/>
          <w:sz w:val="19"/>
          <w:szCs w:val="19"/>
          <w:color w:val="auto"/>
        </w:rPr>
        <w:t>: With respect to any Dealer (or the 20 largest Dealers (measured by the Aggregate Outstanding Eligible Loan Balance of each such Dealer) in the aggregate), the amount by which the Outstanding Balance of such Dealer's Eligible Dealer Loans (or the 20 largest Dealers' (measured by the Aggregate Outstanding Eligible Loan Balance of each such Dealer) Eligible Dealer Loans in the aggregate), as of the Closing Date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22"/>
          <w:szCs w:val="22"/>
          <w:color w:val="auto"/>
        </w:rPr>
        <w:t>Addition Date during the Revolving Period on which the Borrower purchases one or more Dealer Loans, as the case may be, exceeds the applicable Dealer Concentration Limit.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13.1(e)</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4.1(z)</w:t>
      </w:r>
      <w:r>
        <w:rPr>
          <w:rFonts w:ascii="Arial" w:cs="Arial" w:eastAsia="Arial" w:hAnsi="Arial"/>
          <w:sz w:val="22"/>
          <w:szCs w:val="22"/>
          <w:color w:val="auto"/>
        </w:rPr>
        <w:t xml:space="preserve"> of this Agreement.</w:t>
      </w:r>
    </w:p>
    <w:p>
      <w:pPr>
        <w:spacing w:after="0" w:line="212" w:lineRule="exact"/>
        <w:rPr>
          <w:sz w:val="20"/>
          <w:szCs w:val="20"/>
          <w:color w:val="auto"/>
        </w:rPr>
      </w:pPr>
    </w:p>
    <w:p>
      <w:pPr>
        <w:ind w:firstLine="972"/>
        <w:spacing w:after="0" w:line="224" w:lineRule="auto"/>
        <w:rPr>
          <w:sz w:val="20"/>
          <w:szCs w:val="20"/>
          <w:color w:val="auto"/>
        </w:rPr>
      </w:pPr>
      <w:r>
        <w:rPr>
          <w:rFonts w:ascii="Arial" w:cs="Arial" w:eastAsia="Arial" w:hAnsi="Arial"/>
          <w:sz w:val="22"/>
          <w:szCs w:val="22"/>
          <w:u w:val="single" w:color="auto"/>
          <w:color w:val="auto"/>
        </w:rPr>
        <w:t>Payment Date</w:t>
      </w:r>
      <w:r>
        <w:rPr>
          <w:rFonts w:ascii="Arial" w:cs="Arial" w:eastAsia="Arial" w:hAnsi="Arial"/>
          <w:sz w:val="22"/>
          <w:szCs w:val="22"/>
          <w:color w:val="auto"/>
        </w:rPr>
        <w:t>: The fifteenth (15</w:t>
      </w:r>
      <w:r>
        <w:rPr>
          <w:rFonts w:ascii="Arial" w:cs="Arial" w:eastAsia="Arial" w:hAnsi="Arial"/>
          <w:sz w:val="28"/>
          <w:szCs w:val="28"/>
          <w:color w:val="auto"/>
          <w:vertAlign w:val="superscript"/>
        </w:rPr>
        <w:t>th</w:t>
      </w:r>
      <w:r>
        <w:rPr>
          <w:rFonts w:ascii="Arial" w:cs="Arial" w:eastAsia="Arial" w:hAnsi="Arial"/>
          <w:sz w:val="22"/>
          <w:szCs w:val="22"/>
          <w:color w:val="auto"/>
        </w:rPr>
        <w:t>) day of each calendar month or, if such day is not a Business Day, the next succeeding Business Day, beginning on February 15, 2021.</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Permitted Investments</w:t>
      </w:r>
      <w:r>
        <w:rPr>
          <w:rFonts w:ascii="Arial" w:cs="Arial" w:eastAsia="Arial" w:hAnsi="Arial"/>
          <w:sz w:val="22"/>
          <w:szCs w:val="22"/>
          <w:color w:val="auto"/>
        </w:rPr>
        <w:t>: Any one or more of the following types of investments:</w:t>
      </w:r>
    </w:p>
    <w:p>
      <w:pPr>
        <w:spacing w:after="0" w:line="220" w:lineRule="exact"/>
        <w:rPr>
          <w:sz w:val="20"/>
          <w:szCs w:val="20"/>
          <w:color w:val="auto"/>
        </w:rPr>
      </w:pPr>
    </w:p>
    <w:p>
      <w:pPr>
        <w:ind w:firstLine="656"/>
        <w:spacing w:after="0" w:line="343" w:lineRule="auto"/>
        <w:tabs>
          <w:tab w:leader="none" w:pos="1293" w:val="left"/>
        </w:tabs>
        <w:numPr>
          <w:ilvl w:val="0"/>
          <w:numId w:val="19"/>
        </w:numPr>
        <w:rPr>
          <w:rFonts w:ascii="Arial" w:cs="Arial" w:eastAsia="Arial" w:hAnsi="Arial"/>
          <w:sz w:val="19"/>
          <w:szCs w:val="19"/>
          <w:color w:val="auto"/>
        </w:rPr>
      </w:pPr>
      <w:r>
        <w:rPr>
          <w:rFonts w:ascii="Arial" w:cs="Arial" w:eastAsia="Arial" w:hAnsi="Arial"/>
          <w:sz w:val="19"/>
          <w:szCs w:val="19"/>
          <w:color w:val="auto"/>
        </w:rPr>
        <w:t>marketable obligations of the United States, the full and timely payment of which are backed by the full faith and credit of the United States of America and that have a maturity of not more than 270 days from the date of acquisition;</w:t>
      </w:r>
    </w:p>
    <w:p>
      <w:pPr>
        <w:spacing w:after="0" w:line="104" w:lineRule="exact"/>
        <w:rPr>
          <w:rFonts w:ascii="Arial" w:cs="Arial" w:eastAsia="Arial" w:hAnsi="Arial"/>
          <w:sz w:val="19"/>
          <w:szCs w:val="19"/>
          <w:color w:val="auto"/>
        </w:rPr>
      </w:pPr>
    </w:p>
    <w:p>
      <w:pPr>
        <w:ind w:right="20" w:firstLine="656"/>
        <w:spacing w:after="0" w:line="287" w:lineRule="auto"/>
        <w:tabs>
          <w:tab w:leader="none" w:pos="1291" w:val="left"/>
        </w:tabs>
        <w:numPr>
          <w:ilvl w:val="0"/>
          <w:numId w:val="19"/>
        </w:numPr>
        <w:rPr>
          <w:rFonts w:ascii="Arial" w:cs="Arial" w:eastAsia="Arial" w:hAnsi="Arial"/>
          <w:sz w:val="21"/>
          <w:szCs w:val="21"/>
          <w:color w:val="auto"/>
        </w:rPr>
      </w:pPr>
      <w:r>
        <w:rPr>
          <w:rFonts w:ascii="Arial" w:cs="Arial" w:eastAsia="Arial" w:hAnsi="Arial"/>
          <w:sz w:val="21"/>
          <w:szCs w:val="21"/>
          <w:color w:val="auto"/>
        </w:rPr>
        <w:t>marketable obligations, the full and timely payment of which are directly and fully guaranteed by the full faith and credit of the United States and that have a maturity of not more than 270 days from the date of acquisition;</w:t>
      </w:r>
    </w:p>
    <w:p>
      <w:pPr>
        <w:spacing w:after="0" w:line="151" w:lineRule="exact"/>
        <w:rPr>
          <w:rFonts w:ascii="Arial" w:cs="Arial" w:eastAsia="Arial" w:hAnsi="Arial"/>
          <w:sz w:val="21"/>
          <w:szCs w:val="21"/>
          <w:color w:val="auto"/>
        </w:rPr>
      </w:pPr>
    </w:p>
    <w:p>
      <w:pPr>
        <w:jc w:val="both"/>
        <w:ind w:firstLine="656"/>
        <w:spacing w:after="0" w:line="250" w:lineRule="auto"/>
        <w:tabs>
          <w:tab w:leader="none" w:pos="1293" w:val="left"/>
        </w:tabs>
        <w:numPr>
          <w:ilvl w:val="0"/>
          <w:numId w:val="19"/>
        </w:numPr>
        <w:rPr>
          <w:rFonts w:ascii="Arial" w:cs="Arial" w:eastAsia="Arial" w:hAnsi="Arial"/>
          <w:sz w:val="22"/>
          <w:szCs w:val="22"/>
          <w:color w:val="auto"/>
        </w:rPr>
      </w:pPr>
      <w:r>
        <w:rPr>
          <w:rFonts w:ascii="Arial" w:cs="Arial" w:eastAsia="Arial" w:hAnsi="Arial"/>
          <w:sz w:val="22"/>
          <w:szCs w:val="22"/>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are rated at least A-1 by S&amp;P and P-1 by Moody's;</w:t>
      </w:r>
    </w:p>
    <w:p>
      <w:pPr>
        <w:spacing w:after="0" w:line="187" w:lineRule="exact"/>
        <w:rPr>
          <w:rFonts w:ascii="Arial" w:cs="Arial" w:eastAsia="Arial" w:hAnsi="Arial"/>
          <w:sz w:val="22"/>
          <w:szCs w:val="22"/>
          <w:color w:val="auto"/>
        </w:rPr>
      </w:pPr>
    </w:p>
    <w:p>
      <w:pPr>
        <w:ind w:firstLine="656"/>
        <w:spacing w:after="0" w:line="263" w:lineRule="auto"/>
        <w:tabs>
          <w:tab w:leader="none" w:pos="1291"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repurchase obligations with a term of not more than ten days for underlying securities of the types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above entered into with any bank of the type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above;</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commercial paper rated at least A-1 by S&amp;P and P-1 by Moody's;</w:t>
      </w:r>
    </w:p>
    <w:p>
      <w:pPr>
        <w:spacing w:after="0" w:line="219"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demand deposits, time deposits or certificates of deposit (having original maturities of no more than 365 days) of depository institutions or trust companies incorporated under the laws of the United States of America or any state thereof (or domestic branches of any foreign bank) and subject to supervision and examination by federal or state banking or depository institution authorities;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at the time such investment, or the commitment to make such investment, is entered into, the short-term debt rating of such depository institution or trust company shall be at least A-1 by S&amp;P and P-1 by Moody's; and</w:t>
      </w:r>
    </w:p>
    <w:p>
      <w:pPr>
        <w:spacing w:after="0" w:line="192"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19"/>
        </w:numPr>
        <w:rPr>
          <w:rFonts w:ascii="Arial" w:cs="Arial" w:eastAsia="Arial" w:hAnsi="Arial"/>
          <w:sz w:val="22"/>
          <w:szCs w:val="22"/>
          <w:color w:val="auto"/>
        </w:rPr>
      </w:pPr>
      <w:r>
        <w:rPr>
          <w:rFonts w:ascii="Arial" w:cs="Arial" w:eastAsia="Arial" w:hAnsi="Arial"/>
          <w:sz w:val="22"/>
          <w:szCs w:val="22"/>
          <w:color w:val="auto"/>
        </w:rPr>
        <w:t>money market mutual funds (including funds for which the Collateral Agent may act as a sponsor or advisor or for which the Collateral Agent may receive fee income) having a rating, at the time of such investment, from S&amp;P or Moody's in the highest investment category granted thereby.</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Each of the Permitted Investments may be purchased by the Collateral Agent or through an Affiliate of the Collateral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3" w:name="page34"/>
    <w:bookmarkEnd w:id="33"/>
    <w:p>
      <w:pPr>
        <w:jc w:val="both"/>
        <w:ind w:right="20" w:firstLine="972"/>
        <w:spacing w:after="0" w:line="253" w:lineRule="auto"/>
        <w:rPr>
          <w:sz w:val="20"/>
          <w:szCs w:val="20"/>
          <w:color w:val="auto"/>
        </w:rPr>
      </w:pPr>
      <w:r>
        <w:rPr>
          <w:rFonts w:ascii="Arial" w:cs="Arial" w:eastAsia="Arial" w:hAnsi="Arial"/>
          <w:sz w:val="22"/>
          <w:szCs w:val="22"/>
          <w:u w:val="single" w:color="auto"/>
          <w:color w:val="auto"/>
        </w:rPr>
        <w:t>Permitted Liens</w:t>
      </w:r>
      <w:r>
        <w:rPr>
          <w:rFonts w:ascii="Arial" w:cs="Arial" w:eastAsia="Arial" w:hAnsi="Arial"/>
          <w:sz w:val="22"/>
          <w:szCs w:val="22"/>
          <w:color w:val="auto"/>
        </w:rPr>
        <w:t>: Liens for state, municipal or other local taxes if such taxes shall not at the time be due and payable and Liens granted pursuant to the Transaction Documents and with respect to the Dealer Loan Contracts, the second priority lien of the related Dealer therein as set forth in the related Dealer Agreement.</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An individual, partnership, corporation (including a business trust), limited liability company, joint stock company, trust, unincorporated association, sole proprietorship, joint venture, government (or any agency or political subdivision thereof) or other entity.</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Pool</w:t>
      </w:r>
      <w:r>
        <w:rPr>
          <w:rFonts w:ascii="Arial" w:cs="Arial" w:eastAsia="Arial" w:hAnsi="Arial"/>
          <w:sz w:val="22"/>
          <w:szCs w:val="22"/>
          <w:color w:val="auto"/>
        </w:rPr>
        <w:t xml:space="preserve">: An identifiable group of Dealer Loan Contracts related to a particular Dealer Agreement identified on </w:t>
      </w: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hereto, which, for the avoidance of doubt, may take the form of an Open Pool or Closed Pool at the time it is pledged hereunder.</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Principal Collection Account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9"/>
          <w:szCs w:val="19"/>
          <w:u w:val="single" w:color="auto"/>
          <w:color w:val="auto"/>
        </w:rPr>
        <w:t>Principal Distributable Amount</w:t>
      </w:r>
      <w:r>
        <w:rPr>
          <w:rFonts w:ascii="Arial" w:cs="Arial" w:eastAsia="Arial" w:hAnsi="Arial"/>
          <w:sz w:val="19"/>
          <w:szCs w:val="19"/>
          <w:color w:val="auto"/>
        </w:rPr>
        <w:t>: With respect to any Payment Date during the Amortization Period, the lesser of: (i)</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Capital as of the immediately preceding Payment Date (after giving effect to all payments in reduction of principal on such</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Payment Date); and (ii) Available Funds remaining after distribution of amounts described in </w:t>
      </w:r>
      <w:r>
        <w:rPr>
          <w:rFonts w:ascii="Arial" w:cs="Arial" w:eastAsia="Arial" w:hAnsi="Arial"/>
          <w:sz w:val="19"/>
          <w:szCs w:val="19"/>
          <w:u w:val="single" w:color="auto"/>
          <w:color w:val="auto"/>
        </w:rPr>
        <w:t>Section 2.7(a)(ii)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w:t>
      </w:r>
    </w:p>
    <w:p>
      <w:pPr>
        <w:spacing w:after="0" w:line="236"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The rate announced by Fifth Third from time to time as its prime rate in the United States, such rate to change as and when such designated rate changes. The Prime Rate is not intended to be the lowest rate of interest charged by Fifth Third in connection with extensions of credit to debtors.</w:t>
      </w:r>
    </w:p>
    <w:p>
      <w:pPr>
        <w:spacing w:after="0" w:line="18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Proceeds</w:t>
      </w:r>
      <w:r>
        <w:rPr>
          <w:rFonts w:ascii="Arial" w:cs="Arial" w:eastAsia="Arial" w:hAnsi="Arial"/>
          <w:sz w:val="22"/>
          <w:szCs w:val="22"/>
          <w:color w:val="auto"/>
        </w:rPr>
        <w:t>: With respect to any portion of the Collateral, all “proceeds” as such term is defined in Article 9 of the UCC, including, whatever is receivable or received when such portion of Collateral is sold, liquidated, foreclosed, exchanged, or otherwise disposed of, whether such disposition is voluntary or involuntary, and includes all rights to payment with respect to any insurance relating thereto.</w:t>
      </w:r>
    </w:p>
    <w:p>
      <w:pPr>
        <w:spacing w:after="0" w:line="188"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Purchase Agreement</w:t>
      </w:r>
      <w:r>
        <w:rPr>
          <w:rFonts w:ascii="Arial" w:cs="Arial" w:eastAsia="Arial" w:hAnsi="Arial"/>
          <w:sz w:val="22"/>
          <w:szCs w:val="22"/>
          <w:color w:val="auto"/>
        </w:rPr>
        <w:t xml:space="preserve">: Each agreement between Credit Acceptance and any Dealer in substantially the form attached hereto as </w:t>
      </w:r>
      <w:r>
        <w:rPr>
          <w:rFonts w:ascii="Arial" w:cs="Arial" w:eastAsia="Arial" w:hAnsi="Arial"/>
          <w:sz w:val="22"/>
          <w:szCs w:val="22"/>
          <w:u w:val="single" w:color="auto"/>
          <w:color w:val="auto"/>
        </w:rPr>
        <w:t>Exhibit P</w:t>
      </w:r>
      <w:r>
        <w:rPr>
          <w:rFonts w:ascii="Arial" w:cs="Arial" w:eastAsia="Arial" w:hAnsi="Arial"/>
          <w:sz w:val="22"/>
          <w:szCs w:val="22"/>
          <w:color w:val="auto"/>
        </w:rPr>
        <w:t>, together with any Dealer Collections Purchase Agreement.</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Purchase Amount</w:t>
      </w:r>
      <w:r>
        <w:rPr>
          <w:rFonts w:ascii="Arial" w:cs="Arial" w:eastAsia="Arial" w:hAnsi="Arial"/>
          <w:sz w:val="22"/>
          <w:szCs w:val="22"/>
          <w:color w:val="auto"/>
        </w:rPr>
        <w:t xml:space="preserve">: With respect to the Loans and any optional purchase pursuant to </w:t>
      </w:r>
      <w:r>
        <w:rPr>
          <w:rFonts w:ascii="Arial" w:cs="Arial" w:eastAsia="Arial" w:hAnsi="Arial"/>
          <w:sz w:val="22"/>
          <w:szCs w:val="22"/>
          <w:u w:val="single" w:color="auto"/>
          <w:color w:val="auto"/>
        </w:rPr>
        <w:t>Section 2.16</w:t>
      </w:r>
      <w:r>
        <w:rPr>
          <w:rFonts w:ascii="Arial" w:cs="Arial" w:eastAsia="Arial" w:hAnsi="Arial"/>
          <w:sz w:val="22"/>
          <w:szCs w:val="22"/>
          <w:color w:val="auto"/>
        </w:rPr>
        <w:t>, an amount equal to the product of (x) the aggregate Outstanding Balance of such Loans as of the last day of the related Collection Period and (y) the Net Advance Rate in effect on the date of such payment.</w:t>
      </w:r>
    </w:p>
    <w:p>
      <w:pPr>
        <w:spacing w:after="0" w:line="18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Purchased Loan</w:t>
      </w:r>
      <w:r>
        <w:rPr>
          <w:rFonts w:ascii="Arial" w:cs="Arial" w:eastAsia="Arial" w:hAnsi="Arial"/>
          <w:sz w:val="22"/>
          <w:szCs w:val="22"/>
          <w:color w:val="auto"/>
        </w:rPr>
        <w:t xml:space="preserve">: A motor vehicle retail installment loan relating to the sale of an automobile or light-duty truck originated by a Dealer, purchased by the Originator from such Dealer and evidenced by a Purchased Loan Contract;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term “Purchased Loan” shall, for purposes of this Agreement, include only those Purchased Loans identified from time to time on </w:t>
      </w: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4" w:name="page35"/>
    <w:bookmarkEnd w:id="34"/>
    <w:p>
      <w:pPr>
        <w:jc w:val="both"/>
        <w:ind w:firstLine="972"/>
        <w:spacing w:after="0" w:line="263" w:lineRule="auto"/>
        <w:rPr>
          <w:sz w:val="20"/>
          <w:szCs w:val="20"/>
          <w:color w:val="auto"/>
        </w:rPr>
      </w:pPr>
      <w:r>
        <w:rPr>
          <w:rFonts w:ascii="Arial" w:cs="Arial" w:eastAsia="Arial" w:hAnsi="Arial"/>
          <w:sz w:val="22"/>
          <w:szCs w:val="22"/>
          <w:u w:val="single" w:color="auto"/>
          <w:color w:val="auto"/>
        </w:rPr>
        <w:t>Purchased Loan Contract</w:t>
      </w:r>
      <w:r>
        <w:rPr>
          <w:rFonts w:ascii="Arial" w:cs="Arial" w:eastAsia="Arial" w:hAnsi="Arial"/>
          <w:sz w:val="22"/>
          <w:szCs w:val="22"/>
          <w:color w:val="auto"/>
        </w:rPr>
        <w:t xml:space="preserve">: Each motor vehicle retail installment sales contract, in substantially one of the forms attached hereto as </w:t>
      </w:r>
      <w:r>
        <w:rPr>
          <w:rFonts w:ascii="Arial" w:cs="Arial" w:eastAsia="Arial" w:hAnsi="Arial"/>
          <w:sz w:val="22"/>
          <w:szCs w:val="22"/>
          <w:u w:val="single" w:color="auto"/>
          <w:color w:val="auto"/>
        </w:rPr>
        <w:t>Exhibit L</w:t>
      </w:r>
      <w:r>
        <w:rPr>
          <w:rFonts w:ascii="Arial" w:cs="Arial" w:eastAsia="Arial" w:hAnsi="Arial"/>
          <w:sz w:val="22"/>
          <w:szCs w:val="22"/>
          <w:color w:val="auto"/>
        </w:rPr>
        <w:t>, relating to a Purchased Loan.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Qualified Institution</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Records</w:t>
      </w:r>
      <w:r>
        <w:rPr>
          <w:rFonts w:ascii="Arial" w:cs="Arial" w:eastAsia="Arial" w:hAnsi="Arial"/>
          <w:sz w:val="22"/>
          <w:szCs w:val="22"/>
          <w:color w:val="auto"/>
        </w:rPr>
        <w:t>: The Dealer Agreements, Contracts, Contract Files and all other documents, books, records and other information (including, without limitation, computer programs, tapes, discs, punch cards, data processing software and related contracts, records and other media for storage of information) in each case whether tangible or electronic that are maintained with respect to the Loans and the Contracts and the related Obligors.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1"/>
          <w:szCs w:val="21"/>
          <w:u w:val="single" w:color="auto"/>
          <w:color w:val="auto"/>
        </w:rPr>
        <w:t>Reference Bank</w:t>
      </w:r>
      <w:r>
        <w:rPr>
          <w:rFonts w:ascii="Arial" w:cs="Arial" w:eastAsia="Arial" w:hAnsi="Arial"/>
          <w:sz w:val="21"/>
          <w:szCs w:val="21"/>
          <w:color w:val="auto"/>
        </w:rPr>
        <w:t>: Any bank that furnishes information for purposes of determining the Adjusted LIBOR Rate.</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13.1(c)</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Related Security</w:t>
      </w:r>
      <w:r>
        <w:rPr>
          <w:rFonts w:ascii="Arial" w:cs="Arial" w:eastAsia="Arial" w:hAnsi="Arial"/>
          <w:sz w:val="22"/>
          <w:szCs w:val="22"/>
          <w:color w:val="auto"/>
        </w:rPr>
        <w:t>: With respect to any Loan, all of Credit Acceptance's and the Borrower's interest in:</w:t>
      </w:r>
    </w:p>
    <w:p>
      <w:pPr>
        <w:spacing w:after="0" w:line="220" w:lineRule="exact"/>
        <w:rPr>
          <w:sz w:val="20"/>
          <w:szCs w:val="20"/>
          <w:color w:val="auto"/>
        </w:rPr>
      </w:pPr>
    </w:p>
    <w:p>
      <w:pPr>
        <w:ind w:right="20" w:firstLine="656"/>
        <w:spacing w:after="0" w:line="250" w:lineRule="auto"/>
        <w:tabs>
          <w:tab w:leader="none" w:pos="1284"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Dealer Agreements (other than Excluded Dealer Agreement Rights, but including Credit Acceptance's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spacing w:after="0" w:line="187" w:lineRule="exact"/>
        <w:rPr>
          <w:rFonts w:ascii="Arial" w:cs="Arial" w:eastAsia="Arial" w:hAnsi="Arial"/>
          <w:sz w:val="22"/>
          <w:szCs w:val="22"/>
          <w:color w:val="auto"/>
        </w:rPr>
      </w:pPr>
    </w:p>
    <w:p>
      <w:pPr>
        <w:jc w:val="both"/>
        <w:ind w:right="180" w:firstLine="656"/>
        <w:spacing w:after="0" w:line="250" w:lineRule="auto"/>
        <w:tabs>
          <w:tab w:leader="none" w:pos="129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spacing w:after="0" w:line="187" w:lineRule="exact"/>
        <w:rPr>
          <w:rFonts w:ascii="Arial" w:cs="Arial" w:eastAsia="Arial" w:hAnsi="Arial"/>
          <w:sz w:val="22"/>
          <w:szCs w:val="22"/>
          <w:color w:val="auto"/>
        </w:rPr>
      </w:pPr>
    </w:p>
    <w:p>
      <w:pPr>
        <w:ind w:right="40" w:firstLine="656"/>
        <w:spacing w:after="0" w:line="253" w:lineRule="auto"/>
        <w:tabs>
          <w:tab w:leader="none" w:pos="1296"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guarantees, insurance or other agreements or arrangements of any kind from time to time supporting or securing payment of each Contract whether pursuant to such Contract or otherwise, including any of the foregoing relating to any Contract securing payment of such Loan;</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of the Borrower's interest in all Records, documents and writing evidencing or related to such Loan;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rights of recovery of the Borrower against the Originator;</w:t>
      </w:r>
    </w:p>
    <w:p>
      <w:pPr>
        <w:spacing w:after="0" w:line="219" w:lineRule="exact"/>
        <w:rPr>
          <w:rFonts w:ascii="Arial" w:cs="Arial" w:eastAsia="Arial" w:hAnsi="Arial"/>
          <w:sz w:val="22"/>
          <w:szCs w:val="22"/>
          <w:color w:val="auto"/>
        </w:rPr>
      </w:pPr>
    </w:p>
    <w:p>
      <w:pPr>
        <w:ind w:right="200" w:firstLine="656"/>
        <w:spacing w:after="0" w:line="263" w:lineRule="auto"/>
        <w:tabs>
          <w:tab w:leader="none" w:pos="1284"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Collections (other than Dealer Collections), the Collection Account, the Reserve Account, and all amounts on deposit therein and investments thereof;</w:t>
      </w:r>
    </w:p>
    <w:p>
      <w:pPr>
        <w:spacing w:after="0" w:line="174" w:lineRule="exact"/>
        <w:rPr>
          <w:rFonts w:ascii="Arial" w:cs="Arial" w:eastAsia="Arial" w:hAnsi="Arial"/>
          <w:sz w:val="22"/>
          <w:szCs w:val="22"/>
          <w:color w:val="auto"/>
        </w:rPr>
      </w:pPr>
    </w:p>
    <w:p>
      <w:pPr>
        <w:ind w:right="240" w:firstLine="656"/>
        <w:spacing w:after="0" w:line="263" w:lineRule="auto"/>
        <w:tabs>
          <w:tab w:leader="none" w:pos="129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all of the Borrower's right, title and interest in and to (but not its obligations under) any Hedging Agreement and any payment from time to time due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5" w:name="page36"/>
    <w:bookmarkEnd w:id="35"/>
    <w:p>
      <w:pPr>
        <w:ind w:right="340" w:firstLine="656"/>
        <w:spacing w:after="0" w:line="253"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of the Borrower's right, title and interest in and to the Contribution Agreement and the assignment to the Collateral Agent of all UCC financing statements filed by the Borrower against the Originator under or in connection with the Contribution Agreement; and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Proceeds of each of the foregoing.</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spacing w:after="0" w:line="133"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Release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4.5(b)</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Release Price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u w:val="single" w:color="auto"/>
          <w:color w:val="auto"/>
        </w:rPr>
        <w:t>Repossession Expenses</w:t>
      </w:r>
      <w:r>
        <w:rPr>
          <w:rFonts w:ascii="Arial" w:cs="Arial" w:eastAsia="Arial" w:hAnsi="Arial"/>
          <w:sz w:val="21"/>
          <w:szCs w:val="21"/>
          <w:color w:val="auto"/>
        </w:rPr>
        <w:t>: For any Collection Period, any expenses payable pursuant to the terms of this Agreement, incurred by the Backup Servicer, if it has become the Successor Servicer, in connection with the liquidation or repossession of any Financed Vehicle, in an aggregate amount not to exceed the cash proceeds received by the Backup Servicer, if it has become the Successor Servicer, from the disposition of the Financed Vehicles.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Required Lenders</w:t>
      </w:r>
      <w:r>
        <w:rPr>
          <w:rFonts w:ascii="Arial" w:cs="Arial" w:eastAsia="Arial" w:hAnsi="Arial"/>
          <w:sz w:val="22"/>
          <w:szCs w:val="22"/>
          <w:color w:val="auto"/>
        </w:rPr>
        <w:t>: At a particular time, Lenders with Commitments in excess of 66-2/3% of the Capital.</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Required Reserve Account Amount</w:t>
      </w:r>
      <w:r>
        <w:rPr>
          <w:rFonts w:ascii="Arial" w:cs="Arial" w:eastAsia="Arial" w:hAnsi="Arial"/>
          <w:sz w:val="22"/>
          <w:szCs w:val="22"/>
          <w:color w:val="auto"/>
        </w:rPr>
        <w:t>: With respect to any Payment Date, an amount equal to the lesser of (a) 2.0% of the Initial Loan Amount and (b) the outstanding Capital on such Payment Date, after giving effect to the payment of principal on such Payment Date.</w:t>
      </w:r>
    </w:p>
    <w:p>
      <w:pPr>
        <w:spacing w:after="0" w:line="18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Reserve Account</w:t>
      </w:r>
      <w:r>
        <w:rPr>
          <w:rFonts w:ascii="Arial" w:cs="Arial" w:eastAsia="Arial" w:hAnsi="Arial"/>
          <w:sz w:val="22"/>
          <w:szCs w:val="22"/>
          <w:color w:val="auto"/>
        </w:rPr>
        <w:t xml:space="preserve">: The segregated trust account established at the Collateral Agent for the benefit of the Secured Parties, established pursuant to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Reserve Advance</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2.7(b)(i)</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Responsible Officer</w:t>
      </w:r>
      <w:r>
        <w:rPr>
          <w:rFonts w:ascii="Arial" w:cs="Arial" w:eastAsia="Arial" w:hAnsi="Arial"/>
          <w:sz w:val="22"/>
          <w:szCs w:val="22"/>
          <w:color w:val="auto"/>
        </w:rPr>
        <w:t>: As to any Person any officer of such Person with direct responsibility for the administration of this Agreement and also, with respect to a particular matter, any other officer to whom such matter is referred because of such officer's knowledge of and familiarity with the particular subject.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Retransfer Amount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4.5(b)</w:t>
      </w:r>
      <w:r>
        <w:rPr>
          <w:rFonts w:ascii="Arial" w:cs="Arial" w:eastAsia="Arial" w:hAnsi="Arial"/>
          <w:sz w:val="22"/>
          <w:szCs w:val="22"/>
          <w:color w:val="auto"/>
        </w:rPr>
        <w:t>.</w:t>
      </w:r>
    </w:p>
    <w:p>
      <w:pPr>
        <w:spacing w:after="0" w:line="220"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Revolving Period</w:t>
      </w:r>
      <w:r>
        <w:rPr>
          <w:rFonts w:ascii="Arial" w:cs="Arial" w:eastAsia="Arial" w:hAnsi="Arial"/>
          <w:sz w:val="22"/>
          <w:szCs w:val="22"/>
          <w:color w:val="auto"/>
        </w:rPr>
        <w:t>: The period commencing on the Closing Date and ending upon the commencement of the Amortization Period.</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S&amp;P</w:t>
      </w:r>
      <w:r>
        <w:rPr>
          <w:rFonts w:ascii="Arial" w:cs="Arial" w:eastAsia="Arial" w:hAnsi="Arial"/>
          <w:sz w:val="22"/>
          <w:szCs w:val="22"/>
          <w:color w:val="auto"/>
        </w:rPr>
        <w:t>: S&amp;P Global Ratings, and any successor thereto.</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Sanction or Sanctions</w:t>
      </w:r>
      <w:r>
        <w:rPr>
          <w:rFonts w:ascii="Arial" w:cs="Arial" w:eastAsia="Arial" w:hAnsi="Arial"/>
          <w:sz w:val="22"/>
          <w:szCs w:val="22"/>
          <w:color w:val="auto"/>
        </w:rPr>
        <w:t>: Any and all economic or financial sanctions, sectoral sanctions, secondary sanctions, trade embargoes and restrictions and anti-terrorism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6" w:name="page37"/>
    <w:bookmarkEnd w:id="36"/>
    <w:p>
      <w:pPr>
        <w:jc w:val="both"/>
        <w:spacing w:after="0" w:line="248" w:lineRule="auto"/>
        <w:rPr>
          <w:sz w:val="20"/>
          <w:szCs w:val="20"/>
          <w:color w:val="auto"/>
        </w:rPr>
      </w:pPr>
      <w:r>
        <w:rPr>
          <w:rFonts w:ascii="Arial" w:cs="Arial" w:eastAsia="Arial" w:hAnsi="Arial"/>
          <w:sz w:val="22"/>
          <w:szCs w:val="22"/>
          <w:color w:val="auto"/>
        </w:rPr>
        <w:t>imposed, administered or enforced from time to time by: (a) the United States of America, including those administered by the U.S. Department of the Treasury's Office of Foreign Assets Control (OFAC), the U.S. Department of State, the U.S. Department of Commerce, or through any existing or future statute or Executive Order, (b) the United Nations Security Council, (c) the European Union, (d) the United Kingdom or (e) any other governmental authority with jurisdiction over Borrower or any member of the Borrowing Group.</w:t>
      </w:r>
    </w:p>
    <w:p>
      <w:pPr>
        <w:spacing w:after="0" w:line="192" w:lineRule="exact"/>
        <w:rPr>
          <w:sz w:val="20"/>
          <w:szCs w:val="20"/>
          <w:color w:val="auto"/>
        </w:rPr>
      </w:pPr>
    </w:p>
    <w:p>
      <w:pPr>
        <w:jc w:val="both"/>
        <w:ind w:right="20" w:firstLine="972"/>
        <w:spacing w:after="0" w:line="287" w:lineRule="auto"/>
        <w:rPr>
          <w:sz w:val="20"/>
          <w:szCs w:val="20"/>
          <w:color w:val="auto"/>
        </w:rPr>
      </w:pPr>
      <w:r>
        <w:rPr>
          <w:rFonts w:ascii="Arial" w:cs="Arial" w:eastAsia="Arial" w:hAnsi="Arial"/>
          <w:sz w:val="21"/>
          <w:szCs w:val="21"/>
          <w:u w:val="single" w:color="auto"/>
          <w:color w:val="auto"/>
        </w:rPr>
        <w:t>Sanctioned Country</w:t>
      </w:r>
      <w:r>
        <w:rPr>
          <w:rFonts w:ascii="Arial" w:cs="Arial" w:eastAsia="Arial" w:hAnsi="Arial"/>
          <w:sz w:val="21"/>
          <w:szCs w:val="21"/>
          <w:color w:val="auto"/>
        </w:rPr>
        <w:t>: Any country subject to a sanctions program identified on the list maintained by OFAC and available at http://www.treas.gov/offices/enforcement/ofac/programs, or as otherwise published from time to time.</w:t>
      </w:r>
    </w:p>
    <w:p>
      <w:pPr>
        <w:spacing w:after="0" w:line="151"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u w:val="single" w:color="auto"/>
          <w:color w:val="auto"/>
        </w:rPr>
        <w:t>Sanctioned Person</w:t>
      </w:r>
      <w:r>
        <w:rPr>
          <w:rFonts w:ascii="Arial" w:cs="Arial" w:eastAsia="Arial" w:hAnsi="Arial"/>
          <w:sz w:val="19"/>
          <w:szCs w:val="19"/>
          <w:color w:val="auto"/>
        </w:rPr>
        <w:t>: (i) a Person named on the list of “Specially Designated Nationals” or “Blocked Persons” maintained by OFAC available at http://www.treas.gov/offices/enforcement/ofac/sdn, or as otherwise published from time to time, or (ii) (a) an agency of the government of a Sanctioned Country, (b) an organization controlled by a Sanctioned Country or (c) a Person resident in a Sanctioned Country, to the extent subject to a sanctions program administered by OFAC.</w:t>
      </w:r>
    </w:p>
    <w:p>
      <w:pPr>
        <w:spacing w:after="0" w:line="142"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9"/>
          <w:szCs w:val="19"/>
          <w:u w:val="single" w:color="auto"/>
          <w:color w:val="auto"/>
        </w:rPr>
        <w:t>Sanctioned Target</w:t>
      </w:r>
      <w:r>
        <w:rPr>
          <w:rFonts w:ascii="Arial" w:cs="Arial" w:eastAsia="Arial" w:hAnsi="Arial"/>
          <w:sz w:val="19"/>
          <w:szCs w:val="19"/>
          <w:color w:val="auto"/>
        </w:rPr>
        <w:t>: Any target of Sanctions, including: (a) Persons on any list of targets identified or designated pursuant to any Sanctions, (b) Persons, countries or territories that are the target of any territorial or country-based Sanctions program, (c) Persons that are a target of Sanctions due to their ownership or control by any Sanctioned Target(s) or (d) otherwise a target of Sanctions, including vessels and aircraft, that are designated under any Sanctions program.</w:t>
      </w:r>
    </w:p>
    <w:p>
      <w:pPr>
        <w:spacing w:after="0" w:line="142" w:lineRule="exact"/>
        <w:rPr>
          <w:sz w:val="20"/>
          <w:szCs w:val="20"/>
          <w:color w:val="auto"/>
        </w:rPr>
      </w:pPr>
    </w:p>
    <w:p>
      <w:pPr>
        <w:jc w:val="both"/>
        <w:ind w:firstLine="972"/>
        <w:spacing w:after="0" w:line="271" w:lineRule="auto"/>
        <w:rPr>
          <w:sz w:val="20"/>
          <w:szCs w:val="20"/>
          <w:color w:val="auto"/>
        </w:rPr>
      </w:pPr>
      <w:r>
        <w:rPr>
          <w:rFonts w:ascii="Arial" w:cs="Arial" w:eastAsia="Arial" w:hAnsi="Arial"/>
          <w:sz w:val="21"/>
          <w:szCs w:val="21"/>
          <w:u w:val="single" w:color="auto"/>
          <w:color w:val="auto"/>
        </w:rPr>
        <w:t>Secured Parties</w:t>
      </w:r>
      <w:r>
        <w:rPr>
          <w:rFonts w:ascii="Arial" w:cs="Arial" w:eastAsia="Arial" w:hAnsi="Arial"/>
          <w:sz w:val="21"/>
          <w:szCs w:val="21"/>
          <w:color w:val="auto"/>
        </w:rPr>
        <w:t>: (i) The Collateral Agent, the Deal Agent and each Lender and (ii) each Hedge Counterparty that is either the Lender or an Affiliate of the Lender if that Affiliate that is a Hedge Counterparty executes a counterpart of this Agreement agreeing to be bound by the terms of this Agreement applicable to a Secured Party.</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w:t>
      </w:r>
      <w:r>
        <w:rPr>
          <w:rFonts w:ascii="Arial" w:cs="Arial" w:eastAsia="Arial" w:hAnsi="Arial"/>
          <w:sz w:val="22"/>
          <w:szCs w:val="22"/>
          <w:color w:val="auto"/>
        </w:rPr>
        <w:t>: The United States Securities and Exchange Commission.</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Securities Act</w:t>
      </w:r>
      <w:r>
        <w:rPr>
          <w:rFonts w:ascii="Arial" w:cs="Arial" w:eastAsia="Arial" w:hAnsi="Arial"/>
          <w:sz w:val="22"/>
          <w:szCs w:val="22"/>
          <w:color w:val="auto"/>
        </w:rPr>
        <w:t>: The United States Securities Act of 1933, as amended.</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Securities Exchange Act</w:t>
      </w:r>
      <w:r>
        <w:rPr>
          <w:rFonts w:ascii="Arial" w:cs="Arial" w:eastAsia="Arial" w:hAnsi="Arial"/>
          <w:sz w:val="22"/>
          <w:szCs w:val="22"/>
          <w:color w:val="auto"/>
        </w:rPr>
        <w:t>: The United States Securities Exchange Act of 1934, as amended.</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Servicer</w:t>
      </w:r>
      <w:r>
        <w:rPr>
          <w:rFonts w:ascii="Arial" w:cs="Arial" w:eastAsia="Arial" w:hAnsi="Arial"/>
          <w:sz w:val="22"/>
          <w:szCs w:val="22"/>
          <w:color w:val="auto"/>
        </w:rPr>
        <w:t>: Credit Acceptance, the Backup Servicer, if it has become the Successor Servicer, or any other Successor Servicer, appointed in accordance with the terms hereof as the Servicer of the Loans and Contracts.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Servicer Termination Event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6.11</w:t>
      </w:r>
      <w:r>
        <w:rPr>
          <w:rFonts w:ascii="Arial" w:cs="Arial" w:eastAsia="Arial" w:hAnsi="Arial"/>
          <w:sz w:val="22"/>
          <w:szCs w:val="22"/>
          <w:color w:val="auto"/>
        </w:rPr>
        <w: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Servicer Termination Notice</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6.11</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Servicer Expenses</w:t>
      </w:r>
      <w:r>
        <w:rPr>
          <w:rFonts w:ascii="Arial" w:cs="Arial" w:eastAsia="Arial" w:hAnsi="Arial"/>
          <w:sz w:val="22"/>
          <w:szCs w:val="22"/>
          <w:color w:val="auto"/>
        </w:rPr>
        <w:t>: Any expenses incurred by the Backup Servicer, if it has become the Successor Servicer hereunder, other than Repossession Expenses or Transition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7" w:name="page38"/>
    <w:bookmarkEnd w:id="37"/>
    <w:p>
      <w:pPr>
        <w:jc w:val="both"/>
        <w:ind w:firstLine="972"/>
        <w:spacing w:after="0" w:line="290" w:lineRule="auto"/>
        <w:rPr>
          <w:sz w:val="20"/>
          <w:szCs w:val="20"/>
          <w:color w:val="auto"/>
        </w:rPr>
      </w:pPr>
      <w:r>
        <w:rPr>
          <w:rFonts w:ascii="Arial" w:cs="Arial" w:eastAsia="Arial" w:hAnsi="Arial"/>
          <w:sz w:val="19"/>
          <w:szCs w:val="19"/>
          <w:u w:val="single" w:color="auto"/>
          <w:color w:val="auto"/>
        </w:rPr>
        <w:t>Servicing Fee</w:t>
      </w:r>
      <w:r>
        <w:rPr>
          <w:rFonts w:ascii="Arial" w:cs="Arial" w:eastAsia="Arial" w:hAnsi="Arial"/>
          <w:sz w:val="19"/>
          <w:szCs w:val="19"/>
          <w:color w:val="auto"/>
        </w:rPr>
        <w:t xml:space="preserve">: For each Payment Date, a fee payable to the Servicer for services rendered during the related Collection Period, equal to: (i) so long as Credit Acceptance is the Servicer, the product of (A) 6.00% and (B) the total Collections for the related Collection Period (exclusive of amounts received under any Hedging Agreement) and (ii) if the Backup Servicer is the Servicer, the sum of (1) the greatest of: (a) the product of 10.0% and the total Collections for the related Collection Period (exclusive of amounts received under any Hedging Agreement), (b) the actual costs incurred by the Backup Servicer as Successor Servicer, and (c) the product of (x) $30.00 and (y) the aggregate number of Contracts serviced by it during the related Collection Period, plus (2) without duplication, Late Fees and Servicer Expenses;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with respect to each Payment Date on which the Backup Servicer is the Servicer, the Servicing Fee shall be at least equal to $5,000.</w:t>
      </w:r>
    </w:p>
    <w:p>
      <w:pPr>
        <w:spacing w:after="0" w:line="156"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9"/>
          <w:szCs w:val="19"/>
          <w:u w:val="single" w:color="auto"/>
          <w:color w:val="auto"/>
        </w:rPr>
        <w:t>Solvent</w:t>
      </w:r>
      <w:r>
        <w:rPr>
          <w:rFonts w:ascii="Arial" w:cs="Arial" w:eastAsia="Arial" w:hAnsi="Arial"/>
          <w:sz w:val="19"/>
          <w:szCs w:val="19"/>
          <w:color w:val="auto"/>
        </w:rPr>
        <w:t>: As to any Person at any time, having a state of affairs such that all of the following conditions are met: (a) the fair value of the property of such Person is greater than the amount of such Person's liabilities (including disputed, contingent and unliquidated liabilities) as such value is established and liabilities evaluated for purposes of Section 101(32) of the Bankruptcy Code; (b) the present fair salable value of the property of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w:t>
      </w:r>
    </w:p>
    <w:p>
      <w:pPr>
        <w:spacing w:after="0" w:line="159"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Subsidiary</w:t>
      </w:r>
      <w:r>
        <w:rPr>
          <w:rFonts w:ascii="Arial" w:cs="Arial" w:eastAsia="Arial" w:hAnsi="Arial"/>
          <w:sz w:val="22"/>
          <w:szCs w:val="22"/>
          <w:color w:val="auto"/>
        </w:rPr>
        <w:t>: A corporation of which the Originator and/or its Subsidiaries own, directly or indirectly, such number of outstanding shares as have more than 50% of the ordinary voting power for the election of directors.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Successor Servicer</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6.12(a)</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Any present or future taxes, levies, imposts, duties, deductions, withholdings (including backup withholding), charges, assessments or fees of any nature (including interest, penalties, and additions thereto) that are imposed by any Governmental Authority.</w:t>
      </w:r>
    </w:p>
    <w:p>
      <w:pPr>
        <w:spacing w:after="0" w:line="185"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With respect to each Lender, the date of the occurrence or declaration of the Termination Date pursuant to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Termination Event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Transaction Documents</w:t>
      </w:r>
      <w:r>
        <w:rPr>
          <w:rFonts w:ascii="Arial" w:cs="Arial" w:eastAsia="Arial" w:hAnsi="Arial"/>
          <w:sz w:val="22"/>
          <w:szCs w:val="22"/>
          <w:color w:val="auto"/>
        </w:rPr>
        <w:t>: This Agreement, the Contribution Agreement, the Backup Servicing Agreement, the Intercreditor Agreement, each Hedging Agreement and any additional document the execution of which is necessary or incidental to carrying out the terms of the foregoing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8" w:name="page39"/>
    <w:bookmarkEnd w:id="38"/>
    <w:p>
      <w:pPr>
        <w:jc w:val="both"/>
        <w:ind w:firstLine="972"/>
        <w:spacing w:after="0" w:line="250" w:lineRule="auto"/>
        <w:rPr>
          <w:sz w:val="20"/>
          <w:szCs w:val="20"/>
          <w:color w:val="auto"/>
        </w:rPr>
      </w:pPr>
      <w:r>
        <w:rPr>
          <w:rFonts w:ascii="Arial" w:cs="Arial" w:eastAsia="Arial" w:hAnsi="Arial"/>
          <w:sz w:val="22"/>
          <w:szCs w:val="22"/>
          <w:u w:val="single" w:color="auto"/>
          <w:color w:val="auto"/>
        </w:rPr>
        <w:t>Transition Expenses</w:t>
      </w:r>
      <w:r>
        <w:rPr>
          <w:rFonts w:ascii="Arial" w:cs="Arial" w:eastAsia="Arial" w:hAnsi="Arial"/>
          <w:sz w:val="22"/>
          <w:szCs w:val="22"/>
          <w:color w:val="auto"/>
        </w:rPr>
        <w:t>: If the Backup Servicer has become the Successor Servicer, the sum of: (i) reasonable costs and expenses incurred by the Backup Servicer in connection with its assumption of the servicing obligations hereunder, related to travel, Obligor welcome letters, freight and file shipping plus (ii) a boarding fee equal to the product of $7.50 and the number of Contracts to be serviced.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21"/>
          <w:szCs w:val="21"/>
          <w:u w:val="single" w:color="auto"/>
          <w:color w:val="auto"/>
        </w:rPr>
        <w:t>UCC</w:t>
      </w:r>
      <w:r>
        <w:rPr>
          <w:rFonts w:ascii="Arial" w:cs="Arial" w:eastAsia="Arial" w:hAnsi="Arial"/>
          <w:sz w:val="21"/>
          <w:szCs w:val="21"/>
          <w:color w:val="auto"/>
        </w:rPr>
        <w:t>: The Uniform Commercial Code as from time to time in effect in the applicable jurisdiction or jurisdictions.</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22"/>
          <w:szCs w:val="22"/>
          <w:u w:val="single" w:color="auto"/>
          <w:color w:val="auto"/>
        </w:rPr>
        <w:t>United States or U.S.</w:t>
      </w:r>
      <w:r>
        <w:rPr>
          <w:rFonts w:ascii="Arial" w:cs="Arial" w:eastAsia="Arial" w:hAnsi="Arial"/>
          <w:sz w:val="22"/>
          <w:szCs w:val="22"/>
          <w:color w:val="auto"/>
        </w:rPr>
        <w:t>: The United States of America.</w:t>
      </w:r>
    </w:p>
    <w:p>
      <w:pPr>
        <w:spacing w:after="0" w:line="220"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22"/>
          <w:szCs w:val="22"/>
          <w:u w:val="single" w:color="auto"/>
          <w:color w:val="auto"/>
        </w:rPr>
        <w:t>Unmatured Termination Event</w:t>
      </w:r>
      <w:r>
        <w:rPr>
          <w:rFonts w:ascii="Arial" w:cs="Arial" w:eastAsia="Arial" w:hAnsi="Arial"/>
          <w:sz w:val="22"/>
          <w:szCs w:val="22"/>
          <w:color w:val="auto"/>
        </w:rPr>
        <w:t>: Any event that, with the giving of notice or the lapse of time, or both, would become a Termination Event.</w:t>
      </w:r>
    </w:p>
    <w:p>
      <w:pPr>
        <w:spacing w:after="0" w:line="17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u w:val="single" w:color="auto"/>
          <w:color w:val="auto"/>
        </w:rPr>
        <w:t>Unsatisfactory Audit</w:t>
      </w:r>
      <w:r>
        <w:rPr>
          <w:rFonts w:ascii="Arial" w:cs="Arial" w:eastAsia="Arial" w:hAnsi="Arial"/>
          <w:sz w:val="22"/>
          <w:szCs w:val="22"/>
          <w:color w:val="auto"/>
        </w:rPr>
        <w:t xml:space="preserve">: The occurrence of any audit exceptions resulting from any audit, inspection or review pursuant to </w:t>
      </w:r>
      <w:r>
        <w:rPr>
          <w:rFonts w:ascii="Arial" w:cs="Arial" w:eastAsia="Arial" w:hAnsi="Arial"/>
          <w:sz w:val="22"/>
          <w:szCs w:val="22"/>
          <w:u w:val="single" w:color="auto"/>
          <w:color w:val="auto"/>
        </w:rPr>
        <w:t>Section 6.1(c)</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6.2(e)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6.9</w:t>
      </w:r>
      <w:r>
        <w:rPr>
          <w:rFonts w:ascii="Arial" w:cs="Arial" w:eastAsia="Arial" w:hAnsi="Arial"/>
          <w:sz w:val="22"/>
          <w:szCs w:val="22"/>
          <w:color w:val="auto"/>
        </w:rPr>
        <w:t>, which, in the reasonable judgment of the Deal Agent, would have a material adverse effect on the ability of the Servicer to identify and allocate Collections.</w:t>
      </w:r>
    </w:p>
    <w:p>
      <w:pPr>
        <w:spacing w:after="0" w:line="185"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Upfront Fee</w:t>
      </w:r>
      <w:r>
        <w:rPr>
          <w:rFonts w:ascii="Arial" w:cs="Arial" w:eastAsia="Arial" w:hAnsi="Arial"/>
          <w:sz w:val="22"/>
          <w:szCs w:val="22"/>
          <w:color w:val="auto"/>
        </w:rPr>
        <w:t>: An amount payable to each Lender equal to the product of (i) 0.50% and (ii) the amount of such Lender's Capital on the Closing Date.</w:t>
      </w:r>
    </w:p>
    <w:p>
      <w:pPr>
        <w:spacing w:after="0" w:line="17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Weighted Average Final Score</w:t>
      </w:r>
      <w:r>
        <w:rPr>
          <w:rFonts w:ascii="Arial" w:cs="Arial" w:eastAsia="Arial" w:hAnsi="Arial"/>
          <w:sz w:val="22"/>
          <w:szCs w:val="22"/>
          <w:color w:val="auto"/>
        </w:rPr>
        <w:t>: With respect to each Payment Date during the Revolving Period, the ratio, expressed as a percentage, where (i) the numerator is equal to the aggregate for all Dealers of the product of (a) the Final Score of each Dealer and (b) the aggregate Outstanding Balance of all Eligible Loans for such Dealer and (ii) the denominator is equal to the Aggregate Outstanding Eligible Loan Balance.</w:t>
      </w:r>
    </w:p>
    <w:p>
      <w:pPr>
        <w:spacing w:after="0" w:line="18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21"/>
          <w:szCs w:val="21"/>
          <w:u w:val="single" w:color="auto"/>
          <w:color w:val="auto"/>
        </w:rPr>
        <w:t>Weighted Average Original Advance Rate</w:t>
      </w:r>
      <w:r>
        <w:rPr>
          <w:rFonts w:ascii="Arial" w:cs="Arial" w:eastAsia="Arial" w:hAnsi="Arial"/>
          <w:sz w:val="21"/>
          <w:szCs w:val="21"/>
          <w:color w:val="auto"/>
        </w:rPr>
        <w:t>: With respect to each Payment Date during the Revolving Period, the ratio, expressed as a percentage, where (i) the numerator is equal to the aggregate for all Dealers of the product of (a) the Original Advance Rate of each Dealer and (b) the aggregate Outstanding Balance of all Eligible Loans for such Dealer and (ii) the denominator is equal to the Aggregate Outstanding Eligible Loan Balance.</w:t>
      </w:r>
    </w:p>
    <w:p>
      <w:pPr>
        <w:spacing w:after="0" w:line="175" w:lineRule="exact"/>
        <w:rPr>
          <w:sz w:val="20"/>
          <w:szCs w:val="20"/>
          <w:color w:val="auto"/>
        </w:rPr>
      </w:pPr>
    </w:p>
    <w:p>
      <w:pPr>
        <w:jc w:val="both"/>
        <w:ind w:right="20" w:firstLine="972"/>
        <w:spacing w:after="0" w:line="343" w:lineRule="auto"/>
        <w:rPr>
          <w:sz w:val="20"/>
          <w:szCs w:val="20"/>
          <w:color w:val="auto"/>
        </w:rPr>
      </w:pPr>
      <w:r>
        <w:rPr>
          <w:rFonts w:ascii="Arial" w:cs="Arial" w:eastAsia="Arial" w:hAnsi="Arial"/>
          <w:sz w:val="19"/>
          <w:szCs w:val="19"/>
          <w:u w:val="single" w:color="auto"/>
          <w:color w:val="auto"/>
        </w:rPr>
        <w:t>Weighted Average Spread Rate</w:t>
      </w:r>
      <w:r>
        <w:rPr>
          <w:rFonts w:ascii="Arial" w:cs="Arial" w:eastAsia="Arial" w:hAnsi="Arial"/>
          <w:sz w:val="19"/>
          <w:szCs w:val="19"/>
          <w:color w:val="auto"/>
        </w:rPr>
        <w:t>: With respect to each Payment Date during the Revolving Period, one minus the Weighted Average Original Advance Rate divided by the Weighted Average Final Score (expressed as a percentage).</w:t>
      </w:r>
    </w:p>
    <w:p>
      <w:pPr>
        <w:spacing w:after="0" w:line="104" w:lineRule="exact"/>
        <w:rPr>
          <w:sz w:val="20"/>
          <w:szCs w:val="20"/>
          <w:color w:val="auto"/>
        </w:rPr>
      </w:pPr>
    </w:p>
    <w:p>
      <w:pPr>
        <w:jc w:val="both"/>
        <w:ind w:right="20" w:firstLine="972"/>
        <w:spacing w:after="0" w:line="263" w:lineRule="auto"/>
        <w:rPr>
          <w:sz w:val="20"/>
          <w:szCs w:val="20"/>
          <w:color w:val="auto"/>
        </w:rPr>
      </w:pPr>
      <w:r>
        <w:rPr>
          <w:rFonts w:ascii="Arial" w:cs="Arial" w:eastAsia="Arial" w:hAnsi="Arial"/>
          <w:sz w:val="22"/>
          <w:szCs w:val="22"/>
          <w:u w:val="single" w:color="auto"/>
          <w:color w:val="auto"/>
        </w:rPr>
        <w:t>Yield</w:t>
      </w:r>
      <w:r>
        <w:rPr>
          <w:rFonts w:ascii="Arial" w:cs="Arial" w:eastAsia="Arial" w:hAnsi="Arial"/>
          <w:sz w:val="22"/>
          <w:szCs w:val="22"/>
          <w:color w:val="auto"/>
        </w:rPr>
        <w:t>: With respect to each Lender and its portion of the Capital, with respect to any Accrual Period, the sum of the products (for each day during such Accrual Period) of:</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YR x C x </w:t>
      </w:r>
      <w:r>
        <w:rPr>
          <w:rFonts w:ascii="Arial" w:cs="Arial" w:eastAsia="Arial" w:hAnsi="Arial"/>
          <w:sz w:val="22"/>
          <w:szCs w:val="22"/>
          <w:u w:val="single" w:color="auto"/>
          <w:color w:val="auto"/>
        </w:rPr>
        <w:t>1</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360</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39" w:name="page40"/>
    <w:bookmarkEnd w:id="39"/>
    <w:p>
      <w:pPr>
        <w:ind w:left="1300"/>
        <w:spacing w:after="0"/>
        <w:tabs>
          <w:tab w:leader="none" w:pos="1640" w:val="left"/>
          <w:tab w:leader="none" w:pos="1980" w:val="left"/>
        </w:tabs>
        <w:rPr>
          <w:sz w:val="20"/>
          <w:szCs w:val="20"/>
          <w:color w:val="auto"/>
        </w:rPr>
      </w:pPr>
      <w:r>
        <w:rPr>
          <w:rFonts w:ascii="Arial" w:cs="Arial" w:eastAsia="Arial" w:hAnsi="Arial"/>
          <w:sz w:val="22"/>
          <w:szCs w:val="22"/>
          <w:color w:val="auto"/>
        </w:rPr>
        <w:t>C</w:t>
        <w:tab/>
        <w:t>=</w:t>
      </w:r>
      <w:r>
        <w:rPr>
          <w:sz w:val="20"/>
          <w:szCs w:val="20"/>
          <w:color w:val="auto"/>
        </w:rPr>
        <w:tab/>
      </w:r>
      <w:r>
        <w:rPr>
          <w:rFonts w:ascii="Arial" w:cs="Arial" w:eastAsia="Arial" w:hAnsi="Arial"/>
          <w:sz w:val="19"/>
          <w:szCs w:val="19"/>
          <w:color w:val="auto"/>
        </w:rPr>
        <w:t>the outstanding principal amount of the Capital of such Lender; and</w:t>
      </w:r>
    </w:p>
    <w:p>
      <w:pPr>
        <w:sectPr>
          <w:pgSz w:w="11900" w:h="16838" w:orient="portrait"/>
          <w:cols w:equalWidth="0" w:num="1">
            <w:col w:w="11240"/>
          </w:cols>
          <w:pgMar w:left="320" w:top="1428" w:right="339" w:bottom="1440" w:gutter="0" w:footer="0" w:header="0"/>
        </w:sectPr>
      </w:pP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YR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Yield Rate applicable on such day;</w:t>
      </w:r>
    </w:p>
    <w:p>
      <w:pPr>
        <w:spacing w:after="0" w:line="200" w:lineRule="exact"/>
        <w:rPr>
          <w:sz w:val="20"/>
          <w:szCs w:val="20"/>
          <w:color w:val="auto"/>
        </w:rPr>
      </w:pPr>
    </w:p>
    <w:p>
      <w:pPr>
        <w:sectPr>
          <w:pgSz w:w="11900" w:h="16838" w:orient="portrait"/>
          <w:cols w:equalWidth="0" w:num="2">
            <w:col w:w="1600" w:space="220"/>
            <w:col w:w="9420"/>
          </w:cols>
          <w:pgMar w:left="320" w:top="1428" w:right="339" w:bottom="1440" w:gutter="0" w:footer="0" w:header="0"/>
          <w:type w:val="continuous"/>
        </w:sectPr>
      </w:pPr>
    </w:p>
    <w:p>
      <w:pPr>
        <w:spacing w:after="0" w:line="20"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u w:val="single" w:color="auto"/>
          <w:color w:val="auto"/>
        </w:rPr>
        <w:t>Yield Rate</w:t>
      </w:r>
      <w:r>
        <w:rPr>
          <w:rFonts w:ascii="Arial" w:cs="Arial" w:eastAsia="Arial" w:hAnsi="Arial"/>
          <w:sz w:val="22"/>
          <w:szCs w:val="22"/>
          <w:color w:val="auto"/>
        </w:rPr>
        <w:t xml:space="preserve">: An interest rate </w:t>
      </w:r>
      <w:r>
        <w:rPr>
          <w:rFonts w:ascii="Arial" w:cs="Arial" w:eastAsia="Arial" w:hAnsi="Arial"/>
          <w:sz w:val="22"/>
          <w:szCs w:val="22"/>
          <w:i w:val="1"/>
          <w:iCs w:val="1"/>
          <w:color w:val="auto"/>
        </w:rPr>
        <w:t>per annum</w:t>
      </w:r>
      <w:r>
        <w:rPr>
          <w:rFonts w:ascii="Arial" w:cs="Arial" w:eastAsia="Arial" w:hAnsi="Arial"/>
          <w:sz w:val="22"/>
          <w:szCs w:val="22"/>
          <w:color w:val="auto"/>
        </w:rPr>
        <w:t xml:space="preserve"> equal to 2.00%;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if the Servicer does not exercise its option to reacquire the Dealer Loans, the Purchase Loans and the related Collateral on the Commitment Termination Date pursuant to </w:t>
      </w:r>
      <w:r>
        <w:rPr>
          <w:rFonts w:ascii="Arial" w:cs="Arial" w:eastAsia="Arial" w:hAnsi="Arial"/>
          <w:sz w:val="22"/>
          <w:szCs w:val="22"/>
          <w:u w:val="single" w:color="auto"/>
          <w:color w:val="auto"/>
        </w:rPr>
        <w:t>Section 2.16</w:t>
      </w:r>
      <w:r>
        <w:rPr>
          <w:rFonts w:ascii="Arial" w:cs="Arial" w:eastAsia="Arial" w:hAnsi="Arial"/>
          <w:sz w:val="22"/>
          <w:szCs w:val="22"/>
          <w:color w:val="auto"/>
        </w:rPr>
        <w:t>, the Yield Rate shall be equal to 2.50% for each day from and including the Commitment Termination Date.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Other Terms.</w:t>
      </w:r>
      <w:r>
        <w:rPr>
          <w:rFonts w:ascii="Arial" w:cs="Arial" w:eastAsia="Arial" w:hAnsi="Arial"/>
          <w:sz w:val="22"/>
          <w:szCs w:val="22"/>
          <w:color w:val="auto"/>
        </w:rPr>
        <w:t xml:space="preserve"> All accounting terms used but not specifically defined herein shall be construed in accordance with GAAP. All terms used in Article 9 of the UCC in the State of New York, and used but not specifically defined herein, are used herein as defined in such Article 9.</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Computation of Time Periods</w:t>
      </w:r>
      <w:r>
        <w:rPr>
          <w:rFonts w:ascii="Arial" w:cs="Arial" w:eastAsia="Arial" w:hAnsi="Arial"/>
          <w:sz w:val="22"/>
          <w:szCs w:val="22"/>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 In each Transaction Document, unless a contrary intention appears:</w:t>
      </w:r>
    </w:p>
    <w:p>
      <w:pPr>
        <w:spacing w:after="0" w:line="220" w:lineRule="exact"/>
        <w:rPr>
          <w:sz w:val="20"/>
          <w:szCs w:val="20"/>
          <w:color w:val="auto"/>
        </w:rPr>
      </w:pPr>
    </w:p>
    <w:p>
      <w:pPr>
        <w:ind w:left="1800" w:hanging="268"/>
        <w:spacing w:after="0"/>
        <w:tabs>
          <w:tab w:leader="none" w:pos="18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singular number includes the plural number and vice versa;</w:t>
      </w:r>
    </w:p>
    <w:p>
      <w:pPr>
        <w:spacing w:after="0" w:line="219" w:lineRule="exact"/>
        <w:rPr>
          <w:rFonts w:ascii="Arial" w:cs="Arial" w:eastAsia="Arial" w:hAnsi="Arial"/>
          <w:sz w:val="22"/>
          <w:szCs w:val="22"/>
          <w:color w:val="auto"/>
        </w:rPr>
      </w:pPr>
    </w:p>
    <w:p>
      <w:pPr>
        <w:ind w:left="660" w:firstLine="812"/>
        <w:spacing w:after="0" w:line="263" w:lineRule="auto"/>
        <w:tabs>
          <w:tab w:leader="none" w:pos="1835"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reference to any Person includes such Person's successors and assigns but, if applicable, only if such successors and assigns are permitted by the Transaction Documents;</w:t>
      </w:r>
    </w:p>
    <w:p>
      <w:pPr>
        <w:spacing w:after="0" w:line="174" w:lineRule="exact"/>
        <w:rPr>
          <w:rFonts w:ascii="Arial" w:cs="Arial" w:eastAsia="Arial" w:hAnsi="Arial"/>
          <w:sz w:val="22"/>
          <w:szCs w:val="22"/>
          <w:color w:val="auto"/>
        </w:rPr>
      </w:pPr>
    </w:p>
    <w:p>
      <w:pPr>
        <w:ind w:left="1800" w:hanging="388"/>
        <w:spacing w:after="0"/>
        <w:tabs>
          <w:tab w:leader="none" w:pos="18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reference to any gender includes each other gender;</w:t>
      </w:r>
    </w:p>
    <w:p>
      <w:pPr>
        <w:spacing w:after="0" w:line="219" w:lineRule="exact"/>
        <w:rPr>
          <w:rFonts w:ascii="Arial" w:cs="Arial" w:eastAsia="Arial" w:hAnsi="Arial"/>
          <w:sz w:val="22"/>
          <w:szCs w:val="22"/>
          <w:color w:val="auto"/>
        </w:rPr>
      </w:pPr>
    </w:p>
    <w:p>
      <w:pPr>
        <w:jc w:val="both"/>
        <w:ind w:left="660" w:firstLine="764"/>
        <w:spacing w:after="0" w:line="302" w:lineRule="auto"/>
        <w:tabs>
          <w:tab w:leader="none" w:pos="1821"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 and</w:t>
      </w:r>
    </w:p>
    <w:p>
      <w:pPr>
        <w:spacing w:after="0" w:line="142" w:lineRule="exact"/>
        <w:rPr>
          <w:rFonts w:ascii="Arial" w:cs="Arial" w:eastAsia="Arial" w:hAnsi="Arial"/>
          <w:sz w:val="19"/>
          <w:szCs w:val="19"/>
          <w:color w:val="auto"/>
        </w:rPr>
      </w:pPr>
    </w:p>
    <w:p>
      <w:pPr>
        <w:jc w:val="both"/>
        <w:ind w:left="660" w:firstLine="824"/>
        <w:spacing w:after="0" w:line="248" w:lineRule="auto"/>
        <w:tabs>
          <w:tab w:leader="none" w:pos="1808"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type w:val="continuous"/>
        </w:sectPr>
      </w:pPr>
    </w:p>
    <w:bookmarkStart w:id="40" w:name="page41"/>
    <w:bookmarkEnd w:id="40"/>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LOAN FACILITY</w:t>
      </w:r>
    </w:p>
    <w:p>
      <w:pPr>
        <w:spacing w:after="0" w:line="2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Funding of the Initial Loan Amount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On the Closing Date, each Lender shall, upon satisfaction of the applicable conditions set forth in this Agreement and the other Transaction Documents (including the conditions precedent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make available to the Borrower in same day funds, at such bank or other location reasonably designated by Borrower, an amount equal to the Initial Loan Amount.</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The Loans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872"/>
        <w:spacing w:after="0" w:line="259" w:lineRule="auto"/>
        <w:tabs>
          <w:tab w:leader="none" w:pos="1794" w:val="left"/>
        </w:tabs>
        <w:numPr>
          <w:ilvl w:val="1"/>
          <w:numId w:val="23"/>
        </w:numPr>
        <w:rPr>
          <w:rFonts w:ascii="Arial" w:cs="Arial" w:eastAsia="Arial" w:hAnsi="Arial"/>
          <w:sz w:val="21"/>
          <w:szCs w:val="21"/>
          <w:color w:val="auto"/>
        </w:rPr>
      </w:pPr>
      <w:r>
        <w:rPr>
          <w:rFonts w:ascii="Arial" w:cs="Arial" w:eastAsia="Arial" w:hAnsi="Arial"/>
          <w:sz w:val="21"/>
          <w:szCs w:val="21"/>
          <w:color w:val="auto"/>
        </w:rPr>
        <w:t xml:space="preserve">Each Lender shall maintain in accordance with its usual practice records evidencing the indebtedness of the Borrower to such Lender. The Deal Agent shall maintain the Register in accordance with Section 13.1(c). The entries made in the records maintained pursuant to this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shall be </w:t>
      </w:r>
      <w:r>
        <w:rPr>
          <w:rFonts w:ascii="Arial" w:cs="Arial" w:eastAsia="Arial" w:hAnsi="Arial"/>
          <w:sz w:val="21"/>
          <w:szCs w:val="21"/>
          <w:u w:val="single" w:color="auto"/>
          <w:color w:val="auto"/>
        </w:rPr>
        <w:t>prima facie</w:t>
      </w:r>
      <w:r>
        <w:rPr>
          <w:rFonts w:ascii="Arial" w:cs="Arial" w:eastAsia="Arial" w:hAnsi="Arial"/>
          <w:sz w:val="21"/>
          <w:szCs w:val="21"/>
          <w:color w:val="auto"/>
        </w:rPr>
        <w:t xml:space="preserve"> evidence absent manifest error of the existence and amounts of the obligations recorded therein. Any failure of any Lender or the Deal Agent to maintain such records or make any entry therein or any error therein shall not in any manner affect the obligations of the Borrower under this Agreement and the other Transaction Documents. In the event of any conflict between the records maintained by any Lender and the records maintained by the Deal Agent in such matters, the records of the Deal Agent shall control in the absence of manifest error.</w:t>
      </w:r>
    </w:p>
    <w:p>
      <w:pPr>
        <w:spacing w:after="0" w:line="183" w:lineRule="exact"/>
        <w:rPr>
          <w:rFonts w:ascii="Arial" w:cs="Arial" w:eastAsia="Arial" w:hAnsi="Arial"/>
          <w:sz w:val="21"/>
          <w:szCs w:val="21"/>
          <w:color w:val="auto"/>
        </w:rPr>
      </w:pPr>
    </w:p>
    <w:p>
      <w:pPr>
        <w:jc w:val="both"/>
        <w:ind w:left="660" w:firstLine="812"/>
        <w:spacing w:after="0" w:line="260" w:lineRule="auto"/>
        <w:tabs>
          <w:tab w:leader="none" w:pos="1821" w:val="left"/>
        </w:tabs>
        <w:numPr>
          <w:ilvl w:val="1"/>
          <w:numId w:val="23"/>
        </w:numPr>
        <w:rPr>
          <w:rFonts w:ascii="Arial" w:cs="Arial" w:eastAsia="Arial" w:hAnsi="Arial"/>
          <w:sz w:val="21"/>
          <w:szCs w:val="21"/>
          <w:color w:val="auto"/>
        </w:rPr>
      </w:pPr>
      <w:r>
        <w:rPr>
          <w:rFonts w:ascii="Arial" w:cs="Arial" w:eastAsia="Arial" w:hAnsi="Arial"/>
          <w:sz w:val="21"/>
          <w:szCs w:val="21"/>
          <w:color w:val="auto"/>
        </w:rPr>
        <w:t>Upon the request of any Lender made through the Deal Agent, the Borrower shall prepare, execute and deliver to such Lender a promissory note of the Borrower payable to such Lender (each, a “</w:t>
      </w:r>
      <w:r>
        <w:rPr>
          <w:rFonts w:ascii="Arial" w:cs="Arial" w:eastAsia="Arial" w:hAnsi="Arial"/>
          <w:sz w:val="21"/>
          <w:szCs w:val="21"/>
          <w:u w:val="single" w:color="auto"/>
          <w:color w:val="auto"/>
        </w:rPr>
        <w:t>Note</w:t>
      </w:r>
      <w:r>
        <w:rPr>
          <w:rFonts w:ascii="Arial" w:cs="Arial" w:eastAsia="Arial" w:hAnsi="Arial"/>
          <w:sz w:val="21"/>
          <w:szCs w:val="21"/>
          <w:color w:val="auto"/>
        </w:rPr>
        <w:t xml:space="preserve">”). Any such Note shall be substantially in the form of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hereto, with blanks appropriately completed in conformity with the terms hereof and shall evidence the Borrower's obligation to pay the principal of and interest on all amounts advanced by such Lender in addition to the records described in the preceding </w:t>
      </w:r>
      <w:r>
        <w:rPr>
          <w:rFonts w:ascii="Arial" w:cs="Arial" w:eastAsia="Arial" w:hAnsi="Arial"/>
          <w:sz w:val="21"/>
          <w:szCs w:val="21"/>
          <w:u w:val="single" w:color="auto"/>
          <w:color w:val="auto"/>
        </w:rPr>
        <w:t>clause (i)</w:t>
      </w:r>
      <w:r>
        <w:rPr>
          <w:rFonts w:ascii="Arial" w:cs="Arial" w:eastAsia="Arial" w:hAnsi="Arial"/>
          <w:sz w:val="21"/>
          <w:szCs w:val="21"/>
          <w:color w:val="auto"/>
        </w:rPr>
        <w:t>. Any such Note shall be enforceable with respect to the Borrower's obligation to pay the principal thereof only to the extent of the unpaid principal amount of the Capital outstanding thereunder at the time such enforcement shall be sought.</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Grant of Security Interest; Acceptance by Collateral Agent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7" w:lineRule="auto"/>
        <w:tabs>
          <w:tab w:leader="none" w:pos="1617" w:val="left"/>
        </w:tabs>
        <w:numPr>
          <w:ilvl w:val="0"/>
          <w:numId w:val="24"/>
        </w:numPr>
        <w:rPr>
          <w:rFonts w:ascii="Arial" w:cs="Arial" w:eastAsia="Arial" w:hAnsi="Arial"/>
          <w:sz w:val="22"/>
          <w:szCs w:val="22"/>
          <w:color w:val="auto"/>
        </w:rPr>
      </w:pPr>
      <w:r>
        <w:rPr>
          <w:rFonts w:ascii="Arial" w:cs="Arial" w:eastAsia="Arial" w:hAnsi="Arial"/>
          <w:sz w:val="22"/>
          <w:szCs w:val="22"/>
          <w:color w:val="auto"/>
        </w:rPr>
        <w:t>(i) As security for the prompt and complete payment of Capital (including any Interest and Yield accrued thereon) and the performance of all of the Borrower's other obligations under this Agreement and the other Transaction Documents, the Borrower hereby grants to the Collateral Agent, for the benefit of the Secured Parties, without recourse except as provided herein, a security interest in and continuing Lien on all assets and personal property of the Borrower, including but not limited to, all of the Borrower's accounts, chattel paper, goods, deposit accounts, documents, general intangibles, instruments, investment property,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41" w:name="page42"/>
    <w:bookmarkEnd w:id="41"/>
    <w:p>
      <w:pPr>
        <w:jc w:val="both"/>
        <w:spacing w:after="0" w:line="248" w:lineRule="auto"/>
        <w:rPr>
          <w:sz w:val="20"/>
          <w:szCs w:val="20"/>
          <w:color w:val="auto"/>
        </w:rPr>
      </w:pPr>
      <w:r>
        <w:rPr>
          <w:rFonts w:ascii="Arial" w:cs="Arial" w:eastAsia="Arial" w:hAnsi="Arial"/>
          <w:sz w:val="22"/>
          <w:szCs w:val="22"/>
          <w:color w:val="auto"/>
        </w:rPr>
        <w:t>credit rights, money and supporting obligations and all proceeds of the foregoing (as each such term is defined in the UCC, collectively, the “</w:t>
      </w:r>
      <w:r>
        <w:rPr>
          <w:rFonts w:ascii="Arial" w:cs="Arial" w:eastAsia="Arial" w:hAnsi="Arial"/>
          <w:sz w:val="22"/>
          <w:szCs w:val="22"/>
          <w:u w:val="single" w:color="auto"/>
          <w:color w:val="auto"/>
        </w:rPr>
        <w:t>Collateral</w:t>
      </w:r>
      <w:r>
        <w:rPr>
          <w:rFonts w:ascii="Arial" w:cs="Arial" w:eastAsia="Arial" w:hAnsi="Arial"/>
          <w:sz w:val="22"/>
          <w:szCs w:val="22"/>
          <w:color w:val="auto"/>
        </w:rPr>
        <w:t>”) now owned or hereafter acquired. The foregoing pledge does not constitute an assumption by the Collateral Agent of any obligations of the Borrower to Obligors or any other Person in connection with the Collateral or under any agreement or instrument relating to the Collateral, including, without limitation, any obligation to make future advances to or on behalf of such Obligors.</w:t>
      </w:r>
    </w:p>
    <w:p>
      <w:pPr>
        <w:spacing w:after="0" w:line="192" w:lineRule="exact"/>
        <w:rPr>
          <w:sz w:val="20"/>
          <w:szCs w:val="20"/>
          <w:color w:val="auto"/>
        </w:rPr>
      </w:pPr>
    </w:p>
    <w:p>
      <w:pPr>
        <w:jc w:val="both"/>
        <w:ind w:left="660" w:firstLine="812"/>
        <w:spacing w:after="0" w:line="288" w:lineRule="auto"/>
        <w:tabs>
          <w:tab w:leader="none" w:pos="1835"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In connection with such grant, the Borrower agrees to record and file, at its own expense, financing statements with respect to the Collateral now existing and hereafter created meeting the requirements of applicable state law in such manner and in such jurisdictions as are necessary to perfect the first priority security interest of the Collateral Agent for the benefit of the Secured Parties in the Collateral, and to deliver a file-stamped copy of such financing statements or other evidence of such filing to the Collateral Agent, each Lender and the Deal Agent promptly following receipt thereof. In addition, the Borrower and the Servicer agree to clearly and unambiguously mark their respective general ledgers and all accounting records and documents and all computer tapes and records to show that the Collateral, including that portion of the Collateral consisting of the Dealer Agreements listed on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hereto (and each addendum thereto), the Loans and the related Contracts and the rights to payment under the related Dealer Agreements, has been pledged to the Collateral Agent for the benefit of the Secured Parties hereunder.</w:t>
      </w:r>
    </w:p>
    <w:p>
      <w:pPr>
        <w:spacing w:after="0" w:line="159" w:lineRule="exact"/>
        <w:rPr>
          <w:rFonts w:ascii="Arial" w:cs="Arial" w:eastAsia="Arial" w:hAnsi="Arial"/>
          <w:sz w:val="19"/>
          <w:szCs w:val="19"/>
          <w:color w:val="auto"/>
        </w:rPr>
      </w:pPr>
    </w:p>
    <w:p>
      <w:pPr>
        <w:jc w:val="both"/>
        <w:ind w:left="660" w:firstLine="752"/>
        <w:spacing w:after="0" w:line="285" w:lineRule="auto"/>
        <w:tabs>
          <w:tab w:leader="none" w:pos="1794"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In connection with such pledge, the Borrower agrees to deliver to the Collateral Agent on the Closing Date and any Addition Date on which new Pools or Purchased Loans are pledged to the Collateral Agent, as the case may be, one or more computer files containing true and complete lists of all applicable Dealer Agreements, Pools and Loans securing the payment of Capital (including any Interest and Yield accrued thereon) and any other amounts due under the Transaction Documents and all of the Borrower's other obligations in respect of Capital and the Transaction Documents as of such date, and all Contracts securing all such Loans, identified by, as applicable, account number, dealer number and pool number as of the end of the Collection Period immediately preceding the Addition Date. Such file shall be marked as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hereto or as an addendum thereto, shall be delivered to the Collateral Agent as confidential and proprietary, and such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and each addendum thereto are hereby incorporated into and made a part of this Agreement. Such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shall be supplemented and updated on each Addition Date in the Revolving Period to include all Loans and Contracts pledged on the date of each such date so that, on each such date, the Collateral Agent will have a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that describes all Loans pledged by the Borrower to the Collateral Agent hereunder on or prior to said Addition Date, any related Dealer Agreements, Purchase Agreements and all Contracts securing or evidencing such Loans (other than those that have been released from the Collateral and those Dealer Loans that have been deemed to be extinguished pursuant to </w:t>
      </w:r>
      <w:r>
        <w:rPr>
          <w:rFonts w:ascii="Arial" w:cs="Arial" w:eastAsia="Arial" w:hAnsi="Arial"/>
          <w:sz w:val="19"/>
          <w:szCs w:val="19"/>
          <w:u w:val="single" w:color="auto"/>
          <w:color w:val="auto"/>
        </w:rPr>
        <w:t>Section 6.15(b)</w:t>
      </w:r>
      <w:r>
        <w:rPr>
          <w:rFonts w:ascii="Arial" w:cs="Arial" w:eastAsia="Arial" w:hAnsi="Arial"/>
          <w:sz w:val="19"/>
          <w:szCs w:val="19"/>
          <w:color w:val="auto"/>
        </w:rPr>
        <w:t xml:space="preserve"> hereto). Such updated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shall be deemed to replace any existing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as of the date such updated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is provided in accordance with this </w:t>
      </w:r>
      <w:r>
        <w:rPr>
          <w:rFonts w:ascii="Arial" w:cs="Arial" w:eastAsia="Arial" w:hAnsi="Arial"/>
          <w:sz w:val="19"/>
          <w:szCs w:val="19"/>
          <w:u w:val="single" w:color="auto"/>
          <w:color w:val="auto"/>
        </w:rPr>
        <w:t>Section 2.2(a)(iii)</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42" w:name="page43"/>
    <w:bookmarkEnd w:id="42"/>
    <w:p>
      <w:pPr>
        <w:spacing w:after="0" w:line="204"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 xml:space="preserve">Furthermore, </w:t>
      </w: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hereto shall be deemed to be supplemented on each date of Dealer Collections Purchase by the list set forth under </w:t>
      </w:r>
      <w:r>
        <w:rPr>
          <w:rFonts w:ascii="Arial" w:cs="Arial" w:eastAsia="Arial" w:hAnsi="Arial"/>
          <w:sz w:val="22"/>
          <w:szCs w:val="22"/>
          <w:u w:val="single" w:color="auto"/>
          <w:color w:val="auto"/>
        </w:rPr>
        <w:t>Section 6.15(c)</w:t>
      </w:r>
      <w:r>
        <w:rPr>
          <w:rFonts w:ascii="Arial" w:cs="Arial" w:eastAsia="Arial" w:hAnsi="Arial"/>
          <w:sz w:val="22"/>
          <w:szCs w:val="22"/>
          <w:color w:val="auto"/>
        </w:rPr>
        <w:t>.</w:t>
      </w:r>
    </w:p>
    <w:p>
      <w:pPr>
        <w:spacing w:after="0" w:line="175" w:lineRule="exact"/>
        <w:rPr>
          <w:sz w:val="20"/>
          <w:szCs w:val="20"/>
          <w:color w:val="auto"/>
        </w:rPr>
      </w:pPr>
    </w:p>
    <w:p>
      <w:pPr>
        <w:jc w:val="both"/>
        <w:ind w:left="660" w:firstLine="764"/>
        <w:spacing w:after="0" w:line="248" w:lineRule="auto"/>
        <w:tabs>
          <w:tab w:leader="none" w:pos="1821" w:val="left"/>
        </w:tabs>
        <w:numPr>
          <w:ilvl w:val="1"/>
          <w:numId w:val="26"/>
        </w:numPr>
        <w:rPr>
          <w:rFonts w:ascii="Arial" w:cs="Arial" w:eastAsia="Arial" w:hAnsi="Arial"/>
          <w:sz w:val="22"/>
          <w:szCs w:val="22"/>
          <w:color w:val="auto"/>
        </w:rPr>
      </w:pPr>
      <w:r>
        <w:rPr>
          <w:rFonts w:ascii="Arial" w:cs="Arial" w:eastAsia="Arial" w:hAnsi="Arial"/>
          <w:sz w:val="22"/>
          <w:szCs w:val="22"/>
          <w:color w:val="auto"/>
        </w:rPr>
        <w:t>In connection with such pledge, each of the Borrower, Credit Acceptance and the Servicer also agrees, within 180 days of the Closing Date or the Addition Date, as the case may be, to clearly mark at least 98% of the Contracts or Contract folders securing a Loan with the following legend: “THIS AGREEMENT HAS BEEN PLEDGED TO FIFTH THIRD BANK, NATIONAL ASSOCIATION AS COLLATERAL AGENT FOR THE BENEFIT OF CERTAIN SECURED PARTIES.”</w:t>
      </w:r>
    </w:p>
    <w:p>
      <w:pPr>
        <w:spacing w:after="0" w:line="191" w:lineRule="exact"/>
        <w:rPr>
          <w:rFonts w:ascii="Arial" w:cs="Arial" w:eastAsia="Arial" w:hAnsi="Arial"/>
          <w:sz w:val="22"/>
          <w:szCs w:val="22"/>
          <w:color w:val="auto"/>
        </w:rPr>
      </w:pPr>
    </w:p>
    <w:p>
      <w:pPr>
        <w:jc w:val="both"/>
        <w:ind w:firstLine="1304"/>
        <w:spacing w:after="0" w:line="265" w:lineRule="auto"/>
        <w:tabs>
          <w:tab w:leader="none" w:pos="1939"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The Collateral Agent hereby acknowledges its acceptance, on behalf of the Secured Parties, of the pledge by the Borrower of the Loans and all other Collateral. The Collateral Agent further acknowledges that, prior to or simultaneously with the execution and delivery of this Agreement, the Borrower delivered to the Collateral Agent the computer file represented by the Borrower to be the computer file described in </w:t>
      </w:r>
      <w:r>
        <w:rPr>
          <w:rFonts w:ascii="Arial" w:cs="Arial" w:eastAsia="Arial" w:hAnsi="Arial"/>
          <w:sz w:val="21"/>
          <w:szCs w:val="21"/>
          <w:u w:val="single" w:color="auto"/>
          <w:color w:val="auto"/>
        </w:rPr>
        <w:t>Section 2.2(a)(iii)</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1304"/>
        <w:spacing w:after="0" w:line="259" w:lineRule="auto"/>
        <w:tabs>
          <w:tab w:leader="none" w:pos="1941"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The Collateral Agent hereby agrees not to disclose to any Person (including any Secured Party) any of the account numbers or other information contained in the computer files delivered to the Collateral Agent by the Borrower pursuant to </w:t>
      </w:r>
      <w:r>
        <w:rPr>
          <w:rFonts w:ascii="Arial" w:cs="Arial" w:eastAsia="Arial" w:hAnsi="Arial"/>
          <w:sz w:val="21"/>
          <w:szCs w:val="21"/>
          <w:u w:val="single" w:color="auto"/>
          <w:color w:val="auto"/>
        </w:rPr>
        <w:t>Section 2.2(a)(iii)</w:t>
      </w:r>
      <w:r>
        <w:rPr>
          <w:rFonts w:ascii="Arial" w:cs="Arial" w:eastAsia="Arial" w:hAnsi="Arial"/>
          <w:sz w:val="21"/>
          <w:szCs w:val="21"/>
          <w:color w:val="auto"/>
        </w:rPr>
        <w:t xml:space="preserve">, except as is required in connection with the performance of its duties hereunder or in enforcing the rights of the Secured Parties or to a Successor Servicer;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notwithstanding anything to the contrary in this Agreement, the Collateral Agent may reply to a request from any Person for a list of Loans, Dealer Agreements, Contracts or other information referred to in any financing statement. The Collateral Agent agrees to take such measures as shall be necessary or reasonably requested by the Borrower to protect and maintain the security and confidentiality of such information. The Collateral Agent shall provide the Borrower with written notice five Business Days prior to any disclosure pursuant to this </w:t>
      </w:r>
      <w:r>
        <w:rPr>
          <w:rFonts w:ascii="Arial" w:cs="Arial" w:eastAsia="Arial" w:hAnsi="Arial"/>
          <w:sz w:val="21"/>
          <w:szCs w:val="21"/>
          <w:u w:val="single" w:color="auto"/>
          <w:color w:val="auto"/>
        </w:rPr>
        <w:t>Section 2.2(c)</w:t>
      </w:r>
      <w:r>
        <w:rPr>
          <w:rFonts w:ascii="Arial" w:cs="Arial" w:eastAsia="Arial" w:hAnsi="Arial"/>
          <w:sz w:val="21"/>
          <w:szCs w:val="21"/>
          <w:color w:val="auto"/>
        </w:rPr>
        <w:t>, to the extent reasonably practical.</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Determination of Benchmark; Determination of Yield; Maximum Interest and Yield</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1941" w:val="left"/>
        </w:tabs>
        <w:numPr>
          <w:ilvl w:val="0"/>
          <w:numId w:val="28"/>
        </w:numPr>
        <w:rPr>
          <w:rFonts w:ascii="Arial" w:cs="Arial" w:eastAsia="Arial" w:hAnsi="Arial"/>
          <w:sz w:val="22"/>
          <w:szCs w:val="22"/>
          <w:color w:val="auto"/>
        </w:rPr>
      </w:pPr>
      <w:r>
        <w:rPr>
          <w:rFonts w:ascii="Arial" w:cs="Arial" w:eastAsia="Arial" w:hAnsi="Arial"/>
          <w:sz w:val="22"/>
          <w:szCs w:val="22"/>
          <w:color w:val="auto"/>
        </w:rPr>
        <w:t>On each Benchmark Determination Date, the Deal Agent shall determine and deliver to the Servicer the applicable Interest Rate with respect to the related Accrual Period.</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939" w:val="left"/>
        </w:tabs>
        <w:numPr>
          <w:ilvl w:val="0"/>
          <w:numId w:val="28"/>
        </w:numPr>
        <w:rPr>
          <w:rFonts w:ascii="Arial" w:cs="Arial" w:eastAsia="Arial" w:hAnsi="Arial"/>
          <w:sz w:val="22"/>
          <w:szCs w:val="22"/>
          <w:color w:val="auto"/>
        </w:rPr>
      </w:pPr>
      <w:r>
        <w:rPr>
          <w:rFonts w:ascii="Arial" w:cs="Arial" w:eastAsia="Arial" w:hAnsi="Arial"/>
          <w:sz w:val="22"/>
          <w:szCs w:val="22"/>
          <w:color w:val="auto"/>
        </w:rPr>
        <w:t>Each Lender shall initially determine (i) the applicable Yield (including unpaid Yield, if any, due and payable on a prior Payment Date) to be paid by the Borrower with respect to the Capital on each Payment Date for the related Accrual Period and (ii) the Increased Costs and Additional Amounts due in respect of such Payment Date (including any such amounts unpaid from any prior Payment Date), and shall advise the Servicer and the Backup Servicer thereof on or before the fifth Business Day prior to such Payment Date.</w:t>
      </w:r>
    </w:p>
    <w:p>
      <w:pPr>
        <w:spacing w:after="0" w:line="191" w:lineRule="exact"/>
        <w:rPr>
          <w:rFonts w:ascii="Arial" w:cs="Arial" w:eastAsia="Arial" w:hAnsi="Arial"/>
          <w:sz w:val="22"/>
          <w:szCs w:val="22"/>
          <w:color w:val="auto"/>
        </w:rPr>
      </w:pPr>
    </w:p>
    <w:p>
      <w:pPr>
        <w:ind w:right="20" w:firstLine="1304"/>
        <w:spacing w:after="0" w:line="263" w:lineRule="auto"/>
        <w:tabs>
          <w:tab w:leader="none" w:pos="1941"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 provision of this Agreement shall require the payment or permit the collection of Interest and Yield that exceeds the maximum rate permitted by Applicable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43" w:name="page44"/>
    <w:bookmarkEnd w:id="43"/>
    <w:p>
      <w:pPr>
        <w:ind w:firstLine="8"/>
        <w:spacing w:after="0" w:line="263" w:lineRule="auto"/>
        <w:tabs>
          <w:tab w:leader="none" w:pos="338" w:val="left"/>
        </w:tabs>
        <w:numPr>
          <w:ilvl w:val="0"/>
          <w:numId w:val="29"/>
        </w:numPr>
        <w:rPr>
          <w:rFonts w:ascii="Arial" w:cs="Arial" w:eastAsia="Arial" w:hAnsi="Arial"/>
          <w:sz w:val="22"/>
          <w:szCs w:val="22"/>
          <w:color w:val="auto"/>
        </w:rPr>
      </w:pPr>
      <w:r>
        <w:rPr>
          <w:rFonts w:ascii="Arial" w:cs="Arial" w:eastAsia="Arial" w:hAnsi="Arial"/>
          <w:sz w:val="22"/>
          <w:szCs w:val="22"/>
          <w:color w:val="auto"/>
        </w:rPr>
        <w:t>neither Interest nor Yield shall be considered paid by any distribution if at any time such distribution is rescinded or must otherwise be returned for any reason.</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300" w:type="dxa"/>
            <w:vAlign w:val="bottom"/>
          </w:tcPr>
          <w:p>
            <w:pPr>
              <w:spacing w:after="0"/>
              <w:rPr>
                <w:sz w:val="20"/>
                <w:szCs w:val="20"/>
                <w:color w:val="auto"/>
              </w:rPr>
            </w:pPr>
            <w:r>
              <w:rPr>
                <w:rFonts w:ascii="Arial" w:cs="Arial" w:eastAsia="Arial" w:hAnsi="Arial"/>
                <w:sz w:val="22"/>
                <w:szCs w:val="22"/>
                <w:color w:val="auto"/>
              </w:rPr>
              <w:t>Section 2.5</w:t>
            </w:r>
          </w:p>
        </w:tc>
        <w:tc>
          <w:tcPr>
            <w:tcW w:w="1000" w:type="dxa"/>
            <w:vAlign w:val="bottom"/>
            <w:gridSpan w:val="2"/>
          </w:tcPr>
          <w:p>
            <w:pPr>
              <w:spacing w:after="0"/>
              <w:rPr>
                <w:sz w:val="20"/>
                <w:szCs w:val="20"/>
                <w:color w:val="auto"/>
              </w:rPr>
            </w:pPr>
            <w:r>
              <w:rPr>
                <w:rFonts w:ascii="Arial" w:cs="Arial" w:eastAsia="Arial" w:hAnsi="Arial"/>
                <w:sz w:val="22"/>
                <w:szCs w:val="22"/>
                <w:color w:val="auto"/>
                <w:w w:val="87"/>
              </w:rPr>
              <w:t>[Reserved].</w:t>
            </w:r>
          </w:p>
        </w:tc>
      </w:tr>
      <w:tr>
        <w:trPr>
          <w:trHeight w:val="20"/>
        </w:trPr>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300" w:type="dxa"/>
            <w:vAlign w:val="bottom"/>
          </w:tcPr>
          <w:p>
            <w:pPr>
              <w:spacing w:after="0"/>
              <w:rPr>
                <w:sz w:val="20"/>
                <w:szCs w:val="20"/>
                <w:color w:val="auto"/>
              </w:rPr>
            </w:pPr>
            <w:r>
              <w:rPr>
                <w:rFonts w:ascii="Arial" w:cs="Arial" w:eastAsia="Arial" w:hAnsi="Arial"/>
                <w:sz w:val="22"/>
                <w:szCs w:val="22"/>
                <w:color w:val="auto"/>
              </w:rPr>
              <w:t>Section 2.6</w:t>
            </w:r>
          </w:p>
        </w:tc>
        <w:tc>
          <w:tcPr>
            <w:tcW w:w="1000" w:type="dxa"/>
            <w:vAlign w:val="bottom"/>
            <w:gridSpan w:val="2"/>
          </w:tcPr>
          <w:p>
            <w:pPr>
              <w:spacing w:after="0"/>
              <w:rPr>
                <w:sz w:val="20"/>
                <w:szCs w:val="20"/>
                <w:color w:val="auto"/>
              </w:rPr>
            </w:pPr>
            <w:r>
              <w:rPr>
                <w:rFonts w:ascii="Arial" w:cs="Arial" w:eastAsia="Arial" w:hAnsi="Arial"/>
                <w:sz w:val="22"/>
                <w:szCs w:val="22"/>
                <w:color w:val="auto"/>
                <w:w w:val="87"/>
              </w:rPr>
              <w:t>[Reserved].</w:t>
            </w:r>
          </w:p>
        </w:tc>
      </w:tr>
      <w:tr>
        <w:trPr>
          <w:trHeight w:val="20"/>
        </w:trPr>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Settlement Procedures</w:t>
      </w:r>
      <w:r>
        <w:rPr>
          <w:rFonts w:ascii="Arial" w:cs="Arial" w:eastAsia="Arial" w:hAnsi="Arial"/>
          <w:sz w:val="22"/>
          <w:szCs w:val="22"/>
          <w:color w:val="auto"/>
        </w:rPr>
        <w:t>. As set forth in the Monthly Report, on each Payment Date, the Collateral Agent shall withdraw Available Funds and any Excess Reserve Amount and investment earnings on amounts on deposit in the Collection Account from the Collection Account and allocate and distribute such amounts to the applicable Person in the following order of priority:</w:t>
      </w:r>
    </w:p>
    <w:p>
      <w:pPr>
        <w:spacing w:after="0" w:line="188" w:lineRule="exact"/>
        <w:rPr>
          <w:sz w:val="20"/>
          <w:szCs w:val="20"/>
          <w:color w:val="auto"/>
        </w:rPr>
      </w:pPr>
    </w:p>
    <w:p>
      <w:pPr>
        <w:ind w:left="660" w:firstLine="872"/>
        <w:spacing w:after="0" w:line="287" w:lineRule="auto"/>
        <w:tabs>
          <w:tab w:leader="none" w:pos="1794" w:val="left"/>
        </w:tabs>
        <w:numPr>
          <w:ilvl w:val="0"/>
          <w:numId w:val="30"/>
        </w:numPr>
        <w:rPr>
          <w:rFonts w:ascii="Arial" w:cs="Arial" w:eastAsia="Arial" w:hAnsi="Arial"/>
          <w:sz w:val="21"/>
          <w:szCs w:val="21"/>
          <w:color w:val="auto"/>
        </w:rPr>
      </w:pPr>
      <w:r>
        <w:rPr>
          <w:rFonts w:ascii="Arial" w:cs="Arial" w:eastAsia="Arial" w:hAnsi="Arial"/>
          <w:sz w:val="21"/>
          <w:szCs w:val="21"/>
          <w:color w:val="auto"/>
        </w:rPr>
        <w:t>FIRST, to the Hedge Counterparty, an amount equal to any Hedge Costs (exclusive of termination payments) and any such Hedge Costs (exclusive of termination payments) unpaid from any prior Payment Date.</w:t>
      </w:r>
    </w:p>
    <w:p>
      <w:pPr>
        <w:spacing w:after="0" w:line="151" w:lineRule="exact"/>
        <w:rPr>
          <w:rFonts w:ascii="Arial" w:cs="Arial" w:eastAsia="Arial" w:hAnsi="Arial"/>
          <w:sz w:val="21"/>
          <w:szCs w:val="21"/>
          <w:color w:val="auto"/>
        </w:rPr>
      </w:pPr>
    </w:p>
    <w:p>
      <w:pPr>
        <w:jc w:val="both"/>
        <w:ind w:left="660" w:firstLine="812"/>
        <w:spacing w:after="0" w:line="290" w:lineRule="auto"/>
        <w:tabs>
          <w:tab w:leader="none" w:pos="1794"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SECOND, pari passu, (A) to the Servicer, an amount equal to any accrued and unpaid Servicing Fees due in respect of such Payment Date and any Servicing Fees unpaid from any prior 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the Servicer has been replaced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such amount shall not exceed the Capped Servicing Fee; (B) to the Backup Servicer, if it has become the Successor Servicer, any Transition Expenses; (C) to the Backup Servicer, so long as it has not become the Successor Servicer hereunder, an amount equal to any accrued and unpaid Backup Servicing Fee due in respect of such Payment Date, any unpaid Backup Servicing Fee from any prior Payment Date, any reasonable out-of-pocket expenses incurred by the Backup Servicer up to $17,000 monthly; and (D) any accrued and unpaid Indemnified Amounts owed to the Backup Servicer (including in its capacity as Successor Servicer) up to $17,000 monthly;</w:t>
      </w:r>
    </w:p>
    <w:p>
      <w:pPr>
        <w:spacing w:after="0" w:line="155" w:lineRule="exact"/>
        <w:rPr>
          <w:rFonts w:ascii="Arial" w:cs="Arial" w:eastAsia="Arial" w:hAnsi="Arial"/>
          <w:sz w:val="19"/>
          <w:szCs w:val="19"/>
          <w:color w:val="auto"/>
        </w:rPr>
      </w:pPr>
    </w:p>
    <w:p>
      <w:pPr>
        <w:jc w:val="both"/>
        <w:ind w:left="660" w:firstLine="752"/>
        <w:spacing w:after="0" w:line="271" w:lineRule="auto"/>
        <w:tabs>
          <w:tab w:leader="none" w:pos="1794"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THIRD, to the Lenders, pro rata, an amount equal to the sum of any accrued and unpaid (A) Interest (up to an amount not exceeding the Interest Cap), (B) Yield, and (C) any Increased Costs and any Additional Amounts due in respect of such Payment Date and any such amounts unpaid from any prior Payment Date;</w:t>
      </w:r>
    </w:p>
    <w:p>
      <w:pPr>
        <w:spacing w:after="0" w:line="167" w:lineRule="exact"/>
        <w:rPr>
          <w:rFonts w:ascii="Arial" w:cs="Arial" w:eastAsia="Arial" w:hAnsi="Arial"/>
          <w:sz w:val="21"/>
          <w:szCs w:val="21"/>
          <w:color w:val="auto"/>
        </w:rPr>
      </w:pPr>
    </w:p>
    <w:p>
      <w:pPr>
        <w:ind w:left="660" w:firstLine="764"/>
        <w:spacing w:after="0" w:line="263" w:lineRule="auto"/>
        <w:tabs>
          <w:tab w:leader="none" w:pos="1807" w:val="left"/>
        </w:tabs>
        <w:numPr>
          <w:ilvl w:val="0"/>
          <w:numId w:val="30"/>
        </w:numPr>
        <w:rPr>
          <w:rFonts w:ascii="Arial" w:cs="Arial" w:eastAsia="Arial" w:hAnsi="Arial"/>
          <w:sz w:val="22"/>
          <w:szCs w:val="22"/>
          <w:color w:val="auto"/>
        </w:rPr>
      </w:pPr>
      <w:r>
        <w:rPr>
          <w:rFonts w:ascii="Arial" w:cs="Arial" w:eastAsia="Arial" w:hAnsi="Arial"/>
          <w:sz w:val="22"/>
          <w:szCs w:val="22"/>
          <w:color w:val="auto"/>
        </w:rPr>
        <w:t>FOURTH, to the Lenders, pro rata based upon the portion of such amounts owed to each such party, any Indemnified Amounts;</w:t>
      </w:r>
    </w:p>
    <w:p>
      <w:pPr>
        <w:spacing w:after="0" w:line="174" w:lineRule="exact"/>
        <w:rPr>
          <w:rFonts w:ascii="Arial" w:cs="Arial" w:eastAsia="Arial" w:hAnsi="Arial"/>
          <w:sz w:val="22"/>
          <w:szCs w:val="22"/>
          <w:color w:val="auto"/>
        </w:rPr>
      </w:pPr>
    </w:p>
    <w:p>
      <w:pPr>
        <w:jc w:val="both"/>
        <w:ind w:left="660" w:firstLine="824"/>
        <w:spacing w:after="0" w:line="297" w:lineRule="auto"/>
        <w:tabs>
          <w:tab w:leader="none" w:pos="18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FIFTH, (A) during the Revolving Period, to the Principal Collection Account for application by the Borrower to purchase additional Loans (or to fund additional Dealer Loan Contracts allocated to the Open Pool of Dealer Loan Contracts securing a Dealer Loan) from the Originator, the amount needed to cause the Collateral Amount to at least equal the Minimum Collateral Amount, and if the Minimum Collateral Amount cannot be reached due to an insufficient amount of Loans for purchase by the Borrower, the amount needed to cause the Adjusted Collateral Amount to equal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44" w:name="page45"/>
    <w:bookmarkEnd w:id="44"/>
    <w:p>
      <w:pPr>
        <w:spacing w:after="0" w:line="204"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Minimum Collateral Amount; and (B) during the Amortization Period, to the Lenders, pro rata, the Principal Distributable Amount, until Capital has been reduced to zero;</w:t>
      </w:r>
    </w:p>
    <w:p>
      <w:pPr>
        <w:spacing w:after="0" w:line="175" w:lineRule="exact"/>
        <w:rPr>
          <w:sz w:val="20"/>
          <w:szCs w:val="20"/>
          <w:color w:val="auto"/>
        </w:rPr>
      </w:pPr>
    </w:p>
    <w:p>
      <w:pPr>
        <w:ind w:left="660" w:firstLine="764"/>
        <w:spacing w:after="0" w:line="263" w:lineRule="auto"/>
        <w:tabs>
          <w:tab w:leader="none" w:pos="1794" w:val="left"/>
        </w:tabs>
        <w:numPr>
          <w:ilvl w:val="1"/>
          <w:numId w:val="31"/>
        </w:numPr>
        <w:rPr>
          <w:rFonts w:ascii="Arial" w:cs="Arial" w:eastAsia="Arial" w:hAnsi="Arial"/>
          <w:sz w:val="22"/>
          <w:szCs w:val="22"/>
          <w:color w:val="auto"/>
        </w:rPr>
      </w:pPr>
      <w:r>
        <w:rPr>
          <w:rFonts w:ascii="Arial" w:cs="Arial" w:eastAsia="Arial" w:hAnsi="Arial"/>
          <w:sz w:val="22"/>
          <w:szCs w:val="22"/>
          <w:color w:val="auto"/>
        </w:rPr>
        <w:t>SIXTH, to the Deal Agent for the account of the Lender, an amount equal to, without double counting, any Interest Cap Carryover.</w:t>
      </w:r>
    </w:p>
    <w:p>
      <w:pPr>
        <w:spacing w:after="0" w:line="174" w:lineRule="exact"/>
        <w:rPr>
          <w:rFonts w:ascii="Arial" w:cs="Arial" w:eastAsia="Arial" w:hAnsi="Arial"/>
          <w:sz w:val="22"/>
          <w:szCs w:val="22"/>
          <w:color w:val="auto"/>
        </w:rPr>
      </w:pPr>
    </w:p>
    <w:p>
      <w:pPr>
        <w:jc w:val="both"/>
        <w:ind w:left="660" w:firstLine="704"/>
        <w:spacing w:after="0" w:line="312" w:lineRule="auto"/>
        <w:tabs>
          <w:tab w:leader="none" w:pos="1808" w:val="left"/>
        </w:tabs>
        <w:numPr>
          <w:ilvl w:val="1"/>
          <w:numId w:val="31"/>
        </w:numPr>
        <w:rPr>
          <w:rFonts w:ascii="Arial" w:cs="Arial" w:eastAsia="Arial" w:hAnsi="Arial"/>
          <w:sz w:val="19"/>
          <w:szCs w:val="19"/>
          <w:color w:val="auto"/>
        </w:rPr>
      </w:pPr>
      <w:r>
        <w:rPr>
          <w:rFonts w:ascii="Arial" w:cs="Arial" w:eastAsia="Arial" w:hAnsi="Arial"/>
          <w:sz w:val="19"/>
          <w:szCs w:val="19"/>
          <w:color w:val="auto"/>
        </w:rPr>
        <w:t>SEVENTH, during the Revolving Period, to the Reserve Account, (A) an amount equal to any outstanding Reserve Advances and (B) the amount necessary to cause the amount on deposit in the Reserve Account to equal the Required Reserve Account Amount (after giving effect to any deposits made in subclause (A));</w:t>
      </w:r>
    </w:p>
    <w:p>
      <w:pPr>
        <w:spacing w:after="0" w:line="133" w:lineRule="exact"/>
        <w:rPr>
          <w:rFonts w:ascii="Arial" w:cs="Arial" w:eastAsia="Arial" w:hAnsi="Arial"/>
          <w:sz w:val="19"/>
          <w:szCs w:val="19"/>
          <w:color w:val="auto"/>
        </w:rPr>
      </w:pPr>
    </w:p>
    <w:p>
      <w:pPr>
        <w:jc w:val="both"/>
        <w:ind w:left="660" w:firstLine="644"/>
        <w:spacing w:after="0" w:line="253" w:lineRule="auto"/>
        <w:tabs>
          <w:tab w:leader="none" w:pos="1808" w:val="left"/>
        </w:tabs>
        <w:numPr>
          <w:ilvl w:val="1"/>
          <w:numId w:val="31"/>
        </w:numPr>
        <w:rPr>
          <w:rFonts w:ascii="Arial" w:cs="Arial" w:eastAsia="Arial" w:hAnsi="Arial"/>
          <w:sz w:val="22"/>
          <w:szCs w:val="22"/>
          <w:color w:val="auto"/>
        </w:rPr>
      </w:pPr>
      <w:r>
        <w:rPr>
          <w:rFonts w:ascii="Arial" w:cs="Arial" w:eastAsia="Arial" w:hAnsi="Arial"/>
          <w:sz w:val="22"/>
          <w:szCs w:val="22"/>
          <w:color w:val="auto"/>
        </w:rPr>
        <w:t xml:space="preserve">EIGHTH, pari passu, (A) to the Backup Servicer, any amounts owed to the Backup Servicer, to the extent not paid pursuant to </w:t>
      </w:r>
      <w:r>
        <w:rPr>
          <w:rFonts w:ascii="Arial" w:cs="Arial" w:eastAsia="Arial" w:hAnsi="Arial"/>
          <w:sz w:val="22"/>
          <w:szCs w:val="22"/>
          <w:u w:val="single" w:color="auto"/>
          <w:color w:val="auto"/>
        </w:rPr>
        <w:t>clause (ii)(A)</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due to the cap specified in each such clause and (B) to the Collateral Agent, any accrued fees, reasonable out-of-pocket expenses or Indemnified Amounts;</w:t>
      </w:r>
    </w:p>
    <w:p>
      <w:pPr>
        <w:spacing w:after="0" w:line="185" w:lineRule="exact"/>
        <w:rPr>
          <w:rFonts w:ascii="Arial" w:cs="Arial" w:eastAsia="Arial" w:hAnsi="Arial"/>
          <w:sz w:val="22"/>
          <w:szCs w:val="22"/>
          <w:color w:val="auto"/>
        </w:rPr>
      </w:pPr>
    </w:p>
    <w:p>
      <w:pPr>
        <w:ind w:left="660" w:firstLine="764"/>
        <w:spacing w:after="0" w:line="263" w:lineRule="auto"/>
        <w:tabs>
          <w:tab w:leader="none" w:pos="1821" w:val="left"/>
        </w:tabs>
        <w:numPr>
          <w:ilvl w:val="1"/>
          <w:numId w:val="31"/>
        </w:numPr>
        <w:rPr>
          <w:rFonts w:ascii="Arial" w:cs="Arial" w:eastAsia="Arial" w:hAnsi="Arial"/>
          <w:sz w:val="22"/>
          <w:szCs w:val="22"/>
          <w:color w:val="auto"/>
        </w:rPr>
      </w:pPr>
      <w:r>
        <w:rPr>
          <w:rFonts w:ascii="Arial" w:cs="Arial" w:eastAsia="Arial" w:hAnsi="Arial"/>
          <w:sz w:val="22"/>
          <w:szCs w:val="22"/>
          <w:color w:val="auto"/>
        </w:rPr>
        <w:t>NINTH, to the Lenders for the account of any other applicable Person, all remaining amounts up to all Aggregate Unpaids (during the Revolving Period, other than Capital) until paid in full;</w:t>
      </w:r>
    </w:p>
    <w:p>
      <w:pPr>
        <w:spacing w:after="0" w:line="174" w:lineRule="exact"/>
        <w:rPr>
          <w:rFonts w:ascii="Arial" w:cs="Arial" w:eastAsia="Arial" w:hAnsi="Arial"/>
          <w:sz w:val="22"/>
          <w:szCs w:val="22"/>
          <w:color w:val="auto"/>
        </w:rPr>
      </w:pPr>
    </w:p>
    <w:p>
      <w:pPr>
        <w:ind w:left="1800" w:hanging="316"/>
        <w:spacing w:after="0"/>
        <w:tabs>
          <w:tab w:leader="none" w:pos="18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TENTH, to the Borrower any remaining amounts.</w:t>
      </w:r>
    </w:p>
    <w:p>
      <w:pPr>
        <w:spacing w:after="0" w:line="219" w:lineRule="exact"/>
        <w:rPr>
          <w:rFonts w:ascii="Arial" w:cs="Arial" w:eastAsia="Arial" w:hAnsi="Arial"/>
          <w:sz w:val="22"/>
          <w:szCs w:val="22"/>
          <w:color w:val="auto"/>
        </w:rPr>
      </w:pPr>
    </w:p>
    <w:p>
      <w:pPr>
        <w:jc w:val="both"/>
        <w:ind w:firstLine="1304"/>
        <w:spacing w:after="0" w:line="302" w:lineRule="auto"/>
        <w:tabs>
          <w:tab w:leader="none" w:pos="1602"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(i) If on any Payment Date the amount paid pursuant to </w:t>
      </w:r>
      <w:r>
        <w:rPr>
          <w:rFonts w:ascii="Arial" w:cs="Arial" w:eastAsia="Arial" w:hAnsi="Arial"/>
          <w:sz w:val="19"/>
          <w:szCs w:val="19"/>
          <w:u w:val="single" w:color="auto"/>
          <w:color w:val="auto"/>
        </w:rPr>
        <w:t>Section 2.7(a)(iii)</w:t>
      </w:r>
      <w:r>
        <w:rPr>
          <w:rFonts w:ascii="Arial" w:cs="Arial" w:eastAsia="Arial" w:hAnsi="Arial"/>
          <w:sz w:val="19"/>
          <w:szCs w:val="19"/>
          <w:color w:val="auto"/>
        </w:rPr>
        <w:t xml:space="preserve"> and (v) is insufficient to cover all amounts due thereunder on such Payment Date the Collateral Agent shall withdraw from the Reserve Account an amount equal to the lesser of such shortfall and the amount of funds on deposit in the Reserve Account (such withdrawal, a “</w:t>
      </w:r>
      <w:r>
        <w:rPr>
          <w:rFonts w:ascii="Arial" w:cs="Arial" w:eastAsia="Arial" w:hAnsi="Arial"/>
          <w:sz w:val="19"/>
          <w:szCs w:val="19"/>
          <w:u w:val="single" w:color="auto"/>
          <w:color w:val="auto"/>
        </w:rPr>
        <w:t>Reserve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Advance</w:t>
      </w:r>
      <w:r>
        <w:rPr>
          <w:rFonts w:ascii="Arial" w:cs="Arial" w:eastAsia="Arial" w:hAnsi="Arial"/>
          <w:sz w:val="19"/>
          <w:szCs w:val="19"/>
          <w:color w:val="auto"/>
        </w:rPr>
        <w:t>”) and deposit such amount to the Collection Account. The Collateral Agent shall pay such amount to the Lenders.</w:t>
      </w:r>
    </w:p>
    <w:p>
      <w:pPr>
        <w:spacing w:after="0" w:line="142" w:lineRule="exact"/>
        <w:rPr>
          <w:rFonts w:ascii="Arial" w:cs="Arial" w:eastAsia="Arial" w:hAnsi="Arial"/>
          <w:sz w:val="19"/>
          <w:szCs w:val="19"/>
          <w:color w:val="auto"/>
        </w:rPr>
      </w:pPr>
    </w:p>
    <w:p>
      <w:pPr>
        <w:jc w:val="both"/>
        <w:ind w:left="660" w:firstLine="812"/>
        <w:spacing w:after="0" w:line="250" w:lineRule="auto"/>
        <w:tabs>
          <w:tab w:leader="none" w:pos="1808"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If on any Payment Date during the Amortization Period, the amount paid pursuant to </w:t>
      </w:r>
      <w:r>
        <w:rPr>
          <w:rFonts w:ascii="Arial" w:cs="Arial" w:eastAsia="Arial" w:hAnsi="Arial"/>
          <w:sz w:val="22"/>
          <w:szCs w:val="22"/>
          <w:u w:val="single" w:color="auto"/>
          <w:color w:val="auto"/>
        </w:rPr>
        <w:t>Section 2.7(a)(v)</w:t>
      </w:r>
      <w:r>
        <w:rPr>
          <w:rFonts w:ascii="Arial" w:cs="Arial" w:eastAsia="Arial" w:hAnsi="Arial"/>
          <w:sz w:val="22"/>
          <w:szCs w:val="22"/>
          <w:color w:val="auto"/>
        </w:rPr>
        <w:t xml:space="preserve"> is insufficient to reduce Capital to zero, the Deal Agent, acting at the direction of the Required Lenders, may direct the Collateral Agent in writing to withdraw any or all of the amount on deposit in the Reserve Account, and pay such amount to the Lenders.</w:t>
      </w:r>
    </w:p>
    <w:p>
      <w:pPr>
        <w:spacing w:after="0" w:line="187" w:lineRule="exact"/>
        <w:rPr>
          <w:rFonts w:ascii="Arial" w:cs="Arial" w:eastAsia="Arial" w:hAnsi="Arial"/>
          <w:sz w:val="22"/>
          <w:szCs w:val="22"/>
          <w:color w:val="auto"/>
        </w:rPr>
      </w:pPr>
    </w:p>
    <w:p>
      <w:pPr>
        <w:ind w:right="20" w:firstLine="1304"/>
        <w:spacing w:after="0" w:line="287" w:lineRule="auto"/>
        <w:tabs>
          <w:tab w:leader="none" w:pos="1941" w:val="left"/>
        </w:tabs>
        <w:numPr>
          <w:ilvl w:val="0"/>
          <w:numId w:val="32"/>
        </w:numPr>
        <w:rPr>
          <w:rFonts w:ascii="Arial" w:cs="Arial" w:eastAsia="Arial" w:hAnsi="Arial"/>
          <w:sz w:val="21"/>
          <w:szCs w:val="21"/>
          <w:color w:val="auto"/>
        </w:rPr>
      </w:pPr>
      <w:r>
        <w:rPr>
          <w:rFonts w:ascii="Arial" w:cs="Arial" w:eastAsia="Arial" w:hAnsi="Arial"/>
          <w:sz w:val="21"/>
          <w:szCs w:val="21"/>
          <w:color w:val="auto"/>
        </w:rPr>
        <w:t>With respect to any payments made by the Collateral Agent to the Lenders, the Collateral Agent shall be entitled to rely conclusively on the Monthly Report for purposes of determining the identity of such Lenders.</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Collections and Allocations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Collections</w:t>
      </w:r>
      <w:r>
        <w:rPr>
          <w:rFonts w:ascii="Arial" w:cs="Arial" w:eastAsia="Arial" w:hAnsi="Arial"/>
          <w:sz w:val="19"/>
          <w:szCs w:val="19"/>
          <w:color w:val="auto"/>
        </w:rPr>
        <w:t>. The Servicer shall transfer, or cause to be transferred, all Collections on deposit in the form of available funds in the Credit Acceptance Payment Account to the Collection Account by the close of business on the second Business Day after such Collections are received therein. The Servicer shall promptly (but in no event later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22"/>
          <w:szCs w:val="22"/>
          <w:color w:val="auto"/>
        </w:rPr>
        <w:t>second Business Day after the receipt thereof) deposit all Collections received directly by it in the Collection Account. The Servicer shall make such deposits or payments on the date indicated therein by wire transfer in immediately available funds or by automated clearing house (ACH).</w:t>
      </w:r>
    </w:p>
    <w:p>
      <w:pPr>
        <w:spacing w:after="0" w:line="185" w:lineRule="exact"/>
        <w:rPr>
          <w:sz w:val="20"/>
          <w:szCs w:val="20"/>
          <w:color w:val="auto"/>
        </w:rPr>
      </w:pPr>
    </w:p>
    <w:p>
      <w:pPr>
        <w:jc w:val="both"/>
        <w:ind w:firstLine="1304"/>
        <w:spacing w:after="0" w:line="250" w:lineRule="auto"/>
        <w:tabs>
          <w:tab w:leader="none" w:pos="1939"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Initial Deposits</w:t>
      </w:r>
      <w:r>
        <w:rPr>
          <w:rFonts w:ascii="Arial" w:cs="Arial" w:eastAsia="Arial" w:hAnsi="Arial"/>
          <w:sz w:val="22"/>
          <w:szCs w:val="22"/>
          <w:color w:val="auto"/>
        </w:rPr>
        <w:t>. On the Closing Date and any other Addition Date, the Servicer will deposit (in immediately available funds) into the Collection Account all Collections received on and after the applicable Cut-Off Date and through and including the day that is two days immediately preceding the Closing Date or such other Addition Date, in respect of the Loans.</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Investment of Funds</w:t>
      </w:r>
      <w:r>
        <w:rPr>
          <w:rFonts w:ascii="Arial" w:cs="Arial" w:eastAsia="Arial" w:hAnsi="Arial"/>
          <w:sz w:val="22"/>
          <w:szCs w:val="22"/>
          <w:color w:val="auto"/>
        </w:rPr>
        <w:t xml:space="preserve">. Until the occurrence of a Termination Event or Unmatured Termination Event, to the extent there are uninvested amounts on deposit in the Collection Account, the Principal Collection Account and the Reserve Account, all amounts shall be invested as set forth in </w:t>
      </w:r>
      <w:r>
        <w:rPr>
          <w:rFonts w:ascii="Arial" w:cs="Arial" w:eastAsia="Arial" w:hAnsi="Arial"/>
          <w:sz w:val="22"/>
          <w:szCs w:val="22"/>
          <w:u w:val="single" w:color="auto"/>
          <w:color w:val="auto"/>
        </w:rPr>
        <w:t>Section 6.7(c)</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firstLine="812"/>
        <w:spacing w:after="0" w:line="253" w:lineRule="auto"/>
        <w:tabs>
          <w:tab w:leader="none" w:pos="1808" w:val="left"/>
        </w:tabs>
        <w:numPr>
          <w:ilvl w:val="1"/>
          <w:numId w:val="34"/>
        </w:numPr>
        <w:rPr>
          <w:rFonts w:ascii="Arial" w:cs="Arial" w:eastAsia="Arial" w:hAnsi="Arial"/>
          <w:sz w:val="22"/>
          <w:szCs w:val="22"/>
          <w:color w:val="auto"/>
        </w:rPr>
      </w:pPr>
      <w:r>
        <w:rPr>
          <w:rFonts w:ascii="Arial" w:cs="Arial" w:eastAsia="Arial" w:hAnsi="Arial"/>
          <w:sz w:val="22"/>
          <w:szCs w:val="22"/>
          <w:color w:val="auto"/>
        </w:rPr>
        <w:t>On the date on which Capital is reduced to zero and all Aggregate Unpaids have been indefeasibly paid in full, all Collateral is released from the Lien of this Agreement, and this Agreement is terminated, any amounts on deposit in the Reserve Account shall be released to the Borrower.</w:t>
      </w:r>
    </w:p>
    <w:p>
      <w:pPr>
        <w:spacing w:after="0" w:line="185" w:lineRule="exact"/>
        <w:rPr>
          <w:rFonts w:ascii="Arial" w:cs="Arial" w:eastAsia="Arial" w:hAnsi="Arial"/>
          <w:sz w:val="22"/>
          <w:szCs w:val="22"/>
          <w:color w:val="auto"/>
        </w:rPr>
      </w:pPr>
    </w:p>
    <w:p>
      <w:pPr>
        <w:jc w:val="both"/>
        <w:ind w:firstLine="1304"/>
        <w:spacing w:after="0" w:line="290" w:lineRule="auto"/>
        <w:tabs>
          <w:tab w:leader="none" w:pos="1939"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Allocation of Collections</w:t>
      </w:r>
      <w:r>
        <w:rPr>
          <w:rFonts w:ascii="Arial" w:cs="Arial" w:eastAsia="Arial" w:hAnsi="Arial"/>
          <w:sz w:val="19"/>
          <w:szCs w:val="19"/>
          <w:color w:val="auto"/>
        </w:rPr>
        <w:t>. The Servicer will allocate Collections monthly in accordance with the actual amount of Collections received. The Servicer shall determine each month the amount of Collections received during such month which constitutes amounts which, pursuant to the terms of any Dealer Agreement, are required to be remitted to the applicable Dealer (such collections, “</w:t>
      </w:r>
      <w:r>
        <w:rPr>
          <w:rFonts w:ascii="Arial" w:cs="Arial" w:eastAsia="Arial" w:hAnsi="Arial"/>
          <w:sz w:val="19"/>
          <w:szCs w:val="19"/>
          <w:u w:val="single" w:color="auto"/>
          <w:color w:val="auto"/>
        </w:rPr>
        <w:t>Dealer Collections</w:t>
      </w:r>
      <w:r>
        <w:rPr>
          <w:rFonts w:ascii="Arial" w:cs="Arial" w:eastAsia="Arial" w:hAnsi="Arial"/>
          <w:sz w:val="19"/>
          <w:szCs w:val="19"/>
          <w:color w:val="auto"/>
        </w:rPr>
        <w:t xml:space="preserve">”). Notwithstanding any other provision hereof, the Collateral Agent, pursuant to the written direction of the Servicer set forth on each Monthly Report, shall distribute on each Payment Date: (i) to the Borrower, an amount equal to the aggregate amount of Dealer Collections received during or with respect to the prior Collection Period and (ii) to the Backup Servicer, if it has become the Successor Servicer, an amount equal to any Repossession Expenses related to the prior Collection Period prior to the distribution of Available Funds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Payments, Computations, Etc</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The Borrower shall pay Interest and Yield on the outstanding Capital for the period from the Closing Date until the Collection Date. Interest and Yield shall accrue during each Accrual Period and be payable on each Payment Date in accordance with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35"/>
        </w:numPr>
        <w:rPr>
          <w:rFonts w:ascii="Arial" w:cs="Arial" w:eastAsia="Arial" w:hAnsi="Arial"/>
          <w:sz w:val="22"/>
          <w:szCs w:val="22"/>
          <w:color w:val="auto"/>
        </w:rPr>
      </w:pPr>
      <w:r>
        <w:rPr>
          <w:rFonts w:ascii="Arial" w:cs="Arial" w:eastAsia="Arial" w:hAnsi="Arial"/>
          <w:sz w:val="22"/>
          <w:szCs w:val="22"/>
          <w:color w:val="auto"/>
        </w:rPr>
        <w:t>Unless otherwise expressly provided herein, all amounts to be paid or deposited by the Borrower or the Servicer hereunder shall be paid or deposited in accordance with the terms hereof no later than 11:00 a.m. (New York time) on the day when due in lawful money of the United States in immediately available funds to the Persons entitled thereto, in accordance with wiring instructions provided to each of the Borrower, Servicer and Collateral Agent, in writing, by each Lender. Such wiring instructions may be updated from time to time upon written notice by the applicable Lender. Any amounts received by such Persons after 11:00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46" w:name="page47"/>
    <w:bookmarkEnd w:id="46"/>
    <w:p>
      <w:pPr>
        <w:jc w:val="both"/>
        <w:spacing w:after="0" w:line="253" w:lineRule="auto"/>
        <w:rPr>
          <w:sz w:val="20"/>
          <w:szCs w:val="20"/>
          <w:color w:val="auto"/>
        </w:rPr>
      </w:pPr>
      <w:r>
        <w:rPr>
          <w:rFonts w:ascii="Arial" w:cs="Arial" w:eastAsia="Arial" w:hAnsi="Arial"/>
          <w:sz w:val="22"/>
          <w:szCs w:val="22"/>
          <w:color w:val="auto"/>
        </w:rPr>
        <w:t>a.m. (New York time) shall be deemed to be received on the next subsequent Business Day. All computations of Interest, Yield, and other fees hereunder shall be made on the basis of a year of 360 days for the actual number of days (including the first but excluding the last) elapsed.</w:t>
      </w:r>
    </w:p>
    <w:p>
      <w:pPr>
        <w:spacing w:after="0" w:line="185" w:lineRule="exact"/>
        <w:rPr>
          <w:sz w:val="20"/>
          <w:szCs w:val="20"/>
          <w:color w:val="auto"/>
        </w:rPr>
      </w:pPr>
    </w:p>
    <w:p>
      <w:pPr>
        <w:jc w:val="both"/>
        <w:ind w:firstLine="1304"/>
        <w:spacing w:after="0" w:line="271" w:lineRule="auto"/>
        <w:tabs>
          <w:tab w:leader="none" w:pos="1941" w:val="left"/>
        </w:tabs>
        <w:numPr>
          <w:ilvl w:val="0"/>
          <w:numId w:val="36"/>
        </w:numPr>
        <w:rPr>
          <w:rFonts w:ascii="Arial" w:cs="Arial" w:eastAsia="Arial" w:hAnsi="Arial"/>
          <w:sz w:val="21"/>
          <w:szCs w:val="21"/>
          <w:color w:val="auto"/>
        </w:rPr>
      </w:pPr>
      <w:r>
        <w:rPr>
          <w:rFonts w:ascii="Arial" w:cs="Arial" w:eastAsia="Arial" w:hAnsi="Arial"/>
          <w:sz w:val="21"/>
          <w:szCs w:val="21"/>
          <w:color w:val="auto"/>
        </w:rPr>
        <w:t>Whenever any payment hereunder shall be stated to be due on a day other than a Business Day, such payment shall be made on the next succeeding Business Day, and such extension of time shall in such case be included in the computation of payment of Interest, Yield, or any fee payable hereunder, as the case may be.</w:t>
      </w:r>
    </w:p>
    <w:p>
      <w:pPr>
        <w:spacing w:after="0" w:line="16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Interest; Yield; Fees</w:t>
      </w:r>
      <w:r>
        <w:rPr>
          <w:rFonts w:ascii="Arial" w:cs="Arial" w:eastAsia="Arial" w:hAnsi="Arial"/>
          <w:sz w:val="19"/>
          <w:szCs w:val="19"/>
          <w:color w:val="auto"/>
        </w:rPr>
        <w:t>.</w:t>
      </w:r>
    </w:p>
    <w:p>
      <w:pPr>
        <w:spacing w:after="0" w:line="220" w:lineRule="exact"/>
        <w:rPr>
          <w:sz w:val="20"/>
          <w:szCs w:val="20"/>
          <w:color w:val="auto"/>
        </w:rPr>
      </w:pPr>
    </w:p>
    <w:p>
      <w:pPr>
        <w:ind w:right="20" w:firstLine="1304"/>
        <w:spacing w:after="0" w:line="263" w:lineRule="auto"/>
        <w:tabs>
          <w:tab w:leader="none" w:pos="1941"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Borrower shall pay to each Lender from the Collection Account on each Payment Date, monthly in arrears, the Interest and Yield for each Lender.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Servicer shall be entitled to receive the Servicing Fee, monthly in arrears in accordance with</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1" w:lineRule="exact"/>
        <w:rPr>
          <w:rFonts w:ascii="Arial" w:cs="Arial" w:eastAsia="Arial" w:hAnsi="Arial"/>
          <w:sz w:val="21"/>
          <w:szCs w:val="21"/>
          <w:color w:val="auto"/>
        </w:rPr>
      </w:pPr>
    </w:p>
    <w:p>
      <w:pPr>
        <w:ind w:firstLine="1304"/>
        <w:spacing w:after="0" w:line="263" w:lineRule="auto"/>
        <w:tabs>
          <w:tab w:leader="none" w:pos="1941"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The Backup Servicer shall be entitled to receive the Backup Servicing Fee, expenses and indemnities in accordance with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302" w:lineRule="auto"/>
        <w:tabs>
          <w:tab w:leader="none" w:pos="19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Borrower shall pay to each Lender, on the Closing Date, the Upfront Fee and reasonable out-of-pocket expenses (including, without limitation, reasonable fees and out-of-pocket expenses incurred by the Lenders, in connection with the preparation and execution of this Agreement and the other Transaction Documents and the carrying out of the transactions contemplated hereby and thereby) in immediately available funds after delivery of a detailed invoice.</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Collateral  Agent  shall  be  entitled  to  receive  expenses  and  indemnities  in  accordance  with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firstLine="1304"/>
        <w:spacing w:after="0" w:line="263" w:lineRule="auto"/>
        <w:tabs>
          <w:tab w:leader="none" w:pos="194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Borrower shall pay to Chapman and Cutler LLP, as counsel to Fifth Third, its reasonable fees and out-of-pocket expenses after delivery of a detailed invoice.</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Increased Costs; Capital Adequacy; Illegality</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5" w:lineRule="auto"/>
        <w:tabs>
          <w:tab w:leader="none" w:pos="1941" w:val="left"/>
        </w:tabs>
        <w:numPr>
          <w:ilvl w:val="1"/>
          <w:numId w:val="38"/>
        </w:numPr>
        <w:rPr>
          <w:rFonts w:ascii="Arial" w:cs="Arial" w:eastAsia="Arial" w:hAnsi="Arial"/>
          <w:sz w:val="19"/>
          <w:szCs w:val="19"/>
          <w:color w:val="auto"/>
        </w:rPr>
      </w:pPr>
      <w:r>
        <w:rPr>
          <w:rFonts w:ascii="Arial" w:cs="Arial" w:eastAsia="Arial" w:hAnsi="Arial"/>
          <w:sz w:val="19"/>
          <w:szCs w:val="19"/>
          <w:color w:val="auto"/>
        </w:rPr>
        <w:t>If either (i) the introduction of or any change (including, without limitation, any change by way of imposition or increase of reserve requirements) in or in the interpretation of any law or regulation or (ii) the compliance by an Affected Party with any guideline or request from any central bank or other Governmental Authority (whether or not having the force of law), shall (A) subject an Affected Party to any Tax (except for Taxes on the overall net income of such Affected Party), duty or other charge with respect to the Capital, or any right to make the funding hereunder, or on any payment made hereunder,</w:t>
      </w:r>
    </w:p>
    <w:p>
      <w:pPr>
        <w:spacing w:after="0" w:line="3" w:lineRule="exact"/>
        <w:rPr>
          <w:rFonts w:ascii="Arial" w:cs="Arial" w:eastAsia="Arial" w:hAnsi="Arial"/>
          <w:sz w:val="19"/>
          <w:szCs w:val="19"/>
          <w:color w:val="auto"/>
        </w:rPr>
      </w:pPr>
    </w:p>
    <w:p>
      <w:pPr>
        <w:jc w:val="both"/>
        <w:ind w:firstLine="8"/>
        <w:spacing w:after="0" w:line="245" w:lineRule="auto"/>
        <w:tabs>
          <w:tab w:leader="none" w:pos="349" w:val="left"/>
        </w:tabs>
        <w:numPr>
          <w:ilvl w:val="0"/>
          <w:numId w:val="39"/>
        </w:numPr>
        <w:rPr>
          <w:rFonts w:ascii="Arial" w:cs="Arial" w:eastAsia="Arial" w:hAnsi="Arial"/>
          <w:sz w:val="22"/>
          <w:szCs w:val="22"/>
          <w:color w:val="auto"/>
        </w:rPr>
      </w:pPr>
      <w:r>
        <w:rPr>
          <w:rFonts w:ascii="Arial" w:cs="Arial" w:eastAsia="Arial" w:hAnsi="Arial"/>
          <w:sz w:val="22"/>
          <w:szCs w:val="22"/>
          <w:color w:val="auto"/>
        </w:rPr>
        <w:t>impose, modify or deem applicable any reserve requirement (including, without limitation, any reserve requirement imposed by the Board of Governors of the Federal Reserve System, but excluding any reserve requirement, if any, included in the determination of Interest), special deposit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47" w:name="page48"/>
    <w:bookmarkEnd w:id="47"/>
    <w:p>
      <w:pPr>
        <w:jc w:val="both"/>
        <w:spacing w:after="0" w:line="294" w:lineRule="auto"/>
        <w:rPr>
          <w:sz w:val="20"/>
          <w:szCs w:val="20"/>
          <w:color w:val="auto"/>
        </w:rPr>
      </w:pPr>
      <w:r>
        <w:rPr>
          <w:rFonts w:ascii="Arial" w:cs="Arial" w:eastAsia="Arial" w:hAnsi="Arial"/>
          <w:sz w:val="19"/>
          <w:szCs w:val="19"/>
          <w:color w:val="auto"/>
        </w:rPr>
        <w:t>similar requirement against assets of, deposits with or for the amount of, or credit extended by, any Affected Party or (C) impose any other condition affecting the Capital or a Lender's rights hereunder, the result of which is to increase the cost to any Affected Party or to reduce the amount of any sum received or receivable by an Affected Party under this Agreement, then within ten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149" w:lineRule="exact"/>
        <w:rPr>
          <w:sz w:val="20"/>
          <w:szCs w:val="20"/>
          <w:color w:val="auto"/>
        </w:rPr>
      </w:pPr>
    </w:p>
    <w:p>
      <w:pPr>
        <w:jc w:val="both"/>
        <w:ind w:firstLine="1304"/>
        <w:spacing w:after="0" w:line="287" w:lineRule="auto"/>
        <w:tabs>
          <w:tab w:leader="none" w:pos="1939"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If either (i) the introduction of or any change in or in the interpretation of any law, guideline, rule, regulation, directive or request or (ii) the compliance by any Affected Party with any law, guideline, rule, regulation, directive or request from any central bank or other governmental authority or agency (whether or not having the force of law), including, without limitation, compliance by an Affected Party with any request or directive regarding capital adequacy, has or would have the effect of reducing the rate of return on the capital of any Affected Party as a consequence of its obligations hereunder or arising in connection herewith to a level below that which any such Affected Party could have achieved but for such introduction, change or compliance (taking into consideration the policies of such Affected Party with respect to capital adequacy) by an amount deemed by such Affected Party to be material, then from time to time, within ten days after demand by such Affected Party (which demand shall be accompanied by a statement setting forth the basis for such demand), the Borrower shall pay directly to such Affected Party such additional amount or amounts as will compensate such Affected Party for such reduction. For avoidance of doubt, any interpretation of Accounting Research Bulletin No. 51 by the Financial Accounting Standards Board shall constitute an adoption, change, request or directive subject to this </w:t>
      </w:r>
      <w:r>
        <w:rPr>
          <w:rFonts w:ascii="Arial" w:cs="Arial" w:eastAsia="Arial" w:hAnsi="Arial"/>
          <w:sz w:val="19"/>
          <w:szCs w:val="19"/>
          <w:u w:val="single" w:color="auto"/>
          <w:color w:val="auto"/>
        </w:rPr>
        <w:t>Section 2.13(b)</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97" w:lineRule="auto"/>
        <w:tabs>
          <w:tab w:leader="none" w:pos="1941" w:val="left"/>
        </w:tabs>
        <w:numPr>
          <w:ilvl w:val="0"/>
          <w:numId w:val="40"/>
        </w:numPr>
        <w:rPr>
          <w:rFonts w:ascii="Arial" w:cs="Arial" w:eastAsia="Arial" w:hAnsi="Arial"/>
          <w:sz w:val="19"/>
          <w:szCs w:val="19"/>
          <w:color w:val="auto"/>
        </w:rPr>
      </w:pPr>
      <w:r>
        <w:rPr>
          <w:rFonts w:ascii="Arial" w:cs="Arial" w:eastAsia="Arial" w:hAnsi="Arial"/>
          <w:sz w:val="19"/>
          <w:szCs w:val="19"/>
          <w:color w:val="auto"/>
        </w:rPr>
        <w:t>If as a result of any event or circumstance similar to those described in clause (a) or (b) of this Section, any Affected Party is required to compensate a bank or other financial institution providing liquidity support, credit enhancement or other similar support to such Affected Party in connection with this Agreement or the funding or maintenance of the Capital, then within ten days after demand by such Affected Party, the Borrower shall pay to such Affected Party such additional amount or amounts as may be necessary to reimburse such Affected Party for any amounts payable or paid by it.</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determining any amount provided for in this Section, the Affected Party may use any reasonable averaging and attribution methods. Any Affected Party making a claim under this Section shall submit to the Servicer a written description as to such additional or increased cost or reduction and the calculation thereof, which written description shall be conclusive absent demonstrable error.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7"/>
          <w:szCs w:val="17"/>
          <w:u w:val="single" w:color="auto"/>
          <w:color w:val="auto"/>
        </w:rPr>
        <w:t>Taxes</w:t>
      </w:r>
      <w:r>
        <w:rPr>
          <w:rFonts w:ascii="Arial" w:cs="Arial" w:eastAsia="Arial" w:hAnsi="Arial"/>
          <w:sz w:val="17"/>
          <w:szCs w:val="17"/>
          <w:color w:val="auto"/>
        </w:rPr>
        <w:t>.</w:t>
      </w:r>
    </w:p>
    <w:p>
      <w:pPr>
        <w:spacing w:after="0" w:line="220" w:lineRule="exact"/>
        <w:rPr>
          <w:sz w:val="20"/>
          <w:szCs w:val="20"/>
          <w:color w:val="auto"/>
        </w:rPr>
      </w:pPr>
    </w:p>
    <w:p>
      <w:pPr>
        <w:jc w:val="both"/>
        <w:ind w:right="20" w:firstLine="1304"/>
        <w:spacing w:after="0" w:line="271" w:lineRule="auto"/>
        <w:tabs>
          <w:tab w:leader="none" w:pos="1941" w:val="left"/>
        </w:tabs>
        <w:numPr>
          <w:ilvl w:val="0"/>
          <w:numId w:val="41"/>
        </w:numPr>
        <w:rPr>
          <w:rFonts w:ascii="Arial" w:cs="Arial" w:eastAsia="Arial" w:hAnsi="Arial"/>
          <w:sz w:val="21"/>
          <w:szCs w:val="21"/>
          <w:color w:val="auto"/>
        </w:rPr>
      </w:pPr>
      <w:r>
        <w:rPr>
          <w:rFonts w:ascii="Arial" w:cs="Arial" w:eastAsia="Arial" w:hAnsi="Arial"/>
          <w:sz w:val="21"/>
          <w:szCs w:val="21"/>
          <w:color w:val="auto"/>
        </w:rPr>
        <w:t>All payments made by an Obligor in respect of each Loan and each Contract and all payments made by or on account of any obligation of the Borrower or the Servicer under this Agreement will be made free and clear of and without deduction or withholding for or on account of any Taxes, except as required by Applicable Law.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48" w:name="page49"/>
    <w:bookmarkEnd w:id="48"/>
    <w:p>
      <w:pPr>
        <w:jc w:val="both"/>
        <w:spacing w:after="0" w:line="290" w:lineRule="auto"/>
        <w:rPr>
          <w:sz w:val="20"/>
          <w:szCs w:val="20"/>
          <w:color w:val="auto"/>
        </w:rPr>
      </w:pPr>
      <w:r>
        <w:rPr>
          <w:rFonts w:ascii="Arial" w:cs="Arial" w:eastAsia="Arial" w:hAnsi="Arial"/>
          <w:sz w:val="19"/>
          <w:szCs w:val="19"/>
          <w:color w:val="auto"/>
        </w:rPr>
        <w:t>Applicable Law (as determined in the good faith discretion of the applicable withholding agent) requires any Taxes to be deducted or withheld from any amounts payable to any Secured Party, then the amount payable to such Person will be increased (such increase, the “</w:t>
      </w:r>
      <w:r>
        <w:rPr>
          <w:rFonts w:ascii="Arial" w:cs="Arial" w:eastAsia="Arial" w:hAnsi="Arial"/>
          <w:sz w:val="19"/>
          <w:szCs w:val="19"/>
          <w:u w:val="single" w:color="auto"/>
          <w:color w:val="auto"/>
        </w:rPr>
        <w:t>Additional Amount</w:t>
      </w:r>
      <w:r>
        <w:rPr>
          <w:rFonts w:ascii="Arial" w:cs="Arial" w:eastAsia="Arial" w:hAnsi="Arial"/>
          <w:sz w:val="19"/>
          <w:szCs w:val="19"/>
          <w:color w:val="auto"/>
        </w:rPr>
        <w:t>”) such that every net payment made under this Agreement after deducting or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net income or franchise taxes imposed on a Lender with respect to payments required to be made by the Borrower or the Servicer under this Agreement by a taxing jurisdiction in which such Lender is organized, conducts business or is paying taxes as of the Closing Date (as the case may be).</w:t>
      </w:r>
    </w:p>
    <w:p>
      <w:pPr>
        <w:spacing w:after="0" w:line="156" w:lineRule="exact"/>
        <w:rPr>
          <w:sz w:val="20"/>
          <w:szCs w:val="20"/>
          <w:color w:val="auto"/>
        </w:rPr>
      </w:pPr>
    </w:p>
    <w:p>
      <w:pPr>
        <w:jc w:val="both"/>
        <w:ind w:firstLine="1304"/>
        <w:spacing w:after="0" w:line="248" w:lineRule="auto"/>
        <w:tabs>
          <w:tab w:leader="none" w:pos="1939"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Borrower will indemnify each Affected Party for the full amount of Taxes payable by such Person in respect of Additional Amounts and any liability (including penalties, interest and expenses) arising therefrom or with respect thereto, whether or not such Taxes were correctly or legally imposed or asserted by the relevant Governmental Authority. All payments in respect of this indemnification shall be made within ten days from the date a written invoice, which shall be conclusive absent manifest error, therefor is delivered to the Borrower.</w:t>
      </w:r>
    </w:p>
    <w:p>
      <w:pPr>
        <w:spacing w:after="0" w:line="191" w:lineRule="exact"/>
        <w:rPr>
          <w:rFonts w:ascii="Arial" w:cs="Arial" w:eastAsia="Arial" w:hAnsi="Arial"/>
          <w:sz w:val="22"/>
          <w:szCs w:val="22"/>
          <w:color w:val="auto"/>
        </w:rPr>
      </w:pPr>
    </w:p>
    <w:p>
      <w:pPr>
        <w:jc w:val="both"/>
        <w:ind w:firstLine="1304"/>
        <w:spacing w:after="0" w:line="290" w:lineRule="auto"/>
        <w:tabs>
          <w:tab w:leader="none" w:pos="1941"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Each Lender shall indemnify the Deal Agent, within 10 days after demand therefor, for (i) any Taxes in respect of Additional Amounts attributable to such Lender (but only to the extent that the Borrower has not already indemnified the Deal Agent for such Taxes and without limiting the obligation of the Borrower to do so) and (ii) any Taxes referred to in the last sentence of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attributable to such Lender, in each case, that are payable or paid by the Deal Agent in connection with this Agreement, and any reasonable and documented expenses arising therefrom or with respect thereto, whether or not such Taxes were correctly or legally imposed or asserted by the relevant Governmental Authority. Each Lender hereby authorizes the Deal Agent to set off and apply any and all amounts at any time owing to such Lender under this Agreement or otherwise payable by the Deal Agent to the Lender from any other source against any amount due to the Deal Agent under this </w:t>
      </w:r>
      <w:r>
        <w:rPr>
          <w:rFonts w:ascii="Arial" w:cs="Arial" w:eastAsia="Arial" w:hAnsi="Arial"/>
          <w:sz w:val="19"/>
          <w:szCs w:val="19"/>
          <w:u w:val="single" w:color="auto"/>
          <w:color w:val="auto"/>
        </w:rPr>
        <w:t>Section 2.14(c)</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As soon as practicable after any payment of Taxes by the Borrower to a Governmental Authority pursuant to this </w:t>
      </w:r>
      <w:r>
        <w:rPr>
          <w:rFonts w:ascii="Arial" w:cs="Arial" w:eastAsia="Arial" w:hAnsi="Arial"/>
          <w:sz w:val="22"/>
          <w:szCs w:val="22"/>
          <w:u w:val="single" w:color="auto"/>
          <w:color w:val="auto"/>
        </w:rPr>
        <w:t>Section 2.14</w:t>
      </w:r>
      <w:r>
        <w:rPr>
          <w:rFonts w:ascii="Arial" w:cs="Arial" w:eastAsia="Arial" w:hAnsi="Arial"/>
          <w:sz w:val="22"/>
          <w:szCs w:val="22"/>
          <w:color w:val="auto"/>
        </w:rPr>
        <w:t>, the Borrower shall deliver to the Deal Agent the original or a certified copy of a receipt issued by such Governmental Authority evidencing such payment, a copy of the return reporting such payment or other evidence of such payment reasonably satisfactory to the Deal Agent.</w:t>
      </w:r>
    </w:p>
    <w:p>
      <w:pPr>
        <w:spacing w:after="0" w:line="187" w:lineRule="exact"/>
        <w:rPr>
          <w:rFonts w:ascii="Arial" w:cs="Arial" w:eastAsia="Arial" w:hAnsi="Arial"/>
          <w:sz w:val="22"/>
          <w:szCs w:val="22"/>
          <w:color w:val="auto"/>
        </w:rPr>
      </w:pPr>
    </w:p>
    <w:p>
      <w:pPr>
        <w:ind w:right="20" w:firstLine="1304"/>
        <w:spacing w:after="0" w:line="263" w:lineRule="auto"/>
        <w:tabs>
          <w:tab w:leader="none" w:pos="1941"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Borrower will notify each Lender on an annual basis of any payments by the Borrower in respect of any Taxes, not including those Taxes paid by Credit Acceptance on a consolidated basis.</w:t>
      </w:r>
    </w:p>
    <w:p>
      <w:pPr>
        <w:spacing w:after="0" w:line="174" w:lineRule="exact"/>
        <w:rPr>
          <w:rFonts w:ascii="Arial" w:cs="Arial" w:eastAsia="Arial" w:hAnsi="Arial"/>
          <w:sz w:val="22"/>
          <w:szCs w:val="22"/>
          <w:color w:val="auto"/>
        </w:rPr>
      </w:pPr>
    </w:p>
    <w:p>
      <w:pPr>
        <w:jc w:val="both"/>
        <w:ind w:firstLine="1304"/>
        <w:spacing w:after="0" w:line="312" w:lineRule="auto"/>
        <w:tabs>
          <w:tab w:leader="none" w:pos="1944" w:val="left"/>
        </w:tabs>
        <w:numPr>
          <w:ilvl w:val="0"/>
          <w:numId w:val="42"/>
        </w:numPr>
        <w:rPr>
          <w:rFonts w:ascii="Arial" w:cs="Arial" w:eastAsia="Arial" w:hAnsi="Arial"/>
          <w:sz w:val="19"/>
          <w:szCs w:val="19"/>
          <w:color w:val="auto"/>
        </w:rPr>
      </w:pPr>
      <w:r>
        <w:rPr>
          <w:rFonts w:ascii="Arial" w:cs="Arial" w:eastAsia="Arial" w:hAnsi="Arial"/>
          <w:sz w:val="19"/>
          <w:szCs w:val="19"/>
          <w:color w:val="auto"/>
        </w:rPr>
        <w:t>If a Lender is created or organized under the laws of the United States or a political subdivision thereof, such Lender shall deliver to the Borrower, with a copy to the Deal Agent on or prior to the date on which such Lender becomes a Lender hereunder, two (or such other number as may from time to time be prescribed by Applicable Law) duly completed copies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of IRS Form W-9 certifying that such Lender is exempt from U.S. federal backup withholding tax.</w:t>
      </w:r>
    </w:p>
    <w:p>
      <w:pPr>
        <w:spacing w:after="0" w:line="220" w:lineRule="exact"/>
        <w:rPr>
          <w:sz w:val="20"/>
          <w:szCs w:val="20"/>
          <w:color w:val="auto"/>
        </w:rPr>
      </w:pPr>
    </w:p>
    <w:p>
      <w:pPr>
        <w:jc w:val="both"/>
        <w:ind w:firstLine="1304"/>
        <w:spacing w:after="0" w:line="257" w:lineRule="auto"/>
        <w:tabs>
          <w:tab w:leader="none" w:pos="1939"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If a Lender is not created or organized under the laws of the United States or a political subdivision thereof, such Lender shall deliver to the Borrower, with a copy to the Deal Agent, (i) on or prior to the date hereof, or, if such Lender becomes a Lender after the Closing Date, the date on which such Lender becomes a Lender hereunder, two (or such other number as may from time to time be prescribed by Applicable Laws) duly completed copies of IRS Form W-8BEN-E, Form W-8BEN, Form W-8ECI or Form W-8IMY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(or at a reduced rate of) deduction or withholding of United States federal income or similar Taxes and (ii) upon the obsolescence of or after the occurrence of any event requiring a change in, any form or certificate previously delivered pursuant to this </w:t>
      </w:r>
      <w:r>
        <w:rPr>
          <w:rFonts w:ascii="Arial" w:cs="Arial" w:eastAsia="Arial" w:hAnsi="Arial"/>
          <w:sz w:val="21"/>
          <w:szCs w:val="21"/>
          <w:u w:val="single" w:color="auto"/>
          <w:color w:val="auto"/>
        </w:rPr>
        <w:t>Section 2.14(g)</w:t>
      </w:r>
      <w:r>
        <w:rPr>
          <w:rFonts w:ascii="Arial" w:cs="Arial" w:eastAsia="Arial" w:hAnsi="Arial"/>
          <w:sz w:val="21"/>
          <w:szCs w:val="21"/>
          <w:color w:val="auto"/>
        </w:rPr>
        <w:t>, copies (in such numbers as may from time to time be prescribed by Applicable Laws or regulations) of such additional, amended or successor forms, certificates or statements as may be required under Applicable Laws or regulations to permit the Borrower to make payments hereunder for the account of such Lender, without (or at a reduced rate of) deduction or withholding of United States federal income or similar Taxes.</w:t>
      </w:r>
    </w:p>
    <w:p>
      <w:pPr>
        <w:spacing w:after="0" w:line="188" w:lineRule="exact"/>
        <w:rPr>
          <w:rFonts w:ascii="Arial" w:cs="Arial" w:eastAsia="Arial" w:hAnsi="Arial"/>
          <w:sz w:val="21"/>
          <w:szCs w:val="21"/>
          <w:color w:val="auto"/>
        </w:rPr>
      </w:pPr>
    </w:p>
    <w:p>
      <w:pPr>
        <w:jc w:val="both"/>
        <w:ind w:firstLine="1304"/>
        <w:spacing w:after="0" w:line="289" w:lineRule="auto"/>
        <w:tabs>
          <w:tab w:leader="none" w:pos="1939"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Deal Agent at the time or times prescribed by law and at such time or times reasonably requested by the Borrower and the Deal Agent such documentation prescribed by applicable law (including as prescribed by Section 1471(b)(3)(C)(i) of the Code) and such additional documentation reasonably requested by the Borrower or the Deal Agent as may be necessary for the Borrower and the Deal Agent to comply with their obligations under FATCA and to determine that such Lender has complied with such Lender's obligations under FATCA or to determine the amount to deduct and withhold from such payment. Solely for purposes of this clause (h), “FATCA” shall include any amendments made to FATCA after the date of this Agreement.</w:t>
      </w:r>
    </w:p>
    <w:p>
      <w:pPr>
        <w:spacing w:after="0" w:line="156" w:lineRule="exact"/>
        <w:rPr>
          <w:rFonts w:ascii="Arial" w:cs="Arial" w:eastAsia="Arial" w:hAnsi="Arial"/>
          <w:sz w:val="19"/>
          <w:szCs w:val="19"/>
          <w:color w:val="auto"/>
        </w:rPr>
      </w:pPr>
    </w:p>
    <w:p>
      <w:pPr>
        <w:jc w:val="both"/>
        <w:ind w:firstLine="1304"/>
        <w:spacing w:after="0" w:line="297" w:lineRule="auto"/>
        <w:tabs>
          <w:tab w:leader="none" w:pos="1932"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in connection with an agreement or other document providing liquidity support, credit enhancement or other similar support to the Lenders in connection with this Agreement or the funding or maintenance of the funding hereunder, the Lenders are required to compensate a bank or other financial institution in respect of Taxes under circumstances similar to those described in this Section then within 10 days after demand by the Lenders, the Borrower shall pay to the Lenders such additional amount or amounts as may be necessary to reimburse the Lenders for any amounts paid by them.</w:t>
      </w:r>
    </w:p>
    <w:p>
      <w:pPr>
        <w:spacing w:after="0" w:line="146" w:lineRule="exact"/>
        <w:rPr>
          <w:rFonts w:ascii="Arial" w:cs="Arial" w:eastAsia="Arial" w:hAnsi="Arial"/>
          <w:sz w:val="19"/>
          <w:szCs w:val="19"/>
          <w:color w:val="auto"/>
        </w:rPr>
      </w:pPr>
    </w:p>
    <w:p>
      <w:pPr>
        <w:ind w:firstLine="1304"/>
        <w:spacing w:after="0" w:line="287" w:lineRule="auto"/>
        <w:tabs>
          <w:tab w:leader="none" w:pos="1932" w:val="left"/>
        </w:tabs>
        <w:numPr>
          <w:ilvl w:val="0"/>
          <w:numId w:val="43"/>
        </w:numPr>
        <w:rPr>
          <w:rFonts w:ascii="Arial" w:cs="Arial" w:eastAsia="Arial" w:hAnsi="Arial"/>
          <w:sz w:val="21"/>
          <w:szCs w:val="21"/>
          <w:color w:val="auto"/>
        </w:rPr>
      </w:pPr>
      <w:r>
        <w:rPr>
          <w:rFonts w:ascii="Arial" w:cs="Arial" w:eastAsia="Arial" w:hAnsi="Arial"/>
          <w:sz w:val="21"/>
          <w:szCs w:val="21"/>
          <w:color w:val="auto"/>
        </w:rPr>
        <w:t>Without prejudice to the survival of any other agreement of the Borrower hereunder, the agreements and obligations of the Borrower contained in this section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0" w:name="page51"/>
    <w:bookmarkEnd w:id="50"/>
    <w:p>
      <w:pPr>
        <w:jc w:val="both"/>
        <w:ind w:firstLine="1304"/>
        <w:spacing w:after="0" w:line="257" w:lineRule="auto"/>
        <w:tabs>
          <w:tab w:leader="none" w:pos="1939" w:val="left"/>
        </w:tabs>
        <w:numPr>
          <w:ilvl w:val="0"/>
          <w:numId w:val="44"/>
        </w:numPr>
        <w:rPr>
          <w:rFonts w:ascii="Arial" w:cs="Arial" w:eastAsia="Arial" w:hAnsi="Arial"/>
          <w:sz w:val="21"/>
          <w:szCs w:val="21"/>
          <w:color w:val="auto"/>
        </w:rPr>
      </w:pPr>
      <w:r>
        <w:rPr>
          <w:rFonts w:ascii="Arial" w:cs="Arial" w:eastAsia="Arial" w:hAnsi="Arial"/>
          <w:sz w:val="21"/>
          <w:szCs w:val="21"/>
          <w:color w:val="auto"/>
        </w:rPr>
        <w:t xml:space="preserve">The Deal Agent and each Lender shall be required to deliver to the Collateral Agent and the Borrower prior to the first Payment Date and at any time or times required by applicable law, (i) a correct, complete and properly executed U.S. Internal Revenue Service Form W-9, W-8BEN, W-8BEN-E, W-8ECI, W-8IMY or W-8EXP (with appropriate attachments), as applicable and (ii) any documentation that is required under FATCA or is otherwise necessary (in the sole determination of the Borrower, the Collateral Agent, or other agent of the Borrower, as applicable) to enable the Borrower, the Collateral Agent and any other agent of the Borrower to determine their duties and liabilities with respect to any taxes they may be required to withhold pursuant to such Code sections. In addition, the Deal Agent, each Lender and any other party receiving a payment hereunder will be deemed to understand that the Collateral Agent has the right to withhold on amounts payable (without any corresponding gross-up unless otherwise required under this </w:t>
      </w:r>
      <w:r>
        <w:rPr>
          <w:rFonts w:ascii="Arial" w:cs="Arial" w:eastAsia="Arial" w:hAnsi="Arial"/>
          <w:sz w:val="21"/>
          <w:szCs w:val="21"/>
          <w:u w:val="single" w:color="auto"/>
          <w:color w:val="auto"/>
        </w:rPr>
        <w:t>Section 2.14</w:t>
      </w:r>
      <w:r>
        <w:rPr>
          <w:rFonts w:ascii="Arial" w:cs="Arial" w:eastAsia="Arial" w:hAnsi="Arial"/>
          <w:sz w:val="21"/>
          <w:szCs w:val="21"/>
          <w:color w:val="auto"/>
        </w:rPr>
        <w:t>), if required. The Borrower hereby covenants with the Collateral Agent that the Borrower will provide the Collateral Agent with sufficient information so as to enable the Collateral Agent to determine whether or not the Collateral Agent is obliged to make any withholding tax in respect of any payments (and if applicable, to provide the necessary detailed information to effectuate the withholding tax, such as setting forth applicable amounts to be withheld).</w:t>
      </w:r>
    </w:p>
    <w:p>
      <w:pPr>
        <w:spacing w:after="0" w:line="18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Assignment of the Contribution Agreement and Hedging Agreement</w:t>
      </w:r>
      <w:r>
        <w:rPr>
          <w:rFonts w:ascii="Arial" w:cs="Arial" w:eastAsia="Arial" w:hAnsi="Arial"/>
          <w:sz w:val="22"/>
          <w:szCs w:val="22"/>
          <w:color w:val="auto"/>
        </w:rPr>
        <w:t>. The Borrower hereby assigns to the Collateral Agent, for the ratable benefit of the Secured Parties hereunder, all of the Borrower's right, title and interest in and to, but none of its obligations under, the Contribution Agreement and the Hedging Agreement. The Borrower confirms that the Collateral Agent on behalf of the Secured Parties shall have the sole right to, at the written direction of the Deal Agent, enforce the Borrower's rights and remedies under the Contribution Agreement and the Hedging Agreement for the benefit of the Secured Parties.</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Optional Purchase</w:t>
      </w:r>
      <w:r>
        <w:rPr>
          <w:rFonts w:ascii="Arial" w:cs="Arial" w:eastAsia="Arial" w:hAnsi="Arial"/>
          <w:sz w:val="19"/>
          <w:szCs w:val="19"/>
          <w:color w:val="auto"/>
        </w:rPr>
        <w:t>. On and after the Commitment Termination Date, the Servicer shall have the option, upon no less than 10 days' prior written notice (or such lesser number of days reasonably acceptable to the Deal Agent) to the Borrower, the Collateral Agent, the Lenders and the Deal Agent, to reacquire the Dealer Loans, the Purchase Loans and the related Collateral in whole but not in part. To exercise such option, the Servicer shall deposit in the Collection Account an amount equal to: (x) the aggregate Purchase Amount for the Loans, plus (y) the fair market value of any other Collateral, plus (z) sufficient funds to pay interest on the outstanding Capital through the date of redemption after giving effect to the application of Available Funds on such date. Notwithstanding the foregoing, the Servicer shall not exercise such option unless the purchase price paid by the Servicer and other funds held by the Borrower are sufficient to pay all Aggregate Unpaids under the Transaction Documents. Upon such deposit the Servicer shall succeed to all interests in and to the Collateral.</w:t>
      </w:r>
    </w:p>
    <w:p>
      <w:pPr>
        <w:spacing w:after="0" w:line="15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21"/>
          <w:szCs w:val="21"/>
          <w:u w:val="single" w:color="auto"/>
          <w:color w:val="auto"/>
        </w:rPr>
        <w:t>LIBOR Inability</w:t>
      </w:r>
      <w:r>
        <w:rPr>
          <w:rFonts w:ascii="Arial" w:cs="Arial" w:eastAsia="Arial" w:hAnsi="Arial"/>
          <w:sz w:val="21"/>
          <w:szCs w:val="21"/>
          <w:color w:val="auto"/>
        </w:rPr>
        <w:t>.</w:t>
      </w:r>
    </w:p>
    <w:p>
      <w:pPr>
        <w:spacing w:after="0" w:line="220" w:lineRule="exact"/>
        <w:rPr>
          <w:sz w:val="20"/>
          <w:szCs w:val="20"/>
          <w:color w:val="auto"/>
        </w:rPr>
      </w:pPr>
    </w:p>
    <w:p>
      <w:pPr>
        <w:ind w:firstLine="1304"/>
        <w:spacing w:after="0" w:line="263" w:lineRule="auto"/>
        <w:tabs>
          <w:tab w:leader="none" w:pos="1941"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Temporary Inability</w:t>
      </w:r>
      <w:r>
        <w:rPr>
          <w:rFonts w:ascii="Arial" w:cs="Arial" w:eastAsia="Arial" w:hAnsi="Arial"/>
          <w:sz w:val="22"/>
          <w:szCs w:val="22"/>
          <w:color w:val="auto"/>
        </w:rPr>
        <w:t>: In the event, prior to commencement of any Accrual Period relating to Capital in respect of which Interest accrues at the Adjusted LIBOR Rate, the Deal Agent shall determine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1" w:name="page52"/>
    <w:bookmarkEnd w:id="51"/>
    <w:p>
      <w:pPr>
        <w:spacing w:after="0" w:line="204" w:lineRule="exact"/>
        <w:rPr>
          <w:sz w:val="20"/>
          <w:szCs w:val="20"/>
          <w:color w:val="auto"/>
        </w:rPr>
      </w:pPr>
    </w:p>
    <w:p>
      <w:pPr>
        <w:ind w:left="660" w:firstLine="872"/>
        <w:spacing w:after="0" w:line="263" w:lineRule="auto"/>
        <w:tabs>
          <w:tab w:leader="none" w:pos="1821"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deposits in U.S. Dollars (in the applicable amounts) are not being offered to it in the London Interbank Offered Rate market for such Accrual Period;</w:t>
      </w:r>
    </w:p>
    <w:p>
      <w:pPr>
        <w:spacing w:after="0" w:line="174" w:lineRule="exact"/>
        <w:rPr>
          <w:rFonts w:ascii="Arial" w:cs="Arial" w:eastAsia="Arial" w:hAnsi="Arial"/>
          <w:sz w:val="22"/>
          <w:szCs w:val="22"/>
          <w:color w:val="auto"/>
        </w:rPr>
      </w:pPr>
    </w:p>
    <w:p>
      <w:pPr>
        <w:ind w:left="660" w:firstLine="812"/>
        <w:spacing w:after="0" w:line="263" w:lineRule="auto"/>
        <w:tabs>
          <w:tab w:leader="none" w:pos="1808" w:val="left"/>
        </w:tabs>
        <w:numPr>
          <w:ilvl w:val="0"/>
          <w:numId w:val="46"/>
        </w:numPr>
        <w:rPr>
          <w:rFonts w:ascii="Arial" w:cs="Arial" w:eastAsia="Arial" w:hAnsi="Arial"/>
          <w:sz w:val="22"/>
          <w:szCs w:val="22"/>
          <w:color w:val="auto"/>
        </w:rPr>
      </w:pPr>
      <w:r>
        <w:rPr>
          <w:rFonts w:ascii="Arial" w:cs="Arial" w:eastAsia="Arial" w:hAnsi="Arial"/>
          <w:sz w:val="22"/>
          <w:szCs w:val="22"/>
          <w:color w:val="auto"/>
        </w:rPr>
        <w:t>by reason of circumstances affecting the London Interbank Offered Rate market, adequate and reasonable methods do not exist for ascertaining the LIBOR Rate;</w:t>
      </w:r>
    </w:p>
    <w:p>
      <w:pPr>
        <w:spacing w:after="0" w:line="174" w:lineRule="exact"/>
        <w:rPr>
          <w:rFonts w:ascii="Arial" w:cs="Arial" w:eastAsia="Arial" w:hAnsi="Arial"/>
          <w:sz w:val="22"/>
          <w:szCs w:val="22"/>
          <w:color w:val="auto"/>
        </w:rPr>
      </w:pPr>
    </w:p>
    <w:p>
      <w:pPr>
        <w:ind w:left="660" w:firstLine="752"/>
        <w:spacing w:after="0" w:line="343" w:lineRule="auto"/>
        <w:tabs>
          <w:tab w:leader="none" w:pos="179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LIBOR Rate as determined by the Deal Agent will not adequately and fairly reflect the cost to the Lender of funding Capital in respect of which Interest accrues at the Adjusted LIBOR Rate for such Accrual Period; or</w:t>
      </w:r>
    </w:p>
    <w:p>
      <w:pPr>
        <w:spacing w:after="0" w:line="104" w:lineRule="exact"/>
        <w:rPr>
          <w:rFonts w:ascii="Arial" w:cs="Arial" w:eastAsia="Arial" w:hAnsi="Arial"/>
          <w:sz w:val="19"/>
          <w:szCs w:val="19"/>
          <w:color w:val="auto"/>
        </w:rPr>
      </w:pPr>
    </w:p>
    <w:p>
      <w:pPr>
        <w:ind w:left="660" w:firstLine="764"/>
        <w:spacing w:after="0" w:line="263" w:lineRule="auto"/>
        <w:tabs>
          <w:tab w:leader="none" w:pos="17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making or funding of Capital in respect of which Interest accrues at the Adjusted LIBOR Rate becomes impracticable;</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then, the Deal Agent shall promptly provide notice of such determination to Borrower (which shall be conclusive and binding on Borrower), and (x) any request for Capital in respect of which Interest accrues at the Adjusted LIBOR Rate or for a conversion to or continuation of Capital in respect of which Interest accrues at the Adjusted LIBOR Rate shall be automatically withdrawn and shall be deemed a request for Capital in respect of which Interest accrues at the Base Rate, (y) Capital in respect of which Interest accrues at the Adjusted LIBOR Rate will automatically, on the last day of the then current Accrual Period relating thereto, become Capital in respect of which Interest accrues at the Base Rate, and (z) the obligations of Lender to provide Capital in respect of which Interest accrues at the Adjusted LIBOR Rate shall be suspended until the Deal Agent determines that the circumstances giving rise to such suspension no longer exist, in which event the Deal Agent shall so notify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to the extent applicable, the Deal Agent is taking substantially consistent action with respect to similarly situated counterparties with similar assets in similar facilities.</w:t>
      </w:r>
    </w:p>
    <w:p>
      <w:pPr>
        <w:spacing w:after="0" w:line="159" w:lineRule="exact"/>
        <w:rPr>
          <w:sz w:val="20"/>
          <w:szCs w:val="20"/>
          <w:color w:val="auto"/>
        </w:rPr>
      </w:pPr>
    </w:p>
    <w:p>
      <w:pPr>
        <w:ind w:left="1940" w:hanging="636"/>
        <w:spacing w:after="0"/>
        <w:tabs>
          <w:tab w:leader="none" w:pos="194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Permanent Inability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872"/>
        <w:spacing w:after="0" w:line="263" w:lineRule="auto"/>
        <w:tabs>
          <w:tab w:leader="none" w:pos="1807" w:val="left"/>
        </w:tabs>
        <w:numPr>
          <w:ilvl w:val="1"/>
          <w:numId w:val="47"/>
        </w:numPr>
        <w:rPr>
          <w:rFonts w:ascii="Arial" w:cs="Arial" w:eastAsia="Arial" w:hAnsi="Arial"/>
          <w:sz w:val="22"/>
          <w:szCs w:val="22"/>
          <w:color w:val="auto"/>
        </w:rPr>
      </w:pPr>
      <w:r>
        <w:rPr>
          <w:rFonts w:ascii="Arial" w:cs="Arial" w:eastAsia="Arial" w:hAnsi="Arial"/>
          <w:sz w:val="22"/>
          <w:szCs w:val="22"/>
          <w:color w:val="auto"/>
        </w:rPr>
        <w:t>In the event the Deal Agent shall determine (which determination shall be deemed presumptively correct absent manifest error) that:</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2"/>
          <w:numId w:val="47"/>
        </w:numPr>
        <w:rPr>
          <w:rFonts w:ascii="Arial" w:cs="Arial" w:eastAsia="Arial" w:hAnsi="Arial"/>
          <w:sz w:val="19"/>
          <w:szCs w:val="19"/>
          <w:color w:val="auto"/>
        </w:rPr>
      </w:pPr>
      <w:r>
        <w:rPr>
          <w:rFonts w:ascii="Arial" w:cs="Arial" w:eastAsia="Arial" w:hAnsi="Arial"/>
          <w:sz w:val="19"/>
          <w:szCs w:val="19"/>
          <w:color w:val="auto"/>
        </w:rPr>
        <w:t xml:space="preserve">the circumstances set forth in </w:t>
      </w:r>
      <w:r>
        <w:rPr>
          <w:rFonts w:ascii="Arial" w:cs="Arial" w:eastAsia="Arial" w:hAnsi="Arial"/>
          <w:sz w:val="19"/>
          <w:szCs w:val="19"/>
          <w:u w:val="single" w:color="auto"/>
          <w:color w:val="auto"/>
        </w:rPr>
        <w:t>Section 2.17(a)</w:t>
      </w:r>
      <w:r>
        <w:rPr>
          <w:rFonts w:ascii="Arial" w:cs="Arial" w:eastAsia="Arial" w:hAnsi="Arial"/>
          <w:sz w:val="19"/>
          <w:szCs w:val="19"/>
          <w:color w:val="auto"/>
        </w:rPr>
        <w:t xml:space="preserve"> have arisen and such circumstances are unlikely to be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temporary;</w:t>
      </w:r>
    </w:p>
    <w:p>
      <w:pPr>
        <w:spacing w:after="0" w:line="201" w:lineRule="exact"/>
        <w:rPr>
          <w:rFonts w:ascii="Arial" w:cs="Arial" w:eastAsia="Arial" w:hAnsi="Arial"/>
          <w:sz w:val="19"/>
          <w:szCs w:val="19"/>
          <w:color w:val="auto"/>
        </w:rPr>
      </w:pPr>
    </w:p>
    <w:p>
      <w:pPr>
        <w:jc w:val="both"/>
        <w:ind w:left="660" w:firstLine="1292"/>
        <w:spacing w:after="0" w:line="245" w:lineRule="auto"/>
        <w:tabs>
          <w:tab w:leader="none" w:pos="2595" w:val="left"/>
        </w:tabs>
        <w:numPr>
          <w:ilvl w:val="2"/>
          <w:numId w:val="47"/>
        </w:numPr>
        <w:rPr>
          <w:rFonts w:ascii="Arial" w:cs="Arial" w:eastAsia="Arial" w:hAnsi="Arial"/>
          <w:sz w:val="22"/>
          <w:szCs w:val="22"/>
          <w:color w:val="auto"/>
        </w:rPr>
      </w:pPr>
      <w:r>
        <w:rPr>
          <w:rFonts w:ascii="Arial" w:cs="Arial" w:eastAsia="Arial" w:hAnsi="Arial"/>
          <w:sz w:val="22"/>
          <w:szCs w:val="22"/>
          <w:color w:val="auto"/>
        </w:rPr>
        <w:t>a public statement or publication of information has been made (1) by or on behalf of the administrator of the London Interbank Offered Rate (“</w:t>
      </w:r>
      <w:r>
        <w:rPr>
          <w:rFonts w:ascii="Arial" w:cs="Arial" w:eastAsia="Arial" w:hAnsi="Arial"/>
          <w:sz w:val="22"/>
          <w:szCs w:val="22"/>
          <w:u w:val="single" w:color="auto"/>
          <w:color w:val="auto"/>
        </w:rPr>
        <w:t>LIBOR</w:t>
      </w:r>
      <w:r>
        <w:rPr>
          <w:rFonts w:ascii="Arial" w:cs="Arial" w:eastAsia="Arial" w:hAnsi="Arial"/>
          <w:sz w:val="22"/>
          <w:szCs w:val="22"/>
          <w:color w:val="auto"/>
        </w:rPr>
        <w:t xml:space="preserve">”); or by the regulatory supervisor for the administrator of LIBOR, the U.S. Federal Reserve System, an insolvency official with jurisdiction over the administrator for LIBOR, a resolution authority with jurisdiction over the administrator for LIBOR or a court or an entity with similar insolvency or resolution authority over the administrator for LIBOR, stating that such administrator has ceased or will cease to provide LIBOR,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the statement or publication, there is no successor administrator that will continue to provide LIBOR, (2) by the administrator of LIBOR that it has invoked or will invoke, permanently or indefinitely, its insufficient submissions policy, or (3) by the regulatory supervisor for the administrator of LIBOR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52" w:name="page53"/>
    <w:bookmarkEnd w:id="52"/>
    <w:p>
      <w:pPr>
        <w:ind w:left="660"/>
        <w:spacing w:after="0" w:line="263" w:lineRule="auto"/>
        <w:rPr>
          <w:sz w:val="20"/>
          <w:szCs w:val="20"/>
          <w:color w:val="auto"/>
        </w:rPr>
      </w:pPr>
      <w:r>
        <w:rPr>
          <w:rFonts w:ascii="Arial" w:cs="Arial" w:eastAsia="Arial" w:hAnsi="Arial"/>
          <w:sz w:val="22"/>
          <w:szCs w:val="22"/>
          <w:color w:val="auto"/>
        </w:rPr>
        <w:t>any Governmental Authority having jurisdiction over the Deal Agent or the Lender announcing that LIBOR is no longer representative or may no longer be used;</w:t>
      </w:r>
    </w:p>
    <w:p>
      <w:pPr>
        <w:spacing w:after="0" w:line="175" w:lineRule="exact"/>
        <w:rPr>
          <w:sz w:val="20"/>
          <w:szCs w:val="20"/>
          <w:color w:val="auto"/>
        </w:rPr>
      </w:pPr>
    </w:p>
    <w:p>
      <w:pPr>
        <w:jc w:val="both"/>
        <w:ind w:left="660" w:firstLine="1292"/>
        <w:spacing w:after="0" w:line="253" w:lineRule="auto"/>
        <w:tabs>
          <w:tab w:leader="none" w:pos="2595" w:val="left"/>
        </w:tabs>
        <w:numPr>
          <w:ilvl w:val="0"/>
          <w:numId w:val="48"/>
        </w:numPr>
        <w:rPr>
          <w:rFonts w:ascii="Arial" w:cs="Arial" w:eastAsia="Arial" w:hAnsi="Arial"/>
          <w:sz w:val="22"/>
          <w:szCs w:val="22"/>
          <w:color w:val="auto"/>
        </w:rPr>
      </w:pPr>
      <w:r>
        <w:rPr>
          <w:rFonts w:ascii="Arial" w:cs="Arial" w:eastAsia="Arial" w:hAnsi="Arial"/>
          <w:sz w:val="22"/>
          <w:szCs w:val="22"/>
          <w:color w:val="auto"/>
        </w:rPr>
        <w:t>LIBOR is not published by the administrator of LIBOR for five consecutive Business Days and such failure is not the result of a temporary moratorium, embargo or disruption declared by the administrator of LIBOR or by the regulatory supervisor for the administrator of LIBOR; or</w:t>
      </w:r>
    </w:p>
    <w:p>
      <w:pPr>
        <w:spacing w:after="0" w:line="185" w:lineRule="exact"/>
        <w:rPr>
          <w:rFonts w:ascii="Arial" w:cs="Arial" w:eastAsia="Arial" w:hAnsi="Arial"/>
          <w:sz w:val="22"/>
          <w:szCs w:val="22"/>
          <w:color w:val="auto"/>
        </w:rPr>
      </w:pPr>
    </w:p>
    <w:p>
      <w:pPr>
        <w:ind w:left="660" w:right="20" w:firstLine="1292"/>
        <w:spacing w:after="0" w:line="263" w:lineRule="auto"/>
        <w:tabs>
          <w:tab w:leader="none" w:pos="2593"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new index rate has become a widely-recognized replacement benchmark rate for LIBOR in newly originated or amended loans denominated in U.S. Dollars in the U.S. market;</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then the Deal Agent may in its sole discretion, amend this Agreement as described below to replace LIBOR with an alternative replacement index and to modify the applicable margins (the new index and margin together, the “</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in each case, (x) giving due consideration to any evolving or then existing convention for similar US dollar denominated credit facilities and any selection, endorsement or recommendation made by a relevant governmental body with respect to such facilities and (y) resulting in the Deal Agent having taken action hereunder that is, to the extent applicable and administratively feasible, substantially consistent with action taken with respect to similarly situated counterparties with similar assets in similar facilities. The Deal Agent may also from time to time, in the Deal Agent's sole discretion, make other related amendments (“</w:t>
      </w:r>
      <w:r>
        <w:rPr>
          <w:rFonts w:ascii="Arial" w:cs="Arial" w:eastAsia="Arial" w:hAnsi="Arial"/>
          <w:sz w:val="19"/>
          <w:szCs w:val="19"/>
          <w:u w:val="single" w:color="auto"/>
          <w:color w:val="auto"/>
        </w:rPr>
        <w:t>Conforming Changes</w:t>
      </w:r>
      <w:r>
        <w:rPr>
          <w:rFonts w:ascii="Arial" w:cs="Arial" w:eastAsia="Arial" w:hAnsi="Arial"/>
          <w:sz w:val="19"/>
          <w:szCs w:val="19"/>
          <w:color w:val="auto"/>
        </w:rPr>
        <w:t>”), including but not limited to increasing or decreasing the “floor” applicable to the replacement index and/or Benchmark Replacement, to permit the administration thereof by the Deal Agent in an administratively and operationally practicable manner and in a manner substantially consistent with market practice with respect to similarly situated counterparties with similar assets in similar facilities.</w:t>
      </w:r>
    </w:p>
    <w:p>
      <w:pPr>
        <w:spacing w:after="0" w:line="200" w:lineRule="exact"/>
        <w:rPr>
          <w:sz w:val="20"/>
          <w:szCs w:val="20"/>
          <w:color w:val="auto"/>
        </w:rPr>
      </w:pPr>
    </w:p>
    <w:p>
      <w:pPr>
        <w:spacing w:after="0" w:line="216" w:lineRule="exact"/>
        <w:rPr>
          <w:sz w:val="20"/>
          <w:szCs w:val="20"/>
          <w:color w:val="auto"/>
        </w:rPr>
      </w:pPr>
    </w:p>
    <w:p>
      <w:pPr>
        <w:jc w:val="both"/>
        <w:ind w:left="660" w:firstLine="812"/>
        <w:spacing w:after="0" w:line="302" w:lineRule="auto"/>
        <w:tabs>
          <w:tab w:leader="none" w:pos="1835"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The Deal Agent shall provide notice to Borrower of an amendment of this Agreement to reflect the Benchmark Replacement and Conforming Changes. Notwithstanding anything to the contrary in this Agreement or the other Transaction Documents (including, without limitation, this </w:t>
      </w:r>
      <w:r>
        <w:rPr>
          <w:rFonts w:ascii="Arial" w:cs="Arial" w:eastAsia="Arial" w:hAnsi="Arial"/>
          <w:sz w:val="19"/>
          <w:szCs w:val="19"/>
          <w:u w:val="single" w:color="auto"/>
          <w:color w:val="auto"/>
        </w:rPr>
        <w:t>Section 2.17</w:t>
      </w:r>
      <w:r>
        <w:rPr>
          <w:rFonts w:ascii="Arial" w:cs="Arial" w:eastAsia="Arial" w:hAnsi="Arial"/>
          <w:sz w:val="19"/>
          <w:szCs w:val="19"/>
          <w:color w:val="auto"/>
        </w:rPr>
        <w:t>), such amendment shall become effective without any further action or consent of any other party to this Agreement upon delivery of notice to Borrower.</w:t>
      </w:r>
    </w:p>
    <w:p>
      <w:pPr>
        <w:spacing w:after="0" w:line="142" w:lineRule="exact"/>
        <w:rPr>
          <w:rFonts w:ascii="Arial" w:cs="Arial" w:eastAsia="Arial" w:hAnsi="Arial"/>
          <w:sz w:val="19"/>
          <w:szCs w:val="19"/>
          <w:color w:val="auto"/>
        </w:rPr>
      </w:pPr>
    </w:p>
    <w:p>
      <w:pPr>
        <w:jc w:val="both"/>
        <w:ind w:left="660" w:firstLine="752"/>
        <w:spacing w:after="0" w:line="312" w:lineRule="auto"/>
        <w:tabs>
          <w:tab w:leader="none" w:pos="1821" w:val="left"/>
        </w:tabs>
        <w:numPr>
          <w:ilvl w:val="0"/>
          <w:numId w:val="49"/>
        </w:numPr>
        <w:rPr>
          <w:rFonts w:ascii="Arial" w:cs="Arial" w:eastAsia="Arial" w:hAnsi="Arial"/>
          <w:sz w:val="19"/>
          <w:szCs w:val="19"/>
          <w:color w:val="auto"/>
        </w:rPr>
      </w:pPr>
      <w:r>
        <w:rPr>
          <w:rFonts w:ascii="Arial" w:cs="Arial" w:eastAsia="Arial" w:hAnsi="Arial"/>
          <w:sz w:val="19"/>
          <w:szCs w:val="19"/>
          <w:color w:val="auto"/>
        </w:rPr>
        <w:t>For the avoidance of doubt, following the date when a determination is made pursuant to clause (b)(i), above, and until a Benchmark Replacement has been selected and implemented in accordance with the terms and conditions of clause (b)(i) and (ii), at the Deal Agent's election, all Loans shall accrue Interest at the Base Rate.</w:t>
      </w:r>
    </w:p>
    <w:p>
      <w:pPr>
        <w:spacing w:after="0" w:line="133" w:lineRule="exact"/>
        <w:rPr>
          <w:rFonts w:ascii="Arial" w:cs="Arial" w:eastAsia="Arial" w:hAnsi="Arial"/>
          <w:sz w:val="19"/>
          <w:szCs w:val="19"/>
          <w:color w:val="auto"/>
        </w:rPr>
      </w:pPr>
    </w:p>
    <w:p>
      <w:pPr>
        <w:jc w:val="both"/>
        <w:ind w:left="660" w:firstLine="764"/>
        <w:spacing w:after="0" w:line="250" w:lineRule="auto"/>
        <w:tabs>
          <w:tab w:leader="none" w:pos="1821"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Subject to any Conforming Changes, if at any time the replacement index is less than zero, then at such times, such index shall be deemed to be zero for purposes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even if the replacement index is greater than zero, if due to a negative margin the Benchmark Replacement would be zero, the Benchmark Replacement shall be deemed to be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3" w:name="page54"/>
    <w:bookmarkEnd w:id="53"/>
    <w:p>
      <w:pPr>
        <w:jc w:val="both"/>
        <w:ind w:firstLine="1304"/>
        <w:spacing w:after="0" w:line="250" w:lineRule="auto"/>
        <w:tabs>
          <w:tab w:leader="none" w:pos="1941"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 the event that circumstances similar to those set out in clause (b)(i)(A)–(D) occur in relation to an index selected to replace LIBOR (or another index previously selected pursuant to this provision) or if the Deal Agent determines a replacement index is administratively or operationally impracticable, the terms governing replacement of LIBOR set forth in clauses (ii) and (iii) shall govern replacement of the replacement index.</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THE CLOSING</w:t>
      </w:r>
    </w:p>
    <w:p>
      <w:pPr>
        <w:spacing w:after="0" w:line="21"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Conditions to Effectiveness of this Loan and Security Agreement</w:t>
      </w:r>
      <w:r>
        <w:rPr>
          <w:rFonts w:ascii="Arial" w:cs="Arial" w:eastAsia="Arial" w:hAnsi="Arial"/>
          <w:sz w:val="22"/>
          <w:szCs w:val="22"/>
          <w:color w:val="auto"/>
        </w:rPr>
        <w:t>. This Loan and Security Agreement shall not become effective until:</w:t>
      </w:r>
    </w:p>
    <w:p>
      <w:pPr>
        <w:spacing w:after="0" w:line="192" w:lineRule="exact"/>
        <w:rPr>
          <w:sz w:val="20"/>
          <w:szCs w:val="20"/>
          <w:color w:val="auto"/>
        </w:rPr>
      </w:pPr>
    </w:p>
    <w:p>
      <w:pPr>
        <w:jc w:val="both"/>
        <w:ind w:firstLine="1304"/>
        <w:spacing w:after="0" w:line="253" w:lineRule="auto"/>
        <w:tabs>
          <w:tab w:leader="none" w:pos="19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Each document specified in the Schedule of Condition Precedent Documents attached hereto as </w:t>
      </w:r>
      <w:r>
        <w:rPr>
          <w:rFonts w:ascii="Arial" w:cs="Arial" w:eastAsia="Arial" w:hAnsi="Arial"/>
          <w:sz w:val="22"/>
          <w:szCs w:val="22"/>
          <w:u w:val="single" w:color="auto"/>
          <w:color w:val="auto"/>
        </w:rPr>
        <w:t>Schedule X</w:t>
      </w:r>
      <w:r>
        <w:rPr>
          <w:rFonts w:ascii="Arial" w:cs="Arial" w:eastAsia="Arial" w:hAnsi="Arial"/>
          <w:sz w:val="22"/>
          <w:szCs w:val="22"/>
          <w:color w:val="auto"/>
        </w:rPr>
        <w:t xml:space="preserve"> has been duly executed by, and delivered to, the parties hereto and thereto and the Deal Agent has received all such executed documents.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Borrower shall have paid all fees or other amounts required to be paid by it on the Closing Date.</w:t>
      </w:r>
    </w:p>
    <w:p>
      <w:pPr>
        <w:spacing w:after="0" w:line="254" w:lineRule="exact"/>
        <w:rPr>
          <w:rFonts w:ascii="Arial" w:cs="Arial" w:eastAsia="Arial" w:hAnsi="Arial"/>
          <w:sz w:val="19"/>
          <w:szCs w:val="19"/>
          <w:color w:val="auto"/>
        </w:rPr>
      </w:pPr>
    </w:p>
    <w:p>
      <w:pPr>
        <w:ind w:firstLine="1304"/>
        <w:spacing w:after="0" w:line="263" w:lineRule="auto"/>
        <w:tabs>
          <w:tab w:leader="none" w:pos="19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Deal Agent and Lenders have received such other approvals, opinions or documents as the Deal Agent or its counsel may reasonably require.</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Borrower shall have deposited to the Reserve Account an amount equal to 2.0% of the aggregate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Initial Loan Amount.</w:t>
      </w:r>
    </w:p>
    <w:p>
      <w:pPr>
        <w:spacing w:after="0" w:line="201" w:lineRule="exact"/>
        <w:rPr>
          <w:rFonts w:ascii="Arial" w:cs="Arial" w:eastAsia="Arial" w:hAnsi="Arial"/>
          <w:sz w:val="19"/>
          <w:szCs w:val="19"/>
          <w:color w:val="auto"/>
        </w:rPr>
      </w:pPr>
    </w:p>
    <w:p>
      <w:pPr>
        <w:ind w:right="20" w:firstLine="1304"/>
        <w:spacing w:after="0" w:line="263" w:lineRule="auto"/>
        <w:tabs>
          <w:tab w:leader="none" w:pos="19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Borrower shall have deposited into the Collection Account an amount equal to all Collections received on or in respect of the Contracts since the Cut-Off Date.</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Eligible Hedging Agreement shall be in effect.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Conditions Precedent to the Pledge of Additional Loans</w:t>
      </w:r>
      <w:r>
        <w:rPr>
          <w:rFonts w:ascii="Arial" w:cs="Arial" w:eastAsia="Arial" w:hAnsi="Arial"/>
          <w:sz w:val="22"/>
          <w:szCs w:val="22"/>
          <w:color w:val="auto"/>
        </w:rPr>
        <w:t>. Each pledge of Additional Loans shall be subject to the further conditions precedent:</w:t>
      </w:r>
    </w:p>
    <w:p>
      <w:pPr>
        <w:spacing w:after="0" w:line="175" w:lineRule="exact"/>
        <w:rPr>
          <w:sz w:val="20"/>
          <w:szCs w:val="20"/>
          <w:color w:val="auto"/>
        </w:rPr>
      </w:pPr>
    </w:p>
    <w:p>
      <w:pPr>
        <w:jc w:val="both"/>
        <w:ind w:firstLine="1304"/>
        <w:spacing w:after="0" w:line="302" w:lineRule="auto"/>
        <w:tabs>
          <w:tab w:leader="none" w:pos="1941" w:val="left"/>
        </w:tabs>
        <w:numPr>
          <w:ilvl w:val="0"/>
          <w:numId w:val="52"/>
        </w:numPr>
        <w:rPr>
          <w:rFonts w:ascii="Arial" w:cs="Arial" w:eastAsia="Arial" w:hAnsi="Arial"/>
          <w:sz w:val="19"/>
          <w:szCs w:val="19"/>
          <w:color w:val="auto"/>
        </w:rPr>
      </w:pPr>
      <w:r>
        <w:rPr>
          <w:rFonts w:ascii="Arial" w:cs="Arial" w:eastAsia="Arial" w:hAnsi="Arial"/>
          <w:sz w:val="19"/>
          <w:szCs w:val="19"/>
          <w:color w:val="auto"/>
        </w:rPr>
        <w:t>With respect to any such pledge, the Borrower shall have delivered to the Deal Agent and the Lenders, on or prior to the date of such pledge in form and substance satisfactory to the Deal Agent, Exhibit A to the Contribution Agreement, including the Schedule of Loans and Contracts attached thereto, dated within two (2) Business Days prior to the date of such pledge and containing such additional information as may be reasonably requested by the Deal Agent or any Lender.</w:t>
      </w:r>
    </w:p>
    <w:p>
      <w:pPr>
        <w:spacing w:after="0" w:line="142" w:lineRule="exact"/>
        <w:rPr>
          <w:rFonts w:ascii="Arial" w:cs="Arial" w:eastAsia="Arial" w:hAnsi="Arial"/>
          <w:sz w:val="19"/>
          <w:szCs w:val="19"/>
          <w:color w:val="auto"/>
        </w:rPr>
      </w:pPr>
    </w:p>
    <w:p>
      <w:pPr>
        <w:ind w:firstLine="1304"/>
        <w:spacing w:after="0" w:line="263" w:lineRule="auto"/>
        <w:tabs>
          <w:tab w:leader="none" w:pos="1939" w:val="left"/>
        </w:tabs>
        <w:numPr>
          <w:ilvl w:val="0"/>
          <w:numId w:val="52"/>
        </w:numPr>
        <w:rPr>
          <w:rFonts w:ascii="Arial" w:cs="Arial" w:eastAsia="Arial" w:hAnsi="Arial"/>
          <w:sz w:val="22"/>
          <w:szCs w:val="22"/>
          <w:color w:val="auto"/>
        </w:rPr>
      </w:pPr>
      <w:r>
        <w:rPr>
          <w:rFonts w:ascii="Arial" w:cs="Arial" w:eastAsia="Arial" w:hAnsi="Arial"/>
          <w:sz w:val="22"/>
          <w:szCs w:val="22"/>
          <w:color w:val="auto"/>
        </w:rPr>
        <w:t>On the date of such pledge the following statements shall be true and the Borrower shall be deemed to have certified that, after giving effect to the pledge of Additional Loans:</w:t>
      </w:r>
    </w:p>
    <w:p>
      <w:pPr>
        <w:spacing w:after="0" w:line="174" w:lineRule="exact"/>
        <w:rPr>
          <w:rFonts w:ascii="Arial" w:cs="Arial" w:eastAsia="Arial" w:hAnsi="Arial"/>
          <w:sz w:val="22"/>
          <w:szCs w:val="22"/>
          <w:color w:val="auto"/>
        </w:rPr>
      </w:pPr>
    </w:p>
    <w:p>
      <w:pPr>
        <w:ind w:left="660" w:firstLine="1292"/>
        <w:spacing w:after="0" w:line="343" w:lineRule="auto"/>
        <w:tabs>
          <w:tab w:leader="none" w:pos="2592"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contained in </w:t>
      </w:r>
      <w:r>
        <w:rPr>
          <w:rFonts w:ascii="Arial" w:cs="Arial" w:eastAsia="Arial" w:hAnsi="Arial"/>
          <w:sz w:val="19"/>
          <w:szCs w:val="19"/>
          <w:u w:val="single" w:color="auto"/>
          <w:color w:val="auto"/>
        </w:rPr>
        <w:t>Sections 4.1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4.3</w:t>
      </w:r>
      <w:r>
        <w:rPr>
          <w:rFonts w:ascii="Arial" w:cs="Arial" w:eastAsia="Arial" w:hAnsi="Arial"/>
          <w:sz w:val="19"/>
          <w:szCs w:val="19"/>
          <w:color w:val="auto"/>
        </w:rPr>
        <w:t xml:space="preserve"> are true and correct on and as of such day as though made on and as of such day and shall be deemed to have been made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4" w:name="page55"/>
    <w:bookmarkEnd w:id="54"/>
    <w:p>
      <w:pPr>
        <w:spacing w:after="0" w:line="204" w:lineRule="exact"/>
        <w:rPr>
          <w:sz w:val="20"/>
          <w:szCs w:val="20"/>
          <w:color w:val="auto"/>
        </w:rPr>
      </w:pPr>
    </w:p>
    <w:p>
      <w:pPr>
        <w:jc w:val="both"/>
        <w:ind w:left="660" w:firstLine="1292"/>
        <w:spacing w:after="0" w:line="253" w:lineRule="auto"/>
        <w:tabs>
          <w:tab w:leader="none" w:pos="2598" w:val="left"/>
        </w:tabs>
        <w:numPr>
          <w:ilvl w:val="1"/>
          <w:numId w:val="53"/>
        </w:numPr>
        <w:rPr>
          <w:rFonts w:ascii="Arial" w:cs="Arial" w:eastAsia="Arial" w:hAnsi="Arial"/>
          <w:sz w:val="22"/>
          <w:szCs w:val="22"/>
          <w:color w:val="auto"/>
        </w:rPr>
      </w:pPr>
      <w:r>
        <w:rPr>
          <w:rFonts w:ascii="Arial" w:cs="Arial" w:eastAsia="Arial" w:hAnsi="Arial"/>
          <w:sz w:val="22"/>
          <w:szCs w:val="22"/>
          <w:color w:val="auto"/>
        </w:rPr>
        <w:t>On and as of such day, the Borrower, the Originator and the Servicer each has performed all of the agreements contained in this Agreement and the other Transaction Documents to which it is a party to be performed by such person at or prior to such day; and</w:t>
      </w:r>
    </w:p>
    <w:p>
      <w:pPr>
        <w:spacing w:after="0" w:line="185" w:lineRule="exact"/>
        <w:rPr>
          <w:rFonts w:ascii="Arial" w:cs="Arial" w:eastAsia="Arial" w:hAnsi="Arial"/>
          <w:sz w:val="22"/>
          <w:szCs w:val="22"/>
          <w:color w:val="auto"/>
        </w:rPr>
      </w:pPr>
    </w:p>
    <w:p>
      <w:pPr>
        <w:jc w:val="both"/>
        <w:ind w:left="660" w:firstLine="1292"/>
        <w:spacing w:after="0" w:line="253" w:lineRule="auto"/>
        <w:tabs>
          <w:tab w:leader="none" w:pos="2604" w:val="left"/>
        </w:tabs>
        <w:numPr>
          <w:ilvl w:val="1"/>
          <w:numId w:val="53"/>
        </w:numPr>
        <w:rPr>
          <w:rFonts w:ascii="Arial" w:cs="Arial" w:eastAsia="Arial" w:hAnsi="Arial"/>
          <w:sz w:val="22"/>
          <w:szCs w:val="22"/>
          <w:color w:val="auto"/>
        </w:rPr>
      </w:pPr>
      <w:r>
        <w:rPr>
          <w:rFonts w:ascii="Arial" w:cs="Arial" w:eastAsia="Arial" w:hAnsi="Arial"/>
          <w:sz w:val="22"/>
          <w:szCs w:val="22"/>
          <w:color w:val="auto"/>
        </w:rPr>
        <w:t>No law or regulation shall prohibit, and no order, judgment or decree of any federal, state or local court or governmental body, agency or instrumentality shall prohibit or enjoin, the making of the loans by the Lenders in accordance with the provisions hereof.</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Borrower shall have delivered to the Collateral Agent the information described in </w:t>
      </w:r>
      <w:r>
        <w:rPr>
          <w:rFonts w:ascii="Arial" w:cs="Arial" w:eastAsia="Arial" w:hAnsi="Arial"/>
          <w:sz w:val="19"/>
          <w:szCs w:val="19"/>
          <w:u w:val="single" w:color="auto"/>
          <w:color w:val="auto"/>
        </w:rPr>
        <w:t>Section 2.2(a)(iii)</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firstLine="1304"/>
        <w:spacing w:after="0" w:line="263" w:lineRule="auto"/>
        <w:tabs>
          <w:tab w:leader="none" w:pos="1939"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financing statements necessary to perfect the Collateral Agent's first priority security interest in the Collateral shall have been filed in the appropriate filing offices.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Forecasted Collections for the Aggregate Outstanding Eligible Loan Balance shall be greater than or equal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Capital.</w:t>
      </w:r>
    </w:p>
    <w:p>
      <w:pPr>
        <w:spacing w:after="0" w:line="201" w:lineRule="exact"/>
        <w:rPr>
          <w:rFonts w:ascii="Arial" w:cs="Arial" w:eastAsia="Arial" w:hAnsi="Arial"/>
          <w:sz w:val="19"/>
          <w:szCs w:val="19"/>
          <w:color w:val="auto"/>
        </w:rPr>
      </w:pPr>
    </w:p>
    <w:p>
      <w:pPr>
        <w:ind w:left="1960" w:hanging="656"/>
        <w:spacing w:after="0"/>
        <w:tabs>
          <w:tab w:leader="none" w:pos="19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conditions required to be satisfied in the Contribution Agreement shall have been satisfied.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21"/>
          <w:szCs w:val="21"/>
          <w:color w:val="auto"/>
        </w:rPr>
      </w:pPr>
      <w:r>
        <w:rPr>
          <w:rFonts w:ascii="Arial" w:cs="Arial" w:eastAsia="Arial" w:hAnsi="Arial"/>
          <w:sz w:val="21"/>
          <w:szCs w:val="21"/>
          <w:color w:val="auto"/>
        </w:rPr>
        <w:t>No Amortization Event, Termination Event or Unmatured Termination Event shall have occurred.</w:t>
      </w:r>
    </w:p>
    <w:p>
      <w:pPr>
        <w:spacing w:after="0" w:line="231" w:lineRule="exact"/>
        <w:rPr>
          <w:rFonts w:ascii="Arial" w:cs="Arial" w:eastAsia="Arial" w:hAnsi="Arial"/>
          <w:sz w:val="21"/>
          <w:szCs w:val="21"/>
          <w:color w:val="auto"/>
        </w:rPr>
      </w:pPr>
    </w:p>
    <w:p>
      <w:pPr>
        <w:ind w:firstLine="1304"/>
        <w:spacing w:after="0" w:line="263" w:lineRule="auto"/>
        <w:tabs>
          <w:tab w:leader="none" w:pos="1939"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Servicer Termination Event or any event, that with the giving of notice or the lapse of time, or both, would become a Servicer Termination Event shall have occurred.</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2"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No materially adverse selection procedures were used by the Borrower with respect to the Loans, Contracts or Dealer Agreements; </w:t>
      </w:r>
      <w:r>
        <w:rPr>
          <w:rFonts w:ascii="Arial" w:cs="Arial" w:eastAsia="Arial" w:hAnsi="Arial"/>
          <w:sz w:val="22"/>
          <w:szCs w:val="22"/>
          <w:u w:val="single" w:color="auto"/>
          <w:color w:val="auto"/>
        </w:rPr>
        <w:t>provided</w:t>
      </w:r>
      <w:r>
        <w:rPr>
          <w:rFonts w:ascii="Arial" w:cs="Arial" w:eastAsia="Arial" w:hAnsi="Arial"/>
          <w:sz w:val="22"/>
          <w:szCs w:val="22"/>
          <w:color w:val="auto"/>
        </w:rPr>
        <w:t>, for the avoidance of doubt, that during the Revolving Period, the Borrower in its sole discretion may elect to pledge Dealer Loans secured by either Open Pools or Closed Pools.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amount on deposit in the Reserve Account shall not be less than the Required Reserve Account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Amount.</w:t>
      </w:r>
    </w:p>
    <w:p>
      <w:pPr>
        <w:spacing w:after="0" w:line="201" w:lineRule="exact"/>
        <w:rPr>
          <w:rFonts w:ascii="Arial" w:cs="Arial" w:eastAsia="Arial" w:hAnsi="Arial"/>
          <w:sz w:val="19"/>
          <w:szCs w:val="19"/>
          <w:color w:val="auto"/>
        </w:rPr>
      </w:pPr>
    </w:p>
    <w:p>
      <w:pPr>
        <w:ind w:left="1940" w:hanging="636"/>
        <w:spacing w:after="0"/>
        <w:tabs>
          <w:tab w:leader="none" w:pos="19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 Eligible Hedging Agreement shall be in effect.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firstLine="1304"/>
        <w:spacing w:after="0" w:line="263" w:lineRule="auto"/>
        <w:tabs>
          <w:tab w:leader="none" w:pos="193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Deal Agent and Lenders shall have received such other approvals, opinions or documents as the Deal Agent or its counsel may reasonably require.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55" w:name="page56"/>
    <w:bookmarkEnd w:id="55"/>
    <w:p>
      <w:pPr>
        <w:jc w:val="both"/>
        <w:ind w:firstLine="648"/>
        <w:spacing w:after="0" w:line="253"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Representations and Warranties of the Borrower</w:t>
      </w:r>
      <w:r>
        <w:rPr>
          <w:rFonts w:ascii="Arial" w:cs="Arial" w:eastAsia="Arial" w:hAnsi="Arial"/>
          <w:sz w:val="22"/>
          <w:szCs w:val="22"/>
          <w:color w:val="auto"/>
        </w:rPr>
        <w:t>. The Borrower represents and warrants to the Collateral Agent, the Deal Agent, the other Secured Parties and the Backup Servicer on the Closing Date and as of each Addition Date, as follows:</w:t>
      </w:r>
    </w:p>
    <w:p>
      <w:pPr>
        <w:spacing w:after="0" w:line="185" w:lineRule="exact"/>
        <w:rPr>
          <w:sz w:val="20"/>
          <w:szCs w:val="20"/>
          <w:color w:val="auto"/>
        </w:rPr>
      </w:pPr>
    </w:p>
    <w:p>
      <w:pPr>
        <w:jc w:val="both"/>
        <w:ind w:firstLine="1304"/>
        <w:spacing w:after="0" w:line="248" w:lineRule="auto"/>
        <w:tabs>
          <w:tab w:leader="none" w:pos="1941"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The Borrower has been duly organized, and is validly existing as a limited liability company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and pledge the Collateral and perform its obligations under this Agreement.</w:t>
      </w:r>
    </w:p>
    <w:p>
      <w:pPr>
        <w:spacing w:after="0" w:line="191"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Due Qualification</w:t>
      </w:r>
      <w:r>
        <w:rPr>
          <w:rFonts w:ascii="Arial" w:cs="Arial" w:eastAsia="Arial" w:hAnsi="Arial"/>
          <w:sz w:val="22"/>
          <w:szCs w:val="22"/>
          <w:color w:val="auto"/>
        </w:rPr>
        <w:t>. The Borrower is duly qualified to do business and is in good standing as a limited liability company and has obtained all material necessary licenses and approvals, in all jurisdictions in which the ownership or lease of property or the conduct of its business requires such qualification, licenses or approvals.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Power and Authority; Due Authorization</w:t>
      </w:r>
      <w:r>
        <w:rPr>
          <w:rFonts w:ascii="Arial" w:cs="Arial" w:eastAsia="Arial" w:hAnsi="Arial"/>
          <w:sz w:val="19"/>
          <w:szCs w:val="19"/>
          <w:color w:val="auto"/>
        </w:rPr>
        <w:t>. The Borrower: (i) has all necessary power, authority and legal</w:t>
      </w:r>
    </w:p>
    <w:p>
      <w:pPr>
        <w:spacing w:after="0" w:line="55" w:lineRule="exact"/>
        <w:rPr>
          <w:rFonts w:ascii="Arial" w:cs="Arial" w:eastAsia="Arial" w:hAnsi="Arial"/>
          <w:sz w:val="19"/>
          <w:szCs w:val="19"/>
          <w:color w:val="auto"/>
        </w:rPr>
      </w:pPr>
    </w:p>
    <w:p>
      <w:pPr>
        <w:jc w:val="both"/>
        <w:spacing w:after="0" w:line="290" w:lineRule="auto"/>
        <w:rPr>
          <w:rFonts w:ascii="Arial" w:cs="Arial" w:eastAsia="Arial" w:hAnsi="Arial"/>
          <w:sz w:val="19"/>
          <w:szCs w:val="19"/>
          <w:color w:val="auto"/>
        </w:rPr>
      </w:pPr>
      <w:r>
        <w:rPr>
          <w:rFonts w:ascii="Arial" w:cs="Arial" w:eastAsia="Arial" w:hAnsi="Arial"/>
          <w:sz w:val="19"/>
          <w:szCs w:val="19"/>
          <w:color w:val="auto"/>
        </w:rPr>
        <w:t>right to: (A) execute and deliver this Agreement and the other Transaction Documents to which it is a party, (B) carry out the terms of the Transaction Documents to which it is a party, and (C) transfer and assign each Loan, Related Security and all other Collateral on the terms and conditions herein provided and (ii) has duly authorized by all necessary action the execution, delivery and performance of this Agreement and the other Transaction Documents to which it is a party and the transfer and assignment of the Loans, Related Security and all other Collateral on the terms and conditions herein provided. This Agreement and each other Transaction Document to which it is a party have been duly executed and delivered by it.</w:t>
      </w:r>
    </w:p>
    <w:p>
      <w:pPr>
        <w:spacing w:after="0" w:line="153"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Binding Obligation</w:t>
      </w:r>
      <w:r>
        <w:rPr>
          <w:rFonts w:ascii="Arial" w:cs="Arial" w:eastAsia="Arial" w:hAnsi="Arial"/>
          <w:sz w:val="22"/>
          <w:szCs w:val="22"/>
          <w:color w:val="auto"/>
        </w:rPr>
        <w:t>. This Agreement and each other Transaction Document to which the Borrower is a party constitutes a legal, valid and binding obligation of the Borrower, each enforceable against the Borrower in accordance with its terms, subject to the effect of bankruptcy, insolvency, reorganization, or other similar laws affecting the enforcement of creditor's rights generally and to general principles of equity.</w:t>
      </w:r>
    </w:p>
    <w:p>
      <w:pPr>
        <w:spacing w:after="0" w:line="187" w:lineRule="exact"/>
        <w:rPr>
          <w:rFonts w:ascii="Arial" w:cs="Arial" w:eastAsia="Arial" w:hAnsi="Arial"/>
          <w:sz w:val="22"/>
          <w:szCs w:val="22"/>
          <w:color w:val="auto"/>
        </w:rPr>
      </w:pPr>
    </w:p>
    <w:p>
      <w:pPr>
        <w:jc w:val="both"/>
        <w:ind w:firstLine="1304"/>
        <w:spacing w:after="0" w:line="247" w:lineRule="auto"/>
        <w:tabs>
          <w:tab w:leader="none" w:pos="1941"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 Violation</w:t>
      </w:r>
      <w:r>
        <w:rPr>
          <w:rFonts w:ascii="Arial" w:cs="Arial" w:eastAsia="Arial" w:hAnsi="Arial"/>
          <w:sz w:val="22"/>
          <w:szCs w:val="22"/>
          <w:color w:val="auto"/>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Borrower's limited liability company agreement or any Contractual Obligation of the Borrower, (ii) result in the creation or imposition of any Lien upon any of the Borrower's properties pursuant to the terms of any such Contractual Obligation, other than this Agreement, or (iii) violate any Applicable Law.</w:t>
      </w:r>
    </w:p>
    <w:p>
      <w:pPr>
        <w:spacing w:after="0" w:line="192" w:lineRule="exact"/>
        <w:rPr>
          <w:rFonts w:ascii="Arial" w:cs="Arial" w:eastAsia="Arial" w:hAnsi="Arial"/>
          <w:sz w:val="22"/>
          <w:szCs w:val="22"/>
          <w:color w:val="auto"/>
        </w:rPr>
      </w:pPr>
    </w:p>
    <w:p>
      <w:pPr>
        <w:jc w:val="both"/>
        <w:ind w:firstLine="1304"/>
        <w:spacing w:after="0" w:line="312" w:lineRule="auto"/>
        <w:tabs>
          <w:tab w:leader="none" w:pos="194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 Proceedings</w:t>
      </w:r>
      <w:r>
        <w:rPr>
          <w:rFonts w:ascii="Arial" w:cs="Arial" w:eastAsia="Arial" w:hAnsi="Arial"/>
          <w:sz w:val="19"/>
          <w:szCs w:val="19"/>
          <w:color w:val="auto"/>
        </w:rPr>
        <w:t>. There is no litigation, proceeding or investigation pending or, to the best knowledge of the Borrower, threatened against the Borrower, before any Governmental Authority (i) asserting the invalidity of this Agreement or any other Transaction Document to which the Borrower is a party, (ii) seeking to prevent the consummation of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6" w:name="page57"/>
    <w:bookmarkEnd w:id="56"/>
    <w:p>
      <w:pPr>
        <w:spacing w:after="0" w:line="287" w:lineRule="auto"/>
        <w:rPr>
          <w:sz w:val="20"/>
          <w:szCs w:val="20"/>
          <w:color w:val="auto"/>
        </w:rPr>
      </w:pPr>
      <w:r>
        <w:rPr>
          <w:rFonts w:ascii="Arial" w:cs="Arial" w:eastAsia="Arial" w:hAnsi="Arial"/>
          <w:sz w:val="21"/>
          <w:szCs w:val="21"/>
          <w:color w:val="auto"/>
        </w:rPr>
        <w:t>the transactions contemplated by this Agreement or any other Transaction Document to which the Borrower is a party or (iii) seeking any determination or ruling that could reasonably be expected to have a Material Adverse Effect.</w:t>
      </w:r>
    </w:p>
    <w:p>
      <w:pPr>
        <w:spacing w:after="0" w:line="151" w:lineRule="exact"/>
        <w:rPr>
          <w:sz w:val="20"/>
          <w:szCs w:val="20"/>
          <w:color w:val="auto"/>
        </w:rPr>
      </w:pPr>
    </w:p>
    <w:p>
      <w:pPr>
        <w:jc w:val="both"/>
        <w:ind w:firstLine="1304"/>
        <w:spacing w:after="0" w:line="250" w:lineRule="auto"/>
        <w:tabs>
          <w:tab w:leader="none" w:pos="193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All Consents Required</w:t>
      </w:r>
      <w:r>
        <w:rPr>
          <w:rFonts w:ascii="Arial" w:cs="Arial" w:eastAsia="Arial" w:hAnsi="Arial"/>
          <w:sz w:val="22"/>
          <w:szCs w:val="22"/>
          <w:color w:val="auto"/>
        </w:rPr>
        <w:t>. All approvals, authorizations, consents, orders or other actions of any Person or of any Governmental Authority (if any) required for the due execution, delivery and performance by the Borrower of this Agreement and any other Transaction Document to which the Borrower is a party have been obtained except where the failure to so obtain is not reasonably expected to result in a Material Adverse Effect.</w:t>
      </w:r>
    </w:p>
    <w:p>
      <w:pPr>
        <w:spacing w:after="0" w:line="187" w:lineRule="exact"/>
        <w:rPr>
          <w:rFonts w:ascii="Arial" w:cs="Arial" w:eastAsia="Arial" w:hAnsi="Arial"/>
          <w:sz w:val="22"/>
          <w:szCs w:val="22"/>
          <w:color w:val="auto"/>
        </w:rPr>
      </w:pPr>
    </w:p>
    <w:p>
      <w:pPr>
        <w:ind w:firstLine="1304"/>
        <w:spacing w:after="0" w:line="263" w:lineRule="auto"/>
        <w:tabs>
          <w:tab w:leader="none" w:pos="193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Bulk Sales</w:t>
      </w:r>
      <w:r>
        <w:rPr>
          <w:rFonts w:ascii="Arial" w:cs="Arial" w:eastAsia="Arial" w:hAnsi="Arial"/>
          <w:sz w:val="22"/>
          <w:szCs w:val="22"/>
          <w:color w:val="auto"/>
        </w:rPr>
        <w:t>. The execution, delivery and performance of this Agreement do not require compliance with any “bulk sales” act or similar law by Borrower.</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93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 xml:space="preserve">. The transactions under this Agreement and any other Transaction Document to which the Borrower is a party do not and will not render the Borrower not Solvent and the Borrower shall deliver to the Deal Agent on the Closing Date a certification in the form of </w:t>
      </w:r>
      <w:r>
        <w:rPr>
          <w:rFonts w:ascii="Arial" w:cs="Arial" w:eastAsia="Arial" w:hAnsi="Arial"/>
          <w:sz w:val="22"/>
          <w:szCs w:val="22"/>
          <w:u w:val="single" w:color="auto"/>
          <w:color w:val="auto"/>
        </w:rPr>
        <w:t>Exhibit F</w:t>
      </w:r>
      <w:r>
        <w:rPr>
          <w:rFonts w:ascii="Arial" w:cs="Arial" w:eastAsia="Arial" w:hAnsi="Arial"/>
          <w:sz w:val="22"/>
          <w:szCs w:val="22"/>
          <w:color w:val="auto"/>
        </w:rPr>
        <w:t>. The Originator has confirmed in writing to the Borrower that, so long as the Borrower is Solvent, the Originator will not cause the Borrower to file a voluntary petition under the Bankruptcy Code or any other Insolvency Laws.</w:t>
      </w:r>
    </w:p>
    <w:p>
      <w:pPr>
        <w:spacing w:after="0" w:line="191" w:lineRule="exact"/>
        <w:rPr>
          <w:rFonts w:ascii="Arial" w:cs="Arial" w:eastAsia="Arial" w:hAnsi="Arial"/>
          <w:sz w:val="22"/>
          <w:szCs w:val="22"/>
          <w:color w:val="auto"/>
        </w:rPr>
      </w:pPr>
    </w:p>
    <w:p>
      <w:pPr>
        <w:jc w:val="both"/>
        <w:ind w:firstLine="1304"/>
        <w:spacing w:after="0" w:line="261" w:lineRule="auto"/>
        <w:tabs>
          <w:tab w:leader="none" w:pos="1932"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Selection Procedures</w:t>
      </w:r>
      <w:r>
        <w:rPr>
          <w:rFonts w:ascii="Arial" w:cs="Arial" w:eastAsia="Arial" w:hAnsi="Arial"/>
          <w:sz w:val="21"/>
          <w:szCs w:val="21"/>
          <w:color w:val="auto"/>
        </w:rPr>
        <w:t xml:space="preserve">. No procedures believed by the Borrower to be materially adverse to the interests of the Collateral Agent or the Lenders were utilized by the Borrower in identifying and/or selecting Loans or Dealer Agreements; </w:t>
      </w:r>
      <w:r>
        <w:rPr>
          <w:rFonts w:ascii="Arial" w:cs="Arial" w:eastAsia="Arial" w:hAnsi="Arial"/>
          <w:sz w:val="21"/>
          <w:szCs w:val="21"/>
          <w:u w:val="single" w:color="auto"/>
          <w:color w:val="auto"/>
        </w:rPr>
        <w:t>provided</w:t>
      </w:r>
      <w:r>
        <w:rPr>
          <w:rFonts w:ascii="Arial" w:cs="Arial" w:eastAsia="Arial" w:hAnsi="Arial"/>
          <w:sz w:val="21"/>
          <w:szCs w:val="21"/>
          <w:color w:val="auto"/>
        </w:rPr>
        <w:t>, for the avoidance of doubt, that during the Revolving Period, the Borrower in its sole discretion may elect to pledge Dealer Loans secured by either Open Pools or Closed Pools. In addition, each Loan shall have been underwritten in accordance with and satisfy, in each case in all material respects, the standards of any Credit Guidelines that have been established by the Borrower or the Originator and are then in effect.</w:t>
      </w:r>
    </w:p>
    <w:p>
      <w:pPr>
        <w:spacing w:after="0" w:line="179" w:lineRule="exact"/>
        <w:rPr>
          <w:rFonts w:ascii="Arial" w:cs="Arial" w:eastAsia="Arial" w:hAnsi="Arial"/>
          <w:sz w:val="21"/>
          <w:szCs w:val="21"/>
          <w:color w:val="auto"/>
        </w:rPr>
      </w:pPr>
    </w:p>
    <w:p>
      <w:pPr>
        <w:jc w:val="both"/>
        <w:ind w:firstLine="1304"/>
        <w:spacing w:after="0" w:line="247" w:lineRule="auto"/>
        <w:tabs>
          <w:tab w:leader="none" w:pos="193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Borrower has filed or caused to be filed all tax returns that are required to be filed by it. The Borrower has paid all Taxes, assessments, fees and other governmental charges levied or imposed upon it or any of its property, income or assets due and payable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spacing w:after="0" w:line="192" w:lineRule="exact"/>
        <w:rPr>
          <w:rFonts w:ascii="Arial" w:cs="Arial" w:eastAsia="Arial" w:hAnsi="Arial"/>
          <w:sz w:val="22"/>
          <w:szCs w:val="22"/>
          <w:color w:val="auto"/>
        </w:rPr>
      </w:pPr>
    </w:p>
    <w:p>
      <w:pPr>
        <w:jc w:val="both"/>
        <w:ind w:firstLine="1304"/>
        <w:spacing w:after="0" w:line="294" w:lineRule="auto"/>
        <w:tabs>
          <w:tab w:leader="none" w:pos="1932"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Exchange Act Compliance; Regulations T, U and X</w:t>
      </w:r>
      <w:r>
        <w:rPr>
          <w:rFonts w:ascii="Arial" w:cs="Arial" w:eastAsia="Arial" w:hAnsi="Arial"/>
          <w:sz w:val="19"/>
          <w:szCs w:val="19"/>
          <w:color w:val="auto"/>
        </w:rPr>
        <w:t>. None of the transactions contemplated herein (including, without limitation, the use of the proceeds from the pledge of the Collateral) will violate or result in a violation of Section 7 of the Securities Exchange Act or any regulations issued pursuant thereto, including, without limitation, Regulations T, U and X of the Board of Governors of the Federal Reserve System, 12 C.F.R., Chapter II. The Borrower does not own or intend to carry or purchase, and no proceeds from the pledge of the Collateral will be used to carry or purchase, any “margin stock” within the meaning of Regulation U or to extend “purchase credit” within the meaning of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7" w:name="page58"/>
    <w:bookmarkEnd w:id="57"/>
    <w:p>
      <w:pPr>
        <w:jc w:val="both"/>
        <w:ind w:firstLine="1304"/>
        <w:spacing w:after="0" w:line="292" w:lineRule="auto"/>
        <w:tabs>
          <w:tab w:leader="none" w:pos="1932"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Quality of Title</w:t>
      </w:r>
      <w:r>
        <w:rPr>
          <w:rFonts w:ascii="Arial" w:cs="Arial" w:eastAsia="Arial" w:hAnsi="Arial"/>
          <w:sz w:val="19"/>
          <w:szCs w:val="19"/>
          <w:color w:val="auto"/>
        </w:rPr>
        <w:t xml:space="preserve">. Each Loan, together with the Related Security related thereto, shall, at all times, be owned by the Borrower free and clear of any Lien except as provided in </w:t>
      </w:r>
      <w:r>
        <w:rPr>
          <w:rFonts w:ascii="Arial" w:cs="Arial" w:eastAsia="Arial" w:hAnsi="Arial"/>
          <w:sz w:val="19"/>
          <w:szCs w:val="19"/>
          <w:u w:val="single" w:color="auto"/>
          <w:color w:val="auto"/>
        </w:rPr>
        <w:t>Section 4.2(a)(iii)</w:t>
      </w:r>
      <w:r>
        <w:rPr>
          <w:rFonts w:ascii="Arial" w:cs="Arial" w:eastAsia="Arial" w:hAnsi="Arial"/>
          <w:sz w:val="19"/>
          <w:szCs w:val="19"/>
          <w:color w:val="auto"/>
        </w:rPr>
        <w:t xml:space="preserve">, and upon each funding, the Collateral Agent as agent for the Secured Parties shall acquire a valid and perfected first priority security interest in such Loan, the Related Security related thereto and all Collections then existing or thereafter arising, free and clear of any Lien, except as provided in </w:t>
      </w:r>
      <w:r>
        <w:rPr>
          <w:rFonts w:ascii="Arial" w:cs="Arial" w:eastAsia="Arial" w:hAnsi="Arial"/>
          <w:sz w:val="19"/>
          <w:szCs w:val="19"/>
          <w:u w:val="single" w:color="auto"/>
          <w:color w:val="auto"/>
        </w:rPr>
        <w:t>Section 4.2(a)(iii)</w:t>
      </w:r>
      <w:r>
        <w:rPr>
          <w:rFonts w:ascii="Arial" w:cs="Arial" w:eastAsia="Arial" w:hAnsi="Arial"/>
          <w:sz w:val="19"/>
          <w:szCs w:val="19"/>
          <w:color w:val="auto"/>
        </w:rPr>
        <w:t>. No effective financing statement or other instrument similar in effect covering any Loan or Dealer Agreement shall at any time be on file in any recording office except such as may be filed (i) in favor of the Borrower in accordance with the Contribution Agreement or (ii) in favor of the Collateral Agent in accordance with this Agreement.</w:t>
      </w:r>
    </w:p>
    <w:p>
      <w:pPr>
        <w:spacing w:after="0" w:line="150" w:lineRule="exact"/>
        <w:rPr>
          <w:rFonts w:ascii="Arial" w:cs="Arial" w:eastAsia="Arial" w:hAnsi="Arial"/>
          <w:sz w:val="19"/>
          <w:szCs w:val="19"/>
          <w:color w:val="auto"/>
        </w:rPr>
      </w:pPr>
    </w:p>
    <w:p>
      <w:pPr>
        <w:jc w:val="both"/>
        <w:ind w:firstLine="1304"/>
        <w:spacing w:after="0" w:line="290" w:lineRule="auto"/>
        <w:tabs>
          <w:tab w:leader="none" w:pos="1939"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Security Interest</w:t>
      </w:r>
      <w:r>
        <w:rPr>
          <w:rFonts w:ascii="Arial" w:cs="Arial" w:eastAsia="Arial" w:hAnsi="Arial"/>
          <w:sz w:val="19"/>
          <w:szCs w:val="19"/>
          <w:color w:val="auto"/>
        </w:rPr>
        <w:t>. The Borrower has granted a security interest (as defined in the UCC) to the Collateral Agent, as agent for the Secured Parties, in the Collateral, which is enforceable in accordance with applicable law upon execution and delivery of this Agreement. Upon the filing of UCC-1 financing statements naming the Collateral Agent as secured party and the Borrower as debtor, or upon the Collateral Agent obtaining control, in the case of that portion of the Collateral which constitutes electronic chattel paper, or possession, in the case of that portion of the Collateral which constitutes tangible chattel paper, the Collateral Agent, as agent for the Secured Parties, shall have a first priority perfected security interest in the Collateral. All filings (including, without limitation, such UCC filings) as are necessary in any jurisdiction to perfect the interest of the Collateral Agent, as agent for the Secured Parties, in the Collateral have been made.</w:t>
      </w:r>
    </w:p>
    <w:p>
      <w:pPr>
        <w:spacing w:after="0" w:line="155" w:lineRule="exact"/>
        <w:rPr>
          <w:rFonts w:ascii="Arial" w:cs="Arial" w:eastAsia="Arial" w:hAnsi="Arial"/>
          <w:sz w:val="19"/>
          <w:szCs w:val="19"/>
          <w:color w:val="auto"/>
        </w:rPr>
      </w:pPr>
    </w:p>
    <w:p>
      <w:pPr>
        <w:jc w:val="both"/>
        <w:ind w:firstLine="1304"/>
        <w:spacing w:after="0" w:line="248" w:lineRule="auto"/>
        <w:tabs>
          <w:tab w:leader="none" w:pos="1939"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Accuracy of Information</w:t>
      </w:r>
      <w:r>
        <w:rPr>
          <w:rFonts w:ascii="Arial" w:cs="Arial" w:eastAsia="Arial" w:hAnsi="Arial"/>
          <w:sz w:val="22"/>
          <w:szCs w:val="22"/>
          <w:color w:val="auto"/>
        </w:rPr>
        <w:t>. All information heretofore furnished by the Borrower (including without limitation, the Monthly Report and Credit Acceptance's financial statements) to the Deal Agent, the Collateral Agent, the Backup Servicer or any Lender for purposes of or in connection with this Agreement or any other Transaction Document, or any transaction contemplated hereby or thereby, will be true, correct, complete and accurate in every material respect, on the date such information is stated or certified.</w:t>
      </w:r>
    </w:p>
    <w:p>
      <w:pPr>
        <w:spacing w:after="0" w:line="191" w:lineRule="exact"/>
        <w:rPr>
          <w:rFonts w:ascii="Arial" w:cs="Arial" w:eastAsia="Arial" w:hAnsi="Arial"/>
          <w:sz w:val="22"/>
          <w:szCs w:val="22"/>
          <w:color w:val="auto"/>
        </w:rPr>
      </w:pPr>
    </w:p>
    <w:p>
      <w:pPr>
        <w:jc w:val="both"/>
        <w:ind w:firstLine="1304"/>
        <w:spacing w:after="0" w:line="260" w:lineRule="auto"/>
        <w:tabs>
          <w:tab w:leader="none" w:pos="1939"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Location of Offices</w:t>
      </w:r>
      <w:r>
        <w:rPr>
          <w:rFonts w:ascii="Arial" w:cs="Arial" w:eastAsia="Arial" w:hAnsi="Arial"/>
          <w:sz w:val="21"/>
          <w:szCs w:val="21"/>
          <w:color w:val="auto"/>
        </w:rPr>
        <w:t xml:space="preserve">. The principal place of business and chief executive office of the Borrower and the office where the Borrower keeps all the Records (other than the Certificates of Title) are located at the address of the Borrower referred to in </w:t>
      </w:r>
      <w:r>
        <w:rPr>
          <w:rFonts w:ascii="Arial" w:cs="Arial" w:eastAsia="Arial" w:hAnsi="Arial"/>
          <w:sz w:val="21"/>
          <w:szCs w:val="21"/>
          <w:u w:val="single" w:color="auto"/>
          <w:color w:val="auto"/>
        </w:rPr>
        <w:t>Section 14.2</w:t>
      </w:r>
      <w:r>
        <w:rPr>
          <w:rFonts w:ascii="Arial" w:cs="Arial" w:eastAsia="Arial" w:hAnsi="Arial"/>
          <w:sz w:val="21"/>
          <w:szCs w:val="21"/>
          <w:color w:val="auto"/>
        </w:rPr>
        <w:t xml:space="preserve"> hereof and the office where the Borrower keeps all the Certificates of Title is located at 25300-25330 Telegraph Road, Southfield, Michigan 48033 (or, in each case, at such other locations as to which the notice and other requirements specified in </w:t>
      </w:r>
      <w:r>
        <w:rPr>
          <w:rFonts w:ascii="Arial" w:cs="Arial" w:eastAsia="Arial" w:hAnsi="Arial"/>
          <w:sz w:val="21"/>
          <w:szCs w:val="21"/>
          <w:u w:val="single" w:color="auto"/>
          <w:color w:val="auto"/>
        </w:rPr>
        <w:t>Section 5.2(g)</w:t>
      </w:r>
      <w:r>
        <w:rPr>
          <w:rFonts w:ascii="Arial" w:cs="Arial" w:eastAsia="Arial" w:hAnsi="Arial"/>
          <w:sz w:val="21"/>
          <w:szCs w:val="21"/>
          <w:color w:val="auto"/>
        </w:rPr>
        <w:t xml:space="preserve"> shall have been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21"/>
          <w:szCs w:val="21"/>
          <w:u w:val="single" w:color="auto"/>
          <w:color w:val="auto"/>
        </w:rPr>
        <w:t>Section 6.2(c)(iii)</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940" w:hanging="636"/>
        <w:spacing w:after="0"/>
        <w:tabs>
          <w:tab w:leader="none" w:pos="1940"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None of the Borrower, any Subsidiary or any Affiliate of the Borrower (i) is a Sanctioned Person,</w:t>
      </w:r>
    </w:p>
    <w:p>
      <w:pPr>
        <w:spacing w:after="0" w:line="55" w:lineRule="exact"/>
        <w:rPr>
          <w:rFonts w:ascii="Arial" w:cs="Arial" w:eastAsia="Arial" w:hAnsi="Arial"/>
          <w:sz w:val="19"/>
          <w:szCs w:val="19"/>
          <w:color w:val="auto"/>
        </w:rPr>
      </w:pPr>
    </w:p>
    <w:p>
      <w:pPr>
        <w:jc w:val="both"/>
        <w:ind w:firstLine="8"/>
        <w:spacing w:after="0" w:line="245" w:lineRule="auto"/>
        <w:tabs>
          <w:tab w:leader="none" w:pos="3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has more than 10% of its assets in Sanctioned Countries or (iii) derives more than 10% of its operating income from investments in, or transactions with Sanctioned Persons or Sanctioned Countries. The proceeds of any funding will not be used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8" w:name="page59"/>
    <w:bookmarkEnd w:id="58"/>
    <w:p>
      <w:pPr>
        <w:spacing w:after="0" w:line="263" w:lineRule="auto"/>
        <w:rPr>
          <w:sz w:val="20"/>
          <w:szCs w:val="20"/>
          <w:color w:val="auto"/>
        </w:rPr>
      </w:pPr>
      <w:r>
        <w:rPr>
          <w:rFonts w:ascii="Arial" w:cs="Arial" w:eastAsia="Arial" w:hAnsi="Arial"/>
          <w:sz w:val="22"/>
          <w:szCs w:val="22"/>
          <w:color w:val="auto"/>
        </w:rPr>
        <w:t>have not been used to fund any operations in, finance any investments or activities in or make any payments to, a Sanctioned Person or a Sanctioned Country.</w:t>
      </w:r>
    </w:p>
    <w:p>
      <w:pPr>
        <w:spacing w:after="0" w:line="175" w:lineRule="exact"/>
        <w:rPr>
          <w:sz w:val="20"/>
          <w:szCs w:val="20"/>
          <w:color w:val="auto"/>
        </w:rPr>
      </w:pPr>
    </w:p>
    <w:p>
      <w:pPr>
        <w:jc w:val="both"/>
        <w:ind w:firstLine="1304"/>
        <w:spacing w:after="0" w:line="297" w:lineRule="auto"/>
        <w:tabs>
          <w:tab w:leader="none" w:pos="194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Tradenames; Place of Business; Correct Legal Name</w:t>
      </w:r>
      <w:r>
        <w:rPr>
          <w:rFonts w:ascii="Arial" w:cs="Arial" w:eastAsia="Arial" w:hAnsi="Arial"/>
          <w:sz w:val="19"/>
          <w:szCs w:val="19"/>
          <w:color w:val="auto"/>
        </w:rPr>
        <w:t xml:space="preserve">. (i) Except as described in </w:t>
      </w:r>
      <w:r>
        <w:rPr>
          <w:rFonts w:ascii="Arial" w:cs="Arial" w:eastAsia="Arial" w:hAnsi="Arial"/>
          <w:sz w:val="19"/>
          <w:szCs w:val="19"/>
          <w:u w:val="single" w:color="auto"/>
          <w:color w:val="auto"/>
        </w:rPr>
        <w:t>Schedule III</w:t>
      </w:r>
      <w:r>
        <w:rPr>
          <w:rFonts w:ascii="Arial" w:cs="Arial" w:eastAsia="Arial" w:hAnsi="Arial"/>
          <w:sz w:val="19"/>
          <w:szCs w:val="19"/>
          <w:color w:val="auto"/>
        </w:rPr>
        <w:t>, the Borrower has no trade names, fictitious names, assumed names or “doing business as” names or other names under which it has done or is doing business; (ii) the principal place of business and chief executive office of the Borrower are located at the address of the Borrower set forth on the signature pages hereto; and (iii) “</w:t>
      </w:r>
      <w:r>
        <w:rPr>
          <w:rFonts w:ascii="Arial" w:cs="Arial" w:eastAsia="Arial" w:hAnsi="Arial"/>
          <w:sz w:val="19"/>
          <w:szCs w:val="19"/>
          <w:u w:val="single" w:color="auto"/>
          <w:color w:val="auto"/>
        </w:rPr>
        <w:t>Credit Acceptance Funding LLC 2021-1</w:t>
      </w:r>
      <w:r>
        <w:rPr>
          <w:rFonts w:ascii="Arial" w:cs="Arial" w:eastAsia="Arial" w:hAnsi="Arial"/>
          <w:sz w:val="19"/>
          <w:szCs w:val="19"/>
          <w:color w:val="auto"/>
        </w:rPr>
        <w:t>” is the correct legal name of the Borrower indicated on the public records of the Borrower's jurisdiction of organization.</w:t>
      </w:r>
    </w:p>
    <w:p>
      <w:pPr>
        <w:spacing w:after="0" w:line="146" w:lineRule="exact"/>
        <w:rPr>
          <w:rFonts w:ascii="Arial" w:cs="Arial" w:eastAsia="Arial" w:hAnsi="Arial"/>
          <w:sz w:val="19"/>
          <w:szCs w:val="19"/>
          <w:color w:val="auto"/>
        </w:rPr>
      </w:pPr>
    </w:p>
    <w:p>
      <w:pPr>
        <w:ind w:firstLine="1304"/>
        <w:spacing w:after="0" w:line="263" w:lineRule="auto"/>
        <w:tabs>
          <w:tab w:leader="none" w:pos="194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Contribution Agreement</w:t>
      </w:r>
      <w:r>
        <w:rPr>
          <w:rFonts w:ascii="Arial" w:cs="Arial" w:eastAsia="Arial" w:hAnsi="Arial"/>
          <w:sz w:val="22"/>
          <w:szCs w:val="22"/>
          <w:color w:val="auto"/>
        </w:rPr>
        <w:t>. The Contribution Agreement is the only agreement pursuant to which the Borrower purchases Loans from the Originator.</w:t>
      </w:r>
    </w:p>
    <w:p>
      <w:pPr>
        <w:spacing w:after="0" w:line="174" w:lineRule="exact"/>
        <w:rPr>
          <w:rFonts w:ascii="Arial" w:cs="Arial" w:eastAsia="Arial" w:hAnsi="Arial"/>
          <w:sz w:val="22"/>
          <w:szCs w:val="22"/>
          <w:color w:val="auto"/>
        </w:rPr>
      </w:pPr>
    </w:p>
    <w:p>
      <w:pPr>
        <w:jc w:val="both"/>
        <w:ind w:firstLine="1304"/>
        <w:spacing w:after="0" w:line="265" w:lineRule="auto"/>
        <w:tabs>
          <w:tab w:leader="none" w:pos="1932"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Value Given</w:t>
      </w:r>
      <w:r>
        <w:rPr>
          <w:rFonts w:ascii="Arial" w:cs="Arial" w:eastAsia="Arial" w:hAnsi="Arial"/>
          <w:sz w:val="21"/>
          <w:szCs w:val="21"/>
          <w:color w:val="auto"/>
        </w:rPr>
        <w:t>. The Borrower shall have given reasonably equivalent value to the Originator in consideration for the transfer to the Borrower of the Loans and Related Security under the Contribution Agreement, no such transfer shall have been made for or on account of an antecedent debt owed by the Originator to the Borrower, and no such transfer is or may be voidable or subject to avoidance under any section of the Bankruptcy Code.</w:t>
      </w:r>
    </w:p>
    <w:p>
      <w:pPr>
        <w:spacing w:after="0" w:line="175" w:lineRule="exact"/>
        <w:rPr>
          <w:rFonts w:ascii="Arial" w:cs="Arial" w:eastAsia="Arial" w:hAnsi="Arial"/>
          <w:sz w:val="21"/>
          <w:szCs w:val="21"/>
          <w:color w:val="auto"/>
        </w:rPr>
      </w:pPr>
    </w:p>
    <w:p>
      <w:pPr>
        <w:jc w:val="both"/>
        <w:ind w:firstLine="1304"/>
        <w:spacing w:after="0" w:line="271" w:lineRule="auto"/>
        <w:tabs>
          <w:tab w:leader="none" w:pos="1939"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Accounting</w:t>
      </w:r>
      <w:r>
        <w:rPr>
          <w:rFonts w:ascii="Arial" w:cs="Arial" w:eastAsia="Arial" w:hAnsi="Arial"/>
          <w:sz w:val="21"/>
          <w:szCs w:val="21"/>
          <w:color w:val="auto"/>
        </w:rPr>
        <w:t>. The Borrower accounts for the transfers to it from the Originator of Loans and Related Security under the Contribution Agreement as sales or contributions to capital of such Loans and Related Security in its books, records and financial statements, in each case consistent with GAAP and with the requirements set forth herein.</w:t>
      </w:r>
    </w:p>
    <w:p>
      <w:pPr>
        <w:spacing w:after="0" w:line="167" w:lineRule="exact"/>
        <w:rPr>
          <w:rFonts w:ascii="Arial" w:cs="Arial" w:eastAsia="Arial" w:hAnsi="Arial"/>
          <w:sz w:val="21"/>
          <w:szCs w:val="21"/>
          <w:color w:val="auto"/>
        </w:rPr>
      </w:pPr>
    </w:p>
    <w:p>
      <w:pPr>
        <w:ind w:left="1940" w:hanging="636"/>
        <w:spacing w:after="0"/>
        <w:tabs>
          <w:tab w:leader="none" w:pos="194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Special Purpose Entity</w:t>
      </w:r>
      <w:r>
        <w:rPr>
          <w:rFonts w:ascii="Arial" w:cs="Arial" w:eastAsia="Arial" w:hAnsi="Arial"/>
          <w:sz w:val="22"/>
          <w:szCs w:val="22"/>
          <w:color w:val="auto"/>
        </w:rPr>
        <w:t xml:space="preserve">. The Borrower is in compliance with </w:t>
      </w:r>
      <w:r>
        <w:rPr>
          <w:rFonts w:ascii="Arial" w:cs="Arial" w:eastAsia="Arial" w:hAnsi="Arial"/>
          <w:sz w:val="22"/>
          <w:szCs w:val="22"/>
          <w:u w:val="single" w:color="auto"/>
          <w:color w:val="auto"/>
        </w:rPr>
        <w:t>Section 5.2(o)</w:t>
      </w:r>
      <w:r>
        <w:rPr>
          <w:rFonts w:ascii="Arial" w:cs="Arial" w:eastAsia="Arial" w:hAnsi="Arial"/>
          <w:sz w:val="22"/>
          <w:szCs w:val="22"/>
          <w:color w:val="auto"/>
        </w:rPr>
        <w:t xml:space="preserve"> hereof.</w:t>
      </w:r>
    </w:p>
    <w:p>
      <w:pPr>
        <w:spacing w:after="0" w:line="219" w:lineRule="exact"/>
        <w:rPr>
          <w:rFonts w:ascii="Arial" w:cs="Arial" w:eastAsia="Arial" w:hAnsi="Arial"/>
          <w:sz w:val="22"/>
          <w:szCs w:val="22"/>
          <w:color w:val="auto"/>
        </w:rPr>
      </w:pPr>
    </w:p>
    <w:p>
      <w:pPr>
        <w:jc w:val="both"/>
        <w:ind w:firstLine="1304"/>
        <w:spacing w:after="0" w:line="260" w:lineRule="auto"/>
        <w:tabs>
          <w:tab w:leader="none" w:pos="193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Confirmation from the Originator</w:t>
      </w:r>
      <w:r>
        <w:rPr>
          <w:rFonts w:ascii="Arial" w:cs="Arial" w:eastAsia="Arial" w:hAnsi="Arial"/>
          <w:sz w:val="21"/>
          <w:szCs w:val="21"/>
          <w:color w:val="auto"/>
        </w:rPr>
        <w:t>. The Borrower has received in writing from the Originator confirmation that, so long as the Borrower is not “insolvent” within the meaning of the Bankruptcy Code, the Originator will not cause the Borrower to file a voluntary petition under the Bankruptcy Code or any other bankruptcy or insolvency laws. Each of the Borrower and the Originator is aware that in light of the circumstances described in the preceding sentence and other relevant facts, the filing of a voluntary petition under the Bankruptcy Code for the purpose of making any Loan or any other assets of the Borrower available to satisfy claims of the creditors of the Originator would not result in making such assets available to satisfy such creditors under the Bankruptcy Code.</w:t>
      </w:r>
    </w:p>
    <w:p>
      <w:pPr>
        <w:spacing w:after="0" w:line="180" w:lineRule="exact"/>
        <w:rPr>
          <w:rFonts w:ascii="Arial" w:cs="Arial" w:eastAsia="Arial" w:hAnsi="Arial"/>
          <w:sz w:val="21"/>
          <w:szCs w:val="21"/>
          <w:color w:val="auto"/>
        </w:rPr>
      </w:pPr>
    </w:p>
    <w:p>
      <w:pPr>
        <w:jc w:val="both"/>
        <w:ind w:firstLine="1304"/>
        <w:spacing w:after="0" w:line="247" w:lineRule="auto"/>
        <w:tabs>
          <w:tab w:leader="none" w:pos="1939"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Borrower is not, and will not, as a result of the execution and delivery of this Agreement and the consummation of the transactions contemplated herein, be required to be registered as an “investment company” as defined in the Investment Company Act. In determining that the Borrower is not an “investment company,” the Borrower is entitled to rely on the exclusion from the definition of “investment company” set forth in Section 3(c)(5) of the Investment Company Act, although there may be additional exclusions or exemptions available to the Borrower. The Borrower is not a “covered fund”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59" w:name="page60"/>
    <w:bookmarkEnd w:id="59"/>
    <w:p>
      <w:pPr>
        <w:ind w:right="20"/>
        <w:spacing w:after="0" w:line="263" w:lineRule="auto"/>
        <w:rPr>
          <w:sz w:val="20"/>
          <w:szCs w:val="20"/>
          <w:color w:val="auto"/>
        </w:rPr>
      </w:pPr>
      <w:r>
        <w:rPr>
          <w:rFonts w:ascii="Arial" w:cs="Arial" w:eastAsia="Arial" w:hAnsi="Arial"/>
          <w:sz w:val="22"/>
          <w:szCs w:val="22"/>
          <w:color w:val="auto"/>
        </w:rPr>
        <w:t>purposes of the regulations adopted to implement Section 619 of the Dodd-Frank Wall Street Reform and Consumer Protection Act, commonly known as the “</w:t>
      </w:r>
      <w:r>
        <w:rPr>
          <w:rFonts w:ascii="Arial" w:cs="Arial" w:eastAsia="Arial" w:hAnsi="Arial"/>
          <w:sz w:val="22"/>
          <w:szCs w:val="22"/>
          <w:u w:val="single" w:color="auto"/>
          <w:color w:val="auto"/>
        </w:rPr>
        <w:t>Volcker Rule</w:t>
      </w:r>
      <w:r>
        <w:rPr>
          <w:rFonts w:ascii="Arial" w:cs="Arial" w:eastAsia="Arial" w:hAnsi="Arial"/>
          <w:sz w:val="22"/>
          <w:szCs w:val="22"/>
          <w:color w:val="auto"/>
        </w:rPr>
        <w:t>.”</w:t>
      </w:r>
    </w:p>
    <w:p>
      <w:pPr>
        <w:spacing w:after="0" w:line="175" w:lineRule="exact"/>
        <w:rPr>
          <w:sz w:val="20"/>
          <w:szCs w:val="20"/>
          <w:color w:val="auto"/>
        </w:rPr>
      </w:pPr>
    </w:p>
    <w:p>
      <w:pPr>
        <w:jc w:val="both"/>
        <w:ind w:firstLine="1304"/>
        <w:spacing w:after="0" w:line="288" w:lineRule="auto"/>
        <w:tabs>
          <w:tab w:leader="none" w:pos="1939"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The present value of all benefits vested under all “employee pension benefit plans,” as such term is defined in Section 3 of ERISA, maintained by the Borrower, or in which employees of the Borrower are entitled to participate, as from time to time in effect (herein called the “</w:t>
      </w:r>
      <w:r>
        <w:rPr>
          <w:rFonts w:ascii="Arial" w:cs="Arial" w:eastAsia="Arial" w:hAnsi="Arial"/>
          <w:sz w:val="19"/>
          <w:szCs w:val="19"/>
          <w:u w:val="single" w:color="auto"/>
          <w:color w:val="auto"/>
        </w:rPr>
        <w:t>Pension Plans</w:t>
      </w:r>
      <w:r>
        <w:rPr>
          <w:rFonts w:ascii="Arial" w:cs="Arial" w:eastAsia="Arial" w:hAnsi="Arial"/>
          <w:sz w:val="19"/>
          <w:szCs w:val="19"/>
          <w:color w:val="auto"/>
        </w:rPr>
        <w:t>”), does not exceed the value of the assets of the Pension Plan allocable to such vested benefits (based on the value of such assets as of the last annual violation date). No prohibited transactions, accumulated funding deficiencies, withdrawals or reportable events have occurred with respect to any Pension Plans that, in the aggregate, could subject the Borrower to any material tax, penalty or other liability. No notice of intent to terminate a Pension Plan has been filed, nor has any Pension Plan been terminated under Section 4041(f) of ERISA, nor has the Pension Benefit Guaranty Corporation instituted proceedings to terminate, or appoint a trustee to administer a Pension Plan and no event has occurred or condition exists that might constitute grounds under Section 4042 of ERISA for the termination of, or the appointment of a trustee to administer, any Pension Plan.</w:t>
      </w:r>
    </w:p>
    <w:p>
      <w:pPr>
        <w:spacing w:after="0" w:line="159" w:lineRule="exact"/>
        <w:rPr>
          <w:rFonts w:ascii="Arial" w:cs="Arial" w:eastAsia="Arial" w:hAnsi="Arial"/>
          <w:sz w:val="19"/>
          <w:szCs w:val="19"/>
          <w:color w:val="auto"/>
        </w:rPr>
      </w:pPr>
    </w:p>
    <w:p>
      <w:pPr>
        <w:jc w:val="both"/>
        <w:ind w:firstLine="1304"/>
        <w:spacing w:after="0" w:line="245" w:lineRule="auto"/>
        <w:tabs>
          <w:tab w:leader="none" w:pos="1941"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Patriot Act</w:t>
      </w:r>
      <w:r>
        <w:rPr>
          <w:rFonts w:ascii="Arial" w:cs="Arial" w:eastAsia="Arial" w:hAnsi="Arial"/>
          <w:sz w:val="22"/>
          <w:szCs w:val="22"/>
          <w:color w:val="auto"/>
        </w:rPr>
        <w:t>. To the extent applicable, each of the Borrower, the Originator and their Affiliates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22"/>
          <w:szCs w:val="22"/>
          <w:u w:val="single" w:color="auto"/>
          <w:color w:val="auto"/>
        </w:rPr>
        <w:t>Patriot Act</w:t>
      </w:r>
      <w:r>
        <w:rPr>
          <w:rFonts w:ascii="Arial" w:cs="Arial" w:eastAsia="Arial" w:hAnsi="Arial"/>
          <w:sz w:val="22"/>
          <w:szCs w:val="22"/>
          <w:color w:val="auto"/>
        </w:rPr>
        <w:t>”). No part of the proceeds of any funding made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jc w:val="both"/>
        <w:ind w:firstLine="1304"/>
        <w:spacing w:after="0" w:line="297" w:lineRule="auto"/>
        <w:tabs>
          <w:tab w:leader="none" w:pos="194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in Contribution Agreement</w:t>
      </w:r>
      <w:r>
        <w:rPr>
          <w:rFonts w:ascii="Arial" w:cs="Arial" w:eastAsia="Arial" w:hAnsi="Arial"/>
          <w:sz w:val="19"/>
          <w:szCs w:val="19"/>
          <w:color w:val="auto"/>
        </w:rPr>
        <w:t xml:space="preserve">. The representations and warranties made by the Originator to the Borrower in the Contribution Agreement are hereby remade by the Borrower on each date to which they speak in the Contribution Agreement as if such representations and warranties were set forth herein. For purposes of this </w:t>
      </w:r>
      <w:r>
        <w:rPr>
          <w:rFonts w:ascii="Arial" w:cs="Arial" w:eastAsia="Arial" w:hAnsi="Arial"/>
          <w:sz w:val="19"/>
          <w:szCs w:val="19"/>
          <w:u w:val="single" w:color="auto"/>
          <w:color w:val="auto"/>
        </w:rPr>
        <w:t>Section 4.1(aa)</w:t>
      </w:r>
      <w:r>
        <w:rPr>
          <w:rFonts w:ascii="Arial" w:cs="Arial" w:eastAsia="Arial" w:hAnsi="Arial"/>
          <w:sz w:val="19"/>
          <w:szCs w:val="19"/>
          <w:color w:val="auto"/>
        </w:rPr>
        <w:t>, such representations and warranties are incorporated herein by reference as if made by the Borrower to the Deal Agent, the Collateral Agent and each of the other Secured Parties under the terms hereof mutatis mutandis.</w:t>
      </w:r>
    </w:p>
    <w:p>
      <w:pPr>
        <w:spacing w:after="0" w:line="146" w:lineRule="exact"/>
        <w:rPr>
          <w:rFonts w:ascii="Arial" w:cs="Arial" w:eastAsia="Arial" w:hAnsi="Arial"/>
          <w:sz w:val="19"/>
          <w:szCs w:val="19"/>
          <w:color w:val="auto"/>
        </w:rPr>
      </w:pPr>
    </w:p>
    <w:p>
      <w:pPr>
        <w:jc w:val="both"/>
        <w:ind w:firstLine="1304"/>
        <w:spacing w:after="0" w:line="294" w:lineRule="auto"/>
        <w:tabs>
          <w:tab w:leader="none" w:pos="1939"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Amount of Loans and Contracts; Computer File</w:t>
      </w:r>
      <w:r>
        <w:rPr>
          <w:rFonts w:ascii="Arial" w:cs="Arial" w:eastAsia="Arial" w:hAnsi="Arial"/>
          <w:sz w:val="19"/>
          <w:szCs w:val="19"/>
          <w:color w:val="auto"/>
        </w:rPr>
        <w:t xml:space="preserve">. When new Pools or Purchased Loans are pledged to the Collateral Agent, Credit Acceptance shall provide the Collateral Agent with information regarding (A) the aggregate Outstanding Balance of the Contracts to be pledged to the Collateral Agent on the related Addition Date; and (B) the Aggregate Outstanding Eligible Loan Balance, each as of the applicable Cut-Off Date and as reported in Credit Acceptance's loan servicing system. The computer file delivered pursuant to </w:t>
      </w:r>
      <w:r>
        <w:rPr>
          <w:rFonts w:ascii="Arial" w:cs="Arial" w:eastAsia="Arial" w:hAnsi="Arial"/>
          <w:sz w:val="19"/>
          <w:szCs w:val="19"/>
          <w:u w:val="single" w:color="auto"/>
          <w:color w:val="auto"/>
        </w:rPr>
        <w:t>Section 2.2(a)(iii)</w:t>
      </w:r>
      <w:r>
        <w:rPr>
          <w:rFonts w:ascii="Arial" w:cs="Arial" w:eastAsia="Arial" w:hAnsi="Arial"/>
          <w:sz w:val="19"/>
          <w:szCs w:val="19"/>
          <w:color w:val="auto"/>
        </w:rPr>
        <w:t xml:space="preserve"> hereof is complete and accurately reflects the information regarding the Loans, applicable Dealer Agreements and Contracts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0" w:name="page61"/>
    <w:bookmarkEnd w:id="60"/>
    <w:p>
      <w:pPr>
        <w:jc w:val="both"/>
        <w:ind w:firstLine="1304"/>
        <w:spacing w:after="0" w:line="265" w:lineRule="auto"/>
        <w:tabs>
          <w:tab w:leader="none" w:pos="1942" w:val="left"/>
        </w:tabs>
        <w:numPr>
          <w:ilvl w:val="1"/>
          <w:numId w:val="62"/>
        </w:numPr>
        <w:rPr>
          <w:rFonts w:ascii="Arial" w:cs="Arial" w:eastAsia="Arial" w:hAnsi="Arial"/>
          <w:sz w:val="21"/>
          <w:szCs w:val="21"/>
          <w:color w:val="auto"/>
        </w:rPr>
      </w:pPr>
      <w:r>
        <w:rPr>
          <w:rFonts w:ascii="Arial" w:cs="Arial" w:eastAsia="Arial" w:hAnsi="Arial"/>
          <w:sz w:val="21"/>
          <w:szCs w:val="21"/>
          <w:u w:val="single" w:color="auto"/>
          <w:color w:val="auto"/>
        </w:rPr>
        <w:t>Use of Proceeds</w:t>
      </w:r>
      <w:r>
        <w:rPr>
          <w:rFonts w:ascii="Arial" w:cs="Arial" w:eastAsia="Arial" w:hAnsi="Arial"/>
          <w:sz w:val="21"/>
          <w:szCs w:val="21"/>
          <w:color w:val="auto"/>
        </w:rPr>
        <w:t xml:space="preserve">. Amounts received by the Borrower pursuant to this Agreement will be used by the Borrower to purchase the Loans and related Collateral from the Originator pursuant to the Contribution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in this Agreement shall be deemed to limit the Borrower's right to use amounts received by it pursuant to </w:t>
      </w:r>
      <w:r>
        <w:rPr>
          <w:rFonts w:ascii="Arial" w:cs="Arial" w:eastAsia="Arial" w:hAnsi="Arial"/>
          <w:sz w:val="21"/>
          <w:szCs w:val="21"/>
          <w:u w:val="single" w:color="auto"/>
          <w:color w:val="auto"/>
        </w:rPr>
        <w:t>Section 2.7(a)(ix)</w:t>
      </w:r>
      <w:r>
        <w:rPr>
          <w:rFonts w:ascii="Arial" w:cs="Arial" w:eastAsia="Arial" w:hAnsi="Arial"/>
          <w:sz w:val="21"/>
          <w:szCs w:val="21"/>
          <w:color w:val="auto"/>
        </w:rPr>
        <w:t xml:space="preserve"> in any manner, including to make distributions to Credit Acceptance.</w:t>
      </w:r>
    </w:p>
    <w:p>
      <w:pPr>
        <w:spacing w:after="0" w:line="175" w:lineRule="exact"/>
        <w:rPr>
          <w:rFonts w:ascii="Arial" w:cs="Arial" w:eastAsia="Arial" w:hAnsi="Arial"/>
          <w:sz w:val="21"/>
          <w:szCs w:val="21"/>
          <w:color w:val="auto"/>
        </w:rPr>
      </w:pPr>
    </w:p>
    <w:p>
      <w:pPr>
        <w:ind w:left="1940" w:hanging="636"/>
        <w:spacing w:after="0"/>
        <w:tabs>
          <w:tab w:leader="none" w:pos="1940"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Subsidiaries</w:t>
      </w:r>
      <w:r>
        <w:rPr>
          <w:rFonts w:ascii="Arial" w:cs="Arial" w:eastAsia="Arial" w:hAnsi="Arial"/>
          <w:sz w:val="22"/>
          <w:szCs w:val="22"/>
          <w:color w:val="auto"/>
        </w:rPr>
        <w:t>. The Borrower does not have any Subsidiaries.</w:t>
      </w:r>
    </w:p>
    <w:p>
      <w:pPr>
        <w:spacing w:after="0" w:line="219" w:lineRule="exact"/>
        <w:rPr>
          <w:rFonts w:ascii="Arial" w:cs="Arial" w:eastAsia="Arial" w:hAnsi="Arial"/>
          <w:sz w:val="22"/>
          <w:szCs w:val="22"/>
          <w:color w:val="auto"/>
        </w:rPr>
      </w:pPr>
    </w:p>
    <w:p>
      <w:pPr>
        <w:ind w:right="20" w:firstLine="1304"/>
        <w:spacing w:after="0" w:line="263" w:lineRule="auto"/>
        <w:tabs>
          <w:tab w:leader="none" w:pos="1942"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Equity in Borrower</w:t>
      </w:r>
      <w:r>
        <w:rPr>
          <w:rFonts w:ascii="Arial" w:cs="Arial" w:eastAsia="Arial" w:hAnsi="Arial"/>
          <w:sz w:val="22"/>
          <w:szCs w:val="22"/>
          <w:color w:val="auto"/>
        </w:rPr>
        <w:t>. The Borrower has neither sold nor pledged any of its limited liability company interests to any entity other than Credit Acceptance.</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Sanctions</w:t>
      </w:r>
      <w:r>
        <w:rPr>
          <w:rFonts w:ascii="Arial" w:cs="Arial" w:eastAsia="Arial" w:hAnsi="Arial"/>
          <w:sz w:val="19"/>
          <w:szCs w:val="19"/>
          <w:color w:val="auto"/>
        </w:rPr>
        <w:t>. The Borrower represents and warrants continuously throughout the term of this Agreement that:</w:t>
      </w:r>
    </w:p>
    <w:p>
      <w:pPr>
        <w:spacing w:after="0" w:line="55" w:lineRule="exact"/>
        <w:rPr>
          <w:rFonts w:ascii="Arial" w:cs="Arial" w:eastAsia="Arial" w:hAnsi="Arial"/>
          <w:sz w:val="19"/>
          <w:szCs w:val="19"/>
          <w:color w:val="auto"/>
        </w:rPr>
      </w:pPr>
    </w:p>
    <w:p>
      <w:pPr>
        <w:jc w:val="both"/>
        <w:ind w:firstLine="8"/>
        <w:spacing w:after="0" w:line="290" w:lineRule="auto"/>
        <w:tabs>
          <w:tab w:leader="none" w:pos="294" w:val="left"/>
        </w:tabs>
        <w:numPr>
          <w:ilvl w:val="0"/>
          <w:numId w:val="63"/>
        </w:numPr>
        <w:rPr>
          <w:rFonts w:ascii="Arial" w:cs="Arial" w:eastAsia="Arial" w:hAnsi="Arial"/>
          <w:sz w:val="19"/>
          <w:szCs w:val="19"/>
          <w:color w:val="auto"/>
        </w:rPr>
      </w:pPr>
      <w:r>
        <w:rPr>
          <w:rFonts w:ascii="Arial" w:cs="Arial" w:eastAsia="Arial" w:hAnsi="Arial"/>
          <w:sz w:val="19"/>
          <w:szCs w:val="19"/>
          <w:color w:val="auto"/>
        </w:rPr>
        <w:t>no member of the Borrowing Group is a Sanctioned Target; (b) no member of the Borrowing Group is owned or controlled by, or is acting or purporting to act for or on behalf of, directly or indirectly, a Sanctioned Target; (c) each member of the Borrowing Group has instituted, maintains and complies with policies, procedures and controls reasonably designed to assure compliance with Sanctions; and (d) to the best of the Borrower's knowledge, after due care and inquiry, no member of the Borrowing Group is under investigation for an alleged violation of Sanction(s) by a governmental authority that enforces Sanctions. Borrower shall notify Lender in writing not more than three (3) Business Days after first becoming aware of any breach of this section.</w:t>
      </w:r>
    </w:p>
    <w:p>
      <w:pPr>
        <w:spacing w:after="0" w:line="153" w:lineRule="exact"/>
        <w:rPr>
          <w:rFonts w:ascii="Arial" w:cs="Arial" w:eastAsia="Arial" w:hAnsi="Arial"/>
          <w:sz w:val="19"/>
          <w:szCs w:val="19"/>
          <w:color w:val="auto"/>
        </w:rPr>
      </w:pPr>
    </w:p>
    <w:p>
      <w:pPr>
        <w:jc w:val="both"/>
        <w:ind w:firstLine="1304"/>
        <w:spacing w:after="0" w:line="247" w:lineRule="auto"/>
        <w:tabs>
          <w:tab w:leader="none" w:pos="1939"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Anti-Money Laundering and Anti-Corruption Laws</w:t>
      </w:r>
      <w:r>
        <w:rPr>
          <w:rFonts w:ascii="Arial" w:cs="Arial" w:eastAsia="Arial" w:hAnsi="Arial"/>
          <w:sz w:val="22"/>
          <w:szCs w:val="22"/>
          <w:color w:val="auto"/>
        </w:rPr>
        <w:t>. The Borrower represents and warrants continuously throughout the term of this Agreement that: (a) each member of the Borrowing Group has instituted, maintains and complies with policies, procedures and controls reasonably designed to assure compliance with Anti-Money Laundering Laws and Anti-Corruption Laws; and (b) to the best of the Borrower's knowledge, after due care and inquiry, no member of the Borrowing Group is under investigation for an alleged violation of Anti-Money Laundering Laws or Anti-Corruption Laws by a governmental authority that enforces such laws.</w:t>
      </w:r>
    </w:p>
    <w:p>
      <w:pPr>
        <w:spacing w:after="0" w:line="192" w:lineRule="exact"/>
        <w:rPr>
          <w:rFonts w:ascii="Arial" w:cs="Arial" w:eastAsia="Arial" w:hAnsi="Arial"/>
          <w:sz w:val="22"/>
          <w:szCs w:val="22"/>
          <w:color w:val="auto"/>
        </w:rPr>
      </w:pPr>
    </w:p>
    <w:p>
      <w:pPr>
        <w:ind w:firstLine="1304"/>
        <w:spacing w:after="0" w:line="287" w:lineRule="auto"/>
        <w:tabs>
          <w:tab w:leader="none" w:pos="1939"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Beneficial Ownership Certification</w:t>
      </w:r>
      <w:r>
        <w:rPr>
          <w:rFonts w:ascii="Arial" w:cs="Arial" w:eastAsia="Arial" w:hAnsi="Arial"/>
          <w:sz w:val="21"/>
          <w:szCs w:val="21"/>
          <w:color w:val="auto"/>
        </w:rPr>
        <w:t>. As of the date hereof and as of each Addition Date, the information included in the Beneficial Ownership Certification (to the extent required) is true and correct in all respects.</w:t>
      </w:r>
    </w:p>
    <w:p>
      <w:pPr>
        <w:spacing w:after="0" w:line="151" w:lineRule="exact"/>
        <w:rPr>
          <w:rFonts w:ascii="Arial" w:cs="Arial" w:eastAsia="Arial" w:hAnsi="Arial"/>
          <w:sz w:val="21"/>
          <w:szCs w:val="21"/>
          <w:color w:val="auto"/>
        </w:rPr>
      </w:pPr>
    </w:p>
    <w:p>
      <w:pPr>
        <w:ind w:left="1940" w:hanging="636"/>
        <w:spacing w:after="0"/>
        <w:tabs>
          <w:tab w:leader="none" w:pos="1940"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Tax Treatment</w:t>
      </w:r>
      <w:r>
        <w:rPr>
          <w:rFonts w:ascii="Arial" w:cs="Arial" w:eastAsia="Arial" w:hAnsi="Arial"/>
          <w:sz w:val="19"/>
          <w:szCs w:val="19"/>
          <w:color w:val="auto"/>
        </w:rPr>
        <w:t>. The Borrower is an entity disregarded as separate from the Originator for U.S. federal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income tax purposes.</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representations and warranties set forth in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shall survive the Borrower's pledge of the Collateral to the Collateral Agent and the termination of the rights and obligations of the Servicer. Upon discovery by the Borrower, the Servicer or Credit Acceptance, or upon written notice or actual knowledge by a Responsible Officer of the Collateral Agent, of a breach of any of the representations and warranties set forth herein, the party discovering, receiving notice of or having actual knowledge, as applicable, of such breach shall give prompt written notice to the other parties of such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1" w:name="page62"/>
    <w:bookmarkEnd w:id="61"/>
    <w:p>
      <w:pPr>
        <w:ind w:left="660"/>
        <w:spacing w:after="0"/>
        <w:tabs>
          <w:tab w:leader="none" w:pos="194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Representations and Warranties of the Borrower Relating to the Loans and the Related Contracts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Eligibility of Loans</w:t>
      </w:r>
      <w:r>
        <w:rPr>
          <w:rFonts w:ascii="Arial" w:cs="Arial" w:eastAsia="Arial" w:hAnsi="Arial"/>
          <w:sz w:val="19"/>
          <w:szCs w:val="19"/>
          <w:color w:val="auto"/>
        </w:rPr>
        <w:t>. The Borrower hereby represents and warrants to the Deal Agent, the Collateral Agent, the other Secured Parties and the Backup Servicer as of the Closing Date and as of each Addition Date, with respect to the Dealer Agreements, Loans, Contracts and Related Security pledged to the Collateral Agent on such date that:</w:t>
      </w:r>
    </w:p>
    <w:p>
      <w:pPr>
        <w:spacing w:after="0" w:line="133" w:lineRule="exact"/>
        <w:rPr>
          <w:rFonts w:ascii="Arial" w:cs="Arial" w:eastAsia="Arial" w:hAnsi="Arial"/>
          <w:sz w:val="19"/>
          <w:szCs w:val="19"/>
          <w:color w:val="auto"/>
        </w:rPr>
      </w:pPr>
    </w:p>
    <w:p>
      <w:pPr>
        <w:jc w:val="both"/>
        <w:ind w:left="660" w:firstLine="1292"/>
        <w:spacing w:after="0" w:line="289" w:lineRule="auto"/>
        <w:tabs>
          <w:tab w:leader="none" w:pos="2592" w:val="left"/>
        </w:tabs>
        <w:numPr>
          <w:ilvl w:val="1"/>
          <w:numId w:val="64"/>
        </w:numPr>
        <w:rPr>
          <w:rFonts w:ascii="Arial" w:cs="Arial" w:eastAsia="Arial" w:hAnsi="Arial"/>
          <w:sz w:val="19"/>
          <w:szCs w:val="19"/>
          <w:color w:val="auto"/>
        </w:rPr>
      </w:pPr>
      <w:r>
        <w:rPr>
          <w:rFonts w:ascii="Arial" w:cs="Arial" w:eastAsia="Arial" w:hAnsi="Arial"/>
          <w:sz w:val="19"/>
          <w:szCs w:val="19"/>
          <w:color w:val="auto"/>
        </w:rPr>
        <w:t>(x) except as permitted by the definition of Collateral Amount, each Loan classified as an “</w:t>
      </w:r>
      <w:r>
        <w:rPr>
          <w:rFonts w:ascii="Arial" w:cs="Arial" w:eastAsia="Arial" w:hAnsi="Arial"/>
          <w:sz w:val="19"/>
          <w:szCs w:val="19"/>
          <w:u w:val="single" w:color="auto"/>
          <w:color w:val="auto"/>
        </w:rPr>
        <w:t>Eligible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Dealer Loan</w:t>
      </w:r>
      <w:r>
        <w:rPr>
          <w:rFonts w:ascii="Arial" w:cs="Arial" w:eastAsia="Arial" w:hAnsi="Arial"/>
          <w:sz w:val="19"/>
          <w:szCs w:val="19"/>
          <w:color w:val="auto"/>
        </w:rPr>
        <w:t>” (or included in any aggregation of balances of “</w:t>
      </w:r>
      <w:r>
        <w:rPr>
          <w:rFonts w:ascii="Arial" w:cs="Arial" w:eastAsia="Arial" w:hAnsi="Arial"/>
          <w:sz w:val="19"/>
          <w:szCs w:val="19"/>
          <w:u w:val="single" w:color="auto"/>
          <w:color w:val="auto"/>
        </w:rPr>
        <w:t>Eligible Dealer Loans</w:t>
      </w:r>
      <w:r>
        <w:rPr>
          <w:rFonts w:ascii="Arial" w:cs="Arial" w:eastAsia="Arial" w:hAnsi="Arial"/>
          <w:sz w:val="19"/>
          <w:szCs w:val="19"/>
          <w:color w:val="auto"/>
        </w:rPr>
        <w:t>”) or as an “</w:t>
      </w:r>
      <w:r>
        <w:rPr>
          <w:rFonts w:ascii="Arial" w:cs="Arial" w:eastAsia="Arial" w:hAnsi="Arial"/>
          <w:sz w:val="19"/>
          <w:szCs w:val="19"/>
          <w:u w:val="single" w:color="auto"/>
          <w:color w:val="auto"/>
        </w:rPr>
        <w:t>Eligible Purchased Loan</w:t>
      </w:r>
      <w:r>
        <w:rPr>
          <w:rFonts w:ascii="Arial" w:cs="Arial" w:eastAsia="Arial" w:hAnsi="Arial"/>
          <w:sz w:val="19"/>
          <w:szCs w:val="19"/>
          <w:color w:val="auto"/>
        </w:rPr>
        <w:t>” (or included in any aggregation of balances of “</w:t>
      </w:r>
      <w:r>
        <w:rPr>
          <w:rFonts w:ascii="Arial" w:cs="Arial" w:eastAsia="Arial" w:hAnsi="Arial"/>
          <w:sz w:val="19"/>
          <w:szCs w:val="19"/>
          <w:u w:val="single" w:color="auto"/>
          <w:color w:val="auto"/>
        </w:rPr>
        <w:t>Eligible Purchased Loans</w:t>
      </w:r>
      <w:r>
        <w:rPr>
          <w:rFonts w:ascii="Arial" w:cs="Arial" w:eastAsia="Arial" w:hAnsi="Arial"/>
          <w:sz w:val="19"/>
          <w:szCs w:val="19"/>
          <w:color w:val="auto"/>
        </w:rPr>
        <w:t>”) by the Borrower or the Servicer in any document or report delivered hereunder satisfied the requirements contained in the definition of Eligible Dealer Loan or Eligible Purchased Loan, as applicable, on the date so delivered; and (y) except as permitted by the definition of Collateral Amount, each Contract classified as an “</w:t>
      </w:r>
      <w:r>
        <w:rPr>
          <w:rFonts w:ascii="Arial" w:cs="Arial" w:eastAsia="Arial" w:hAnsi="Arial"/>
          <w:sz w:val="19"/>
          <w:szCs w:val="19"/>
          <w:u w:val="single" w:color="auto"/>
          <w:color w:val="auto"/>
        </w:rPr>
        <w:t>Eligible Dealer Loan Contract</w:t>
      </w:r>
      <w:r>
        <w:rPr>
          <w:rFonts w:ascii="Arial" w:cs="Arial" w:eastAsia="Arial" w:hAnsi="Arial"/>
          <w:sz w:val="19"/>
          <w:szCs w:val="19"/>
          <w:color w:val="auto"/>
        </w:rPr>
        <w:t>” or “</w:t>
      </w:r>
      <w:r>
        <w:rPr>
          <w:rFonts w:ascii="Arial" w:cs="Arial" w:eastAsia="Arial" w:hAnsi="Arial"/>
          <w:sz w:val="19"/>
          <w:szCs w:val="19"/>
          <w:u w:val="single" w:color="auto"/>
          <w:color w:val="auto"/>
        </w:rPr>
        <w:t>Eligible Purchased Loan Contract</w:t>
      </w:r>
      <w:r>
        <w:rPr>
          <w:rFonts w:ascii="Arial" w:cs="Arial" w:eastAsia="Arial" w:hAnsi="Arial"/>
          <w:sz w:val="19"/>
          <w:szCs w:val="19"/>
          <w:color w:val="auto"/>
        </w:rPr>
        <w:t>” (or included in any aggregation of balances of “</w:t>
      </w:r>
      <w:r>
        <w:rPr>
          <w:rFonts w:ascii="Arial" w:cs="Arial" w:eastAsia="Arial" w:hAnsi="Arial"/>
          <w:sz w:val="19"/>
          <w:szCs w:val="19"/>
          <w:u w:val="single" w:color="auto"/>
          <w:color w:val="auto"/>
        </w:rPr>
        <w:t>Eligible Dealer Loan Contracts</w:t>
      </w:r>
      <w:r>
        <w:rPr>
          <w:rFonts w:ascii="Arial" w:cs="Arial" w:eastAsia="Arial" w:hAnsi="Arial"/>
          <w:sz w:val="19"/>
          <w:szCs w:val="19"/>
          <w:color w:val="auto"/>
        </w:rPr>
        <w:t>” or “</w:t>
      </w:r>
      <w:r>
        <w:rPr>
          <w:rFonts w:ascii="Arial" w:cs="Arial" w:eastAsia="Arial" w:hAnsi="Arial"/>
          <w:sz w:val="19"/>
          <w:szCs w:val="19"/>
          <w:u w:val="single" w:color="auto"/>
          <w:color w:val="auto"/>
        </w:rPr>
        <w:t>Eligible Purchased Loan Contracts</w:t>
      </w:r>
      <w:r>
        <w:rPr>
          <w:rFonts w:ascii="Arial" w:cs="Arial" w:eastAsia="Arial" w:hAnsi="Arial"/>
          <w:sz w:val="19"/>
          <w:szCs w:val="19"/>
          <w:color w:val="auto"/>
        </w:rPr>
        <w:t>”) by the Borrower or the Servicer in any document or report delivered hereunder satisfied the requirements contained in the definition of Eligible Dealer Loan Contract or Eligible Purchased Loan Contract on the date so delivered;</w:t>
      </w:r>
    </w:p>
    <w:p>
      <w:pPr>
        <w:spacing w:after="0" w:line="156" w:lineRule="exact"/>
        <w:rPr>
          <w:rFonts w:ascii="Arial" w:cs="Arial" w:eastAsia="Arial" w:hAnsi="Arial"/>
          <w:sz w:val="19"/>
          <w:szCs w:val="19"/>
          <w:color w:val="auto"/>
        </w:rPr>
      </w:pPr>
    </w:p>
    <w:p>
      <w:pPr>
        <w:jc w:val="both"/>
        <w:ind w:left="660" w:firstLine="1292"/>
        <w:spacing w:after="0" w:line="248" w:lineRule="auto"/>
        <w:tabs>
          <w:tab w:leader="none" w:pos="2598" w:val="left"/>
        </w:tabs>
        <w:numPr>
          <w:ilvl w:val="1"/>
          <w:numId w:val="64"/>
        </w:numPr>
        <w:rPr>
          <w:rFonts w:ascii="Arial" w:cs="Arial" w:eastAsia="Arial" w:hAnsi="Arial"/>
          <w:sz w:val="22"/>
          <w:szCs w:val="22"/>
          <w:color w:val="auto"/>
        </w:rPr>
      </w:pPr>
      <w:r>
        <w:rPr>
          <w:rFonts w:ascii="Arial" w:cs="Arial" w:eastAsia="Arial" w:hAnsi="Arial"/>
          <w:sz w:val="22"/>
          <w:szCs w:val="22"/>
          <w:color w:val="auto"/>
        </w:rPr>
        <w:t>all information with respect to the Dealer Agreements, Purchase Agreements and the Loans and the Contracts and the other Collateral provided to the Collateral Agent, the Backup Servicer, any Lender or the Deal Agent by the Borrower or the Servicer was true and correct in all material respects as of the date such information was provided to the Collateral Agent, the Backup Servicer, such Lender or the Deal Agent (or such earlier time as specifically set forth in such information), as applicable;</w:t>
      </w:r>
    </w:p>
    <w:p>
      <w:pPr>
        <w:spacing w:after="0" w:line="191" w:lineRule="exact"/>
        <w:rPr>
          <w:rFonts w:ascii="Arial" w:cs="Arial" w:eastAsia="Arial" w:hAnsi="Arial"/>
          <w:sz w:val="22"/>
          <w:szCs w:val="22"/>
          <w:color w:val="auto"/>
        </w:rPr>
      </w:pPr>
    </w:p>
    <w:p>
      <w:pPr>
        <w:jc w:val="both"/>
        <w:ind w:left="660" w:firstLine="1292"/>
        <w:spacing w:after="0" w:line="312" w:lineRule="auto"/>
        <w:tabs>
          <w:tab w:leader="none" w:pos="2604" w:val="left"/>
        </w:tabs>
        <w:numPr>
          <w:ilvl w:val="1"/>
          <w:numId w:val="64"/>
        </w:numPr>
        <w:rPr>
          <w:rFonts w:ascii="Arial" w:cs="Arial" w:eastAsia="Arial" w:hAnsi="Arial"/>
          <w:sz w:val="19"/>
          <w:szCs w:val="19"/>
          <w:color w:val="auto"/>
        </w:rPr>
      </w:pPr>
      <w:r>
        <w:rPr>
          <w:rFonts w:ascii="Arial" w:cs="Arial" w:eastAsia="Arial" w:hAnsi="Arial"/>
          <w:sz w:val="19"/>
          <w:szCs w:val="19"/>
          <w:color w:val="auto"/>
        </w:rPr>
        <w:t>each Loan and all other Collateral has been pledged to the Collateral Agent free and clear of any Lien of any Person (other than, with respect to the Dealer Loan Contracts, the second priority Lien of the related Dealer therein as set forth in the related Dealer Agreement) and in compliance, in all material respects, with all Applicable Laws;</w:t>
      </w:r>
    </w:p>
    <w:p>
      <w:pPr>
        <w:spacing w:after="0" w:line="133" w:lineRule="exact"/>
        <w:rPr>
          <w:rFonts w:ascii="Arial" w:cs="Arial" w:eastAsia="Arial" w:hAnsi="Arial"/>
          <w:sz w:val="19"/>
          <w:szCs w:val="19"/>
          <w:color w:val="auto"/>
        </w:rPr>
      </w:pPr>
    </w:p>
    <w:p>
      <w:pPr>
        <w:jc w:val="both"/>
        <w:ind w:left="660" w:firstLine="1292"/>
        <w:spacing w:after="0" w:line="248" w:lineRule="auto"/>
        <w:tabs>
          <w:tab w:leader="none" w:pos="2592" w:val="left"/>
        </w:tabs>
        <w:numPr>
          <w:ilvl w:val="1"/>
          <w:numId w:val="64"/>
        </w:numPr>
        <w:rPr>
          <w:rFonts w:ascii="Arial" w:cs="Arial" w:eastAsia="Arial" w:hAnsi="Arial"/>
          <w:sz w:val="22"/>
          <w:szCs w:val="22"/>
          <w:color w:val="auto"/>
        </w:rPr>
      </w:pPr>
      <w:r>
        <w:rPr>
          <w:rFonts w:ascii="Arial" w:cs="Arial" w:eastAsia="Arial" w:hAnsi="Arial"/>
          <w:sz w:val="22"/>
          <w:szCs w:val="22"/>
          <w:color w:val="auto"/>
        </w:rPr>
        <w:t>with respect to each Dealer Agreement, Purchase Agreement, Loan, Contract and all other Collateral, all consents, licenses, approvals or authorizations of or registrations or declarations with any Governmental Authority required to be obtained, effected or given by the Borrower, in connection with the pledge of such Dealer Agreement, Purchase Agreement, Loan, Contract or other Collateral to the Collateral Agent have been duly obtained, effected or given and are in full force and effect;</w:t>
      </w:r>
    </w:p>
    <w:p>
      <w:pPr>
        <w:spacing w:after="0" w:line="191" w:lineRule="exact"/>
        <w:rPr>
          <w:rFonts w:ascii="Arial" w:cs="Arial" w:eastAsia="Arial" w:hAnsi="Arial"/>
          <w:sz w:val="22"/>
          <w:szCs w:val="22"/>
          <w:color w:val="auto"/>
        </w:rPr>
      </w:pPr>
    </w:p>
    <w:p>
      <w:pPr>
        <w:jc w:val="both"/>
        <w:ind w:left="660" w:firstLine="1292"/>
        <w:spacing w:after="0" w:line="312" w:lineRule="auto"/>
        <w:tabs>
          <w:tab w:leader="none" w:pos="2599"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to this Agreement, which may be supplemented and updated from time to time, is and will be accurate and complete listings of all Loans, Contracts and Dealer Agreements in all material respects on the date each such Loan, Contract or Dealer Agreement was pledged to the Collateral Agent hereunder,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2" w:name="page63"/>
    <w:bookmarkEnd w:id="62"/>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information contained therein is and will be true and correct in all material respects as of such date;</w:t>
      </w:r>
    </w:p>
    <w:p>
      <w:pPr>
        <w:spacing w:after="0" w:line="220" w:lineRule="exact"/>
        <w:rPr>
          <w:sz w:val="20"/>
          <w:szCs w:val="20"/>
          <w:color w:val="auto"/>
        </w:rPr>
      </w:pPr>
    </w:p>
    <w:p>
      <w:pPr>
        <w:ind w:left="2580" w:hanging="628"/>
        <w:spacing w:after="0"/>
        <w:tabs>
          <w:tab w:leader="none" w:pos="2580" w:val="left"/>
        </w:tabs>
        <w:numPr>
          <w:ilvl w:val="1"/>
          <w:numId w:val="65"/>
        </w:numPr>
        <w:rPr>
          <w:rFonts w:ascii="Arial" w:cs="Arial" w:eastAsia="Arial" w:hAnsi="Arial"/>
          <w:sz w:val="22"/>
          <w:szCs w:val="22"/>
          <w:color w:val="auto"/>
        </w:rPr>
      </w:pPr>
      <w:r>
        <w:rPr>
          <w:rFonts w:ascii="Arial" w:cs="Arial" w:eastAsia="Arial" w:hAnsi="Arial"/>
          <w:sz w:val="22"/>
          <w:szCs w:val="22"/>
          <w:color w:val="auto"/>
        </w:rPr>
        <w:t>each Contract and Purchased Loan constitutes tangible or electronic chattel paper; and</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598"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no selection procedure believed by the Borrower to be materially adverse to the interests of the Secured Parties has been or will be used in selecting the Dealer Agreements, Loans or Contracts;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during the Revolving Period, Credit Acceptance in its sole discretion may elect to sell to the Borrower Dealer Loans secured by either Open Pools or Closed Pools.</w:t>
      </w:r>
    </w:p>
    <w:p>
      <w:pPr>
        <w:spacing w:after="0" w:line="187" w:lineRule="exact"/>
        <w:rPr>
          <w:rFonts w:ascii="Arial" w:cs="Arial" w:eastAsia="Arial" w:hAnsi="Arial"/>
          <w:sz w:val="22"/>
          <w:szCs w:val="22"/>
          <w:color w:val="auto"/>
        </w:rPr>
      </w:pPr>
    </w:p>
    <w:p>
      <w:pPr>
        <w:jc w:val="both"/>
        <w:ind w:firstLine="1304"/>
        <w:spacing w:after="0" w:line="247" w:lineRule="auto"/>
        <w:tabs>
          <w:tab w:leader="none" w:pos="193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Notice of Breach</w:t>
      </w:r>
      <w:r>
        <w:rPr>
          <w:rFonts w:ascii="Arial" w:cs="Arial" w:eastAsia="Arial" w:hAnsi="Arial"/>
          <w:sz w:val="22"/>
          <w:szCs w:val="22"/>
          <w:color w:val="auto"/>
        </w:rPr>
        <w:t xml:space="preserve">. The representations and warranties set forth in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shall survive the pledge of the Collateral to the Collateral Agent and the termination of the rights and obligations of the Servicer. Upon discovery by the Borrower, the Servicer or Credit Acceptance, or upon written notice or actual knowledge by a Responsible Officer of the Collateral Agent or the Backup Servicer, of a breach of any of the representations and warranties set forth herein, the party discovering, receiving notice of or having actual knowledge, as applicable, of such breach shall give prompt written notice to the other parties of such breach.</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Representations and Warranties of the Servicer</w:t>
      </w:r>
      <w:r>
        <w:rPr>
          <w:rFonts w:ascii="Arial" w:cs="Arial" w:eastAsia="Arial" w:hAnsi="Arial"/>
          <w:sz w:val="22"/>
          <w:szCs w:val="22"/>
          <w:color w:val="auto"/>
        </w:rPr>
        <w:t>. The initial Servicer represents and warrants as follows on the Closing Date and as of each Addition Date:</w:t>
      </w:r>
    </w:p>
    <w:p>
      <w:pPr>
        <w:spacing w:after="0" w:line="175" w:lineRule="exact"/>
        <w:rPr>
          <w:sz w:val="20"/>
          <w:szCs w:val="20"/>
          <w:color w:val="auto"/>
        </w:rPr>
      </w:pPr>
    </w:p>
    <w:p>
      <w:pPr>
        <w:jc w:val="both"/>
        <w:ind w:firstLine="1304"/>
        <w:spacing w:after="0" w:line="265" w:lineRule="auto"/>
        <w:tabs>
          <w:tab w:leader="none" w:pos="1941"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The Servicer has been duly organized and is validly existing as a corporation in good standing under the laws of the State of Michigan, with all requisite corporate power and authority to own or lease its properties and to conduct its business as such business is presently conducted and to enter into and perform its obligations pursuant to this Agreement and the other Transaction Documents to which it is a party.</w:t>
      </w:r>
    </w:p>
    <w:p>
      <w:pPr>
        <w:spacing w:after="0" w:line="175" w:lineRule="exact"/>
        <w:rPr>
          <w:rFonts w:ascii="Arial" w:cs="Arial" w:eastAsia="Arial" w:hAnsi="Arial"/>
          <w:sz w:val="21"/>
          <w:szCs w:val="21"/>
          <w:color w:val="auto"/>
        </w:rPr>
      </w:pPr>
    </w:p>
    <w:p>
      <w:pPr>
        <w:jc w:val="both"/>
        <w:ind w:firstLine="1304"/>
        <w:spacing w:after="0" w:line="271" w:lineRule="auto"/>
        <w:tabs>
          <w:tab w:leader="none" w:pos="1939"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Due Qualification</w:t>
      </w:r>
      <w:r>
        <w:rPr>
          <w:rFonts w:ascii="Arial" w:cs="Arial" w:eastAsia="Arial" w:hAnsi="Arial"/>
          <w:sz w:val="21"/>
          <w:szCs w:val="21"/>
          <w:color w:val="auto"/>
        </w:rPr>
        <w:t>. The Servicer is duly qualified to do business as a corporation and is in good standing as a corporation, and has obtained all necessary licenses and approvals in all jurisdictions in which the ownership or lease of its property and or the conduct of its business requires such qualification, licenses or approvals.</w:t>
      </w:r>
    </w:p>
    <w:p>
      <w:pPr>
        <w:spacing w:after="0" w:line="167" w:lineRule="exact"/>
        <w:rPr>
          <w:rFonts w:ascii="Arial" w:cs="Arial" w:eastAsia="Arial" w:hAnsi="Arial"/>
          <w:sz w:val="21"/>
          <w:szCs w:val="21"/>
          <w:color w:val="auto"/>
        </w:rPr>
      </w:pPr>
    </w:p>
    <w:p>
      <w:pPr>
        <w:jc w:val="both"/>
        <w:ind w:firstLine="1304"/>
        <w:spacing w:after="0" w:line="247" w:lineRule="auto"/>
        <w:tabs>
          <w:tab w:leader="none" w:pos="1941"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Power and Authority; Due Authorization</w:t>
      </w:r>
      <w:r>
        <w:rPr>
          <w:rFonts w:ascii="Arial" w:cs="Arial" w:eastAsia="Arial" w:hAnsi="Arial"/>
          <w:sz w:val="22"/>
          <w:szCs w:val="22"/>
          <w:color w:val="auto"/>
        </w:rPr>
        <w:t>. The Servicer (i) has all necessary power, authority and legal right to (A) execute and deliver this Agreement and the other Transaction Documents to which it is a party and (B) carry out the terms of this Agreement and the other Transaction Documents to which it is a party, and (ii) has duly authorized by all necessary corporate action the execution, delivery and performance of this Agreement and the other Transaction Documents to which it is a party. This Agreement and each other Transaction Document to which it is a party have been duly executed and delivered by the Servicer.</w:t>
      </w:r>
    </w:p>
    <w:p>
      <w:pPr>
        <w:spacing w:after="0" w:line="192" w:lineRule="exact"/>
        <w:rPr>
          <w:rFonts w:ascii="Arial" w:cs="Arial" w:eastAsia="Arial" w:hAnsi="Arial"/>
          <w:sz w:val="22"/>
          <w:szCs w:val="22"/>
          <w:color w:val="auto"/>
        </w:rPr>
      </w:pPr>
    </w:p>
    <w:p>
      <w:pPr>
        <w:jc w:val="both"/>
        <w:ind w:right="20" w:firstLine="1304"/>
        <w:spacing w:after="0" w:line="253" w:lineRule="auto"/>
        <w:tabs>
          <w:tab w:leader="none" w:pos="193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Binding Obligation</w:t>
      </w:r>
      <w:r>
        <w:rPr>
          <w:rFonts w:ascii="Arial" w:cs="Arial" w:eastAsia="Arial" w:hAnsi="Arial"/>
          <w:sz w:val="22"/>
          <w:szCs w:val="22"/>
          <w:color w:val="auto"/>
        </w:rPr>
        <w:t>. This Agreement and each other Transaction Document to which the Servicer is a party constitutes a legal, valid and binding obligation of the Servicer, each enforceable against the Servicer in accordance with its terms, subject to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22"/>
          <w:szCs w:val="22"/>
          <w:color w:val="auto"/>
        </w:rPr>
        <w:t>of bankruptcy, insolvency, reorganization, or other similar laws affecting the enforcement of creditors' rights generally and to general principles of equity.</w:t>
      </w:r>
    </w:p>
    <w:p>
      <w:pPr>
        <w:spacing w:after="0" w:line="175" w:lineRule="exact"/>
        <w:rPr>
          <w:sz w:val="20"/>
          <w:szCs w:val="20"/>
          <w:color w:val="auto"/>
        </w:rPr>
      </w:pPr>
    </w:p>
    <w:p>
      <w:pPr>
        <w:jc w:val="both"/>
        <w:ind w:firstLine="1304"/>
        <w:spacing w:after="0" w:line="247" w:lineRule="auto"/>
        <w:tabs>
          <w:tab w:leader="none" w:pos="194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 Violation</w:t>
      </w:r>
      <w:r>
        <w:rPr>
          <w:rFonts w:ascii="Arial" w:cs="Arial" w:eastAsia="Arial" w:hAnsi="Arial"/>
          <w:sz w:val="22"/>
          <w:szCs w:val="22"/>
          <w:color w:val="auto"/>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Servicer's articles of incorporation, bylaws or any Contractual Obligation of the Servicer, (ii) result in the creation or imposition of any Lien upon any of the Servicer's properties pursuant to the terms of any such Contractual Obligation, or (iii) violate any Applicable Law.</w:t>
      </w:r>
    </w:p>
    <w:p>
      <w:pPr>
        <w:spacing w:after="0" w:line="192" w:lineRule="exact"/>
        <w:rPr>
          <w:rFonts w:ascii="Arial" w:cs="Arial" w:eastAsia="Arial" w:hAnsi="Arial"/>
          <w:sz w:val="22"/>
          <w:szCs w:val="22"/>
          <w:color w:val="auto"/>
        </w:rPr>
      </w:pPr>
    </w:p>
    <w:p>
      <w:pPr>
        <w:jc w:val="both"/>
        <w:ind w:firstLine="1304"/>
        <w:spacing w:after="0" w:line="297" w:lineRule="auto"/>
        <w:tabs>
          <w:tab w:leader="none" w:pos="194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No Proceedings</w:t>
      </w:r>
      <w:r>
        <w:rPr>
          <w:rFonts w:ascii="Arial" w:cs="Arial" w:eastAsia="Arial" w:hAnsi="Arial"/>
          <w:sz w:val="19"/>
          <w:szCs w:val="19"/>
          <w:color w:val="auto"/>
        </w:rPr>
        <w:t>. There is no litigation, proceeding or investigation pending or, to the best knowledge of the Servicer, threatened against the Servicer, before any Governmental Authority (i) asserting the invalidity of this Agreement or any other Transaction Document to which the Servicer is a party, (ii) seeking to prevent the consummation of any of the transactions contemplated by this Agreement or any other Transaction Document to which the Servicer is a party or (iii) seeking any determination or ruling that could reasonably be expected to have a Material Adverse Effect.</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All Consents Required</w:t>
      </w:r>
      <w:r>
        <w:rPr>
          <w:rFonts w:ascii="Arial" w:cs="Arial" w:eastAsia="Arial" w:hAnsi="Arial"/>
          <w:sz w:val="22"/>
          <w:szCs w:val="22"/>
          <w:color w:val="auto"/>
        </w:rPr>
        <w:t>. All approvals, authorizations, consents, orders or other actions of any Person or of any Governmental Authority (if any) required for the due execution, delivery and performance by the Servicer of this Agreement and any other Transaction Document to which the Servicer is a party have been obtained except where the failure to so obtain is not reasonably expected to result in a Material Adverse Effect.</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Reports Accurate</w:t>
      </w:r>
      <w:r>
        <w:rPr>
          <w:rFonts w:ascii="Arial" w:cs="Arial" w:eastAsia="Arial" w:hAnsi="Arial"/>
          <w:sz w:val="22"/>
          <w:szCs w:val="22"/>
          <w:color w:val="auto"/>
        </w:rPr>
        <w:t>. All Monthly Reports and other written and electronic information, exhibits, financial statements, documents, books, records or reports furnished by the Servicer to the Deal Agent, the Backup Servicer, the Collateral Agent or any Lender in connection with this Agreement are accurate, true, complete and correct in all material respects as of the date delivered.</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3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Servicer's Performance</w:t>
      </w:r>
      <w:r>
        <w:rPr>
          <w:rFonts w:ascii="Arial" w:cs="Arial" w:eastAsia="Arial" w:hAnsi="Arial"/>
          <w:sz w:val="22"/>
          <w:szCs w:val="22"/>
          <w:color w:val="auto"/>
        </w:rPr>
        <w:t>. The Servicer has the knowledge, the experience and the systems, financial and operational capacity available to timely perform each of its obligations hereunder and under each other Transaction Document to which it is a party.</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32"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Compliance With Credit Guidelines and Collection Guidelines</w:t>
      </w:r>
      <w:r>
        <w:rPr>
          <w:rFonts w:ascii="Arial" w:cs="Arial" w:eastAsia="Arial" w:hAnsi="Arial"/>
          <w:sz w:val="22"/>
          <w:szCs w:val="22"/>
          <w:color w:val="auto"/>
        </w:rPr>
        <w:t>. The Servicer has, with respect to the Loans and Contracts, complied in all material respects with the Credit Guidelines and the Collection Guidelines or otherwise as required by Applicable Law.</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Representations and Warranties of the Backup Servicer</w:t>
      </w:r>
      <w:r>
        <w:rPr>
          <w:rFonts w:ascii="Arial" w:cs="Arial" w:eastAsia="Arial" w:hAnsi="Arial"/>
          <w:sz w:val="22"/>
          <w:szCs w:val="22"/>
          <w:color w:val="auto"/>
        </w:rPr>
        <w:t>. The Backup Servicer represents and warrants as follows:</w:t>
      </w:r>
    </w:p>
    <w:p>
      <w:pPr>
        <w:spacing w:after="0" w:line="175" w:lineRule="exact"/>
        <w:rPr>
          <w:sz w:val="20"/>
          <w:szCs w:val="20"/>
          <w:color w:val="auto"/>
        </w:rPr>
      </w:pPr>
    </w:p>
    <w:p>
      <w:pPr>
        <w:jc w:val="both"/>
        <w:ind w:firstLine="1304"/>
        <w:spacing w:after="0" w:line="312" w:lineRule="auto"/>
        <w:tabs>
          <w:tab w:leader="none" w:pos="1941"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The Backup Servicer has been duly organized, and is validly existing as a corporation and in good standing under the laws of the State of Delaware, with all requisite power and authority to own or lease its properties and to conduct its business as such business is presently conducted and to enter into and perform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obligations pursuant to this Agreement and each other Transaction Document to which it is a party.</w:t>
      </w:r>
    </w:p>
    <w:p>
      <w:pPr>
        <w:spacing w:after="0" w:line="220" w:lineRule="exact"/>
        <w:rPr>
          <w:sz w:val="20"/>
          <w:szCs w:val="20"/>
          <w:color w:val="auto"/>
        </w:rPr>
      </w:pPr>
    </w:p>
    <w:p>
      <w:pPr>
        <w:jc w:val="both"/>
        <w:ind w:firstLine="1304"/>
        <w:spacing w:after="0" w:line="263" w:lineRule="auto"/>
        <w:tabs>
          <w:tab w:leader="none" w:pos="1939"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Binding Obligation</w:t>
      </w:r>
      <w:r>
        <w:rPr>
          <w:rFonts w:ascii="Arial" w:cs="Arial" w:eastAsia="Arial" w:hAnsi="Arial"/>
          <w:sz w:val="21"/>
          <w:szCs w:val="21"/>
          <w:color w:val="auto"/>
        </w:rPr>
        <w:t>. This Agreement and each other Transaction Document to which it is a party constitutes a legal, valid and binding obligation of the Backup Servicer, each enforceable against the Backup Servicer in accordance with its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175" w:lineRule="exact"/>
        <w:rPr>
          <w:rFonts w:ascii="Arial" w:cs="Arial" w:eastAsia="Arial" w:hAnsi="Arial"/>
          <w:sz w:val="21"/>
          <w:szCs w:val="21"/>
          <w:color w:val="auto"/>
        </w:rPr>
      </w:pPr>
    </w:p>
    <w:p>
      <w:pPr>
        <w:ind w:right="20" w:firstLine="1304"/>
        <w:spacing w:after="0" w:line="263" w:lineRule="auto"/>
        <w:tabs>
          <w:tab w:leader="none" w:pos="1941"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Backup Servicing Agreement</w:t>
      </w:r>
      <w:r>
        <w:rPr>
          <w:rFonts w:ascii="Arial" w:cs="Arial" w:eastAsia="Arial" w:hAnsi="Arial"/>
          <w:sz w:val="22"/>
          <w:szCs w:val="22"/>
          <w:color w:val="auto"/>
        </w:rPr>
        <w:t>. The Backup Servicer hereby remakes the representations and warranties made by it under the Backup Servicing Agreement.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Breach of Representations and Warranties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4" w:lineRule="auto"/>
        <w:tabs>
          <w:tab w:leader="none" w:pos="1941"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Payment in respect of an Ineligible Loan or an Ineligible Contract</w:t>
      </w:r>
      <w:r>
        <w:rPr>
          <w:rFonts w:ascii="Arial" w:cs="Arial" w:eastAsia="Arial" w:hAnsi="Arial"/>
          <w:sz w:val="19"/>
          <w:szCs w:val="19"/>
          <w:color w:val="auto"/>
        </w:rPr>
        <w:t xml:space="preserve">. If a Loan or a Contract is an Ineligible Loan or Ineligible Contract, no later than the earlier of (i) knowledge by the Borrower of such Loan or Contract being an Ineligible Loan or Ineligible Contract and (ii) receipt by the Borrower from the Deal Agent, the Collateral Agent, the Backup Servicer or the Servicer of written notice thereof in accordance with </w:t>
      </w:r>
      <w:r>
        <w:rPr>
          <w:rFonts w:ascii="Arial" w:cs="Arial" w:eastAsia="Arial" w:hAnsi="Arial"/>
          <w:sz w:val="19"/>
          <w:szCs w:val="19"/>
          <w:u w:val="single" w:color="auto"/>
          <w:color w:val="auto"/>
        </w:rPr>
        <w:t>Section 4.2(b)</w:t>
      </w:r>
      <w:r>
        <w:rPr>
          <w:rFonts w:ascii="Arial" w:cs="Arial" w:eastAsia="Arial" w:hAnsi="Arial"/>
          <w:sz w:val="19"/>
          <w:szCs w:val="19"/>
          <w:color w:val="auto"/>
        </w:rPr>
        <w:t xml:space="preserve"> hereof, the Borrower shall, by the last day of the first full Collection Period following the discovery or notice thereof, make a payment to the Collection Account in respect of each such Loan or Contract in an amount equal to the related Release Price. Any such Loan or Contract shall for all purposes of this Agreement be deemed to be an Ineligible Loan or Ineligible Contract. The Borrower shall make a deposit to the Collection Account (for allocation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in immediately available funds of an amount (the “</w:t>
      </w:r>
      <w:r>
        <w:rPr>
          <w:rFonts w:ascii="Arial" w:cs="Arial" w:eastAsia="Arial" w:hAnsi="Arial"/>
          <w:sz w:val="19"/>
          <w:szCs w:val="19"/>
          <w:u w:val="single" w:color="auto"/>
          <w:color w:val="auto"/>
        </w:rPr>
        <w:t>Release Price</w:t>
      </w:r>
      <w:r>
        <w:rPr>
          <w:rFonts w:ascii="Arial" w:cs="Arial" w:eastAsia="Arial" w:hAnsi="Arial"/>
          <w:sz w:val="19"/>
          <w:szCs w:val="19"/>
          <w:color w:val="auto"/>
        </w:rPr>
        <w:t>”) equal to (i)</w:t>
      </w:r>
    </w:p>
    <w:p>
      <w:pPr>
        <w:spacing w:after="0" w:line="1" w:lineRule="exact"/>
        <w:rPr>
          <w:rFonts w:ascii="Arial" w:cs="Arial" w:eastAsia="Arial" w:hAnsi="Arial"/>
          <w:sz w:val="19"/>
          <w:szCs w:val="19"/>
          <w:color w:val="auto"/>
        </w:rPr>
      </w:pPr>
    </w:p>
    <w:p>
      <w:pPr>
        <w:jc w:val="both"/>
        <w:ind w:firstLine="8"/>
        <w:spacing w:after="0" w:line="284" w:lineRule="auto"/>
        <w:tabs>
          <w:tab w:leader="none" w:pos="371"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in the case of an Ineligible Loan, the product of (x) the Outstanding Balance related to such Loan as of the last day of the related Collection Period and (y) the Net Advance Rate in effect on the date of such payment; and (B) in the case of an Ineligible Contract, the product of (x) the Outstanding Balance related to such Contract as of the last day of the related Collection Period and (y) a ratio the numerator of which is the outstanding Capital as of the date of such payment and the denominator of which is the Outstanding Balance of all Contracts as of the last day of the related Collection Period, plus (ii) all Hedge Costs due to the relevant Hedge Counterparties for any termination in whole or in part of one or more transactions related to the relevant Hedging Agreement, as required by the terms such Hedging Agreement. Notwithstanding the foregoing, with respect to any Ineligible Contracts, the Borrower may repurchase the Loans related thereto in lieu of such Ineligible Contracts and deposit into the Collection Account the Release Price of such Loans (as if such Loans were Ineligible Loans). Each Loan or Contract which is subject to a payment in accordance with this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shall, upon payment in full of the related Release Price, be released from the lien created pursuant to this Agreement and shall no longer constitute Collateral.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5" w:name="page66"/>
    <w:bookmarkEnd w:id="65"/>
    <w:p>
      <w:pPr>
        <w:spacing w:after="0" w:line="263" w:lineRule="auto"/>
        <w:rPr>
          <w:sz w:val="20"/>
          <w:szCs w:val="20"/>
          <w:color w:val="auto"/>
        </w:rPr>
      </w:pPr>
      <w:r>
        <w:rPr>
          <w:rFonts w:ascii="Arial" w:cs="Arial" w:eastAsia="Arial" w:hAnsi="Arial"/>
          <w:sz w:val="22"/>
          <w:szCs w:val="22"/>
          <w:color w:val="auto"/>
        </w:rPr>
        <w:t xml:space="preserve">title and interest of the Collateral Agent as agent for the Secured Parties in, to and under the Loans or Contract subject to a payment in accordance with this </w:t>
      </w:r>
      <w:r>
        <w:rPr>
          <w:rFonts w:ascii="Arial" w:cs="Arial" w:eastAsia="Arial" w:hAnsi="Arial"/>
          <w:sz w:val="22"/>
          <w:szCs w:val="22"/>
          <w:u w:val="single" w:color="auto"/>
          <w:color w:val="auto"/>
        </w:rPr>
        <w:t>Section 4.5(a)</w:t>
      </w:r>
      <w:r>
        <w:rPr>
          <w:rFonts w:ascii="Arial" w:cs="Arial" w:eastAsia="Arial" w:hAnsi="Arial"/>
          <w:sz w:val="22"/>
          <w:szCs w:val="22"/>
          <w:color w:val="auto"/>
        </w:rPr>
        <w:t>.</w:t>
      </w:r>
    </w:p>
    <w:p>
      <w:pPr>
        <w:spacing w:after="0" w:line="175" w:lineRule="exact"/>
        <w:rPr>
          <w:sz w:val="20"/>
          <w:szCs w:val="20"/>
          <w:color w:val="auto"/>
        </w:rPr>
      </w:pPr>
    </w:p>
    <w:p>
      <w:pPr>
        <w:jc w:val="both"/>
        <w:ind w:firstLine="1304"/>
        <w:spacing w:after="0" w:line="284" w:lineRule="auto"/>
        <w:tabs>
          <w:tab w:leader="none" w:pos="1939"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Retransfer of All of the Loans</w:t>
      </w:r>
      <w:r>
        <w:rPr>
          <w:rFonts w:ascii="Arial" w:cs="Arial" w:eastAsia="Arial" w:hAnsi="Arial"/>
          <w:sz w:val="19"/>
          <w:szCs w:val="19"/>
          <w:color w:val="auto"/>
        </w:rPr>
        <w:t xml:space="preserve">. In the event of a breach of any representation or warranty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hereof which breach could reasonably be expected to have a Material Adverse Effect, by notice then given in writing to the Borrower, the Deal Agent may direct the Borrower to accept the release by the Collateral Agent of all of the Loans (as directed in writing by the Deal Agent), in which case the Borrower shall be obligated to accept the release of such Loans on a Payment Date specified by the Deal Agent (such date, the “</w:t>
      </w:r>
      <w:r>
        <w:rPr>
          <w:rFonts w:ascii="Arial" w:cs="Arial" w:eastAsia="Arial" w:hAnsi="Arial"/>
          <w:sz w:val="19"/>
          <w:szCs w:val="19"/>
          <w:u w:val="single" w:color="auto"/>
          <w:color w:val="auto"/>
        </w:rPr>
        <w:t>Release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release shall be given effect unless Borrower has complied with the terms of any Hedging Agreement requiring that any derivative transaction related thereto be terminated in whole or in part and the Borrower has paid all Hedge Costs due with respect to such termination.. The Borrower shall deposit in the Collection Account on the Release Date an amount equal to: (A) the Aggregate Unpaids minus</w:t>
      </w:r>
    </w:p>
    <w:p>
      <w:pPr>
        <w:spacing w:after="0" w:line="1" w:lineRule="exact"/>
        <w:rPr>
          <w:rFonts w:ascii="Arial" w:cs="Arial" w:eastAsia="Arial" w:hAnsi="Arial"/>
          <w:sz w:val="19"/>
          <w:szCs w:val="19"/>
          <w:color w:val="auto"/>
        </w:rPr>
      </w:pPr>
    </w:p>
    <w:p>
      <w:pPr>
        <w:jc w:val="both"/>
        <w:ind w:firstLine="8"/>
        <w:spacing w:after="0" w:line="288" w:lineRule="auto"/>
        <w:tabs>
          <w:tab w:leader="none" w:pos="369"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amount, if any, available in the Collection Account and the Reserve Account on such Payment Date (the “</w:t>
      </w:r>
      <w:r>
        <w:rPr>
          <w:rFonts w:ascii="Arial" w:cs="Arial" w:eastAsia="Arial" w:hAnsi="Arial"/>
          <w:sz w:val="19"/>
          <w:szCs w:val="19"/>
          <w:u w:val="single" w:color="auto"/>
          <w:color w:val="auto"/>
        </w:rPr>
        <w:t>Retransfer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for allocation and distribution in accordance with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On the Release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full Retransfer Amount has been deposited into the Collection Account, the Loans and Related Security related thereto shall be transferred to the Borrower; and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w:t>
      </w:r>
    </w:p>
    <w:p>
      <w:pPr>
        <w:spacing w:after="0" w:line="158" w:lineRule="exact"/>
        <w:rPr>
          <w:rFonts w:ascii="Arial" w:cs="Arial" w:eastAsia="Arial" w:hAnsi="Arial"/>
          <w:sz w:val="19"/>
          <w:szCs w:val="19"/>
          <w:color w:val="auto"/>
        </w:rPr>
      </w:pPr>
    </w:p>
    <w:p>
      <w:pPr>
        <w:jc w:val="both"/>
        <w:ind w:firstLine="1304"/>
        <w:spacing w:after="0" w:line="248" w:lineRule="auto"/>
        <w:tabs>
          <w:tab w:leader="none" w:pos="1941" w:val="left"/>
        </w:tabs>
        <w:numPr>
          <w:ilvl w:val="1"/>
          <w:numId w:val="74"/>
        </w:numPr>
        <w:rPr>
          <w:rFonts w:ascii="Arial" w:cs="Arial" w:eastAsia="Arial" w:hAnsi="Arial"/>
          <w:sz w:val="22"/>
          <w:szCs w:val="22"/>
          <w:color w:val="auto"/>
        </w:rPr>
      </w:pPr>
      <w:r>
        <w:rPr>
          <w:rFonts w:ascii="Arial" w:cs="Arial" w:eastAsia="Arial" w:hAnsi="Arial"/>
          <w:sz w:val="22"/>
          <w:szCs w:val="22"/>
          <w:color w:val="auto"/>
        </w:rPr>
        <w:t xml:space="preserve">Except as expressly set forth in this </w:t>
      </w:r>
      <w:r>
        <w:rPr>
          <w:rFonts w:ascii="Arial" w:cs="Arial" w:eastAsia="Arial" w:hAnsi="Arial"/>
          <w:sz w:val="22"/>
          <w:szCs w:val="22"/>
          <w:u w:val="single" w:color="auto"/>
          <w:color w:val="auto"/>
        </w:rPr>
        <w:t>Section 4.5</w:t>
      </w:r>
      <w:r>
        <w:rPr>
          <w:rFonts w:ascii="Arial" w:cs="Arial" w:eastAsia="Arial" w:hAnsi="Arial"/>
          <w:sz w:val="22"/>
          <w:szCs w:val="22"/>
          <w:color w:val="auto"/>
        </w:rPr>
        <w:t>, neither the Collateral Agent nor the Backup Servicer shall have any enforcement obligation with respect to breaches of representations or warranties pursuant to the Transaction Documents. Neither the Collateral Agent nor the Backup Servicer shall have any duty to conduct an affirmative investigation as to the occurrence of any condition requiring the repurchase of any Loan pursuant to this Agreement or the eligibility of any Loan for purposes of the Transaction Documents.</w:t>
      </w:r>
    </w:p>
    <w:p>
      <w:pPr>
        <w:spacing w:after="0" w:line="191" w:lineRule="exact"/>
        <w:rPr>
          <w:rFonts w:ascii="Arial" w:cs="Arial" w:eastAsia="Arial" w:hAnsi="Arial"/>
          <w:sz w:val="22"/>
          <w:szCs w:val="22"/>
          <w:color w:val="auto"/>
        </w:rPr>
      </w:pPr>
    </w:p>
    <w:p>
      <w:pPr>
        <w:jc w:val="both"/>
        <w:ind w:right="20" w:firstLine="1304"/>
        <w:spacing w:after="0" w:line="312" w:lineRule="auto"/>
        <w:tabs>
          <w:tab w:leader="none" w:pos="1939"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Remedy for Breach</w:t>
      </w:r>
      <w:r>
        <w:rPr>
          <w:rFonts w:ascii="Arial" w:cs="Arial" w:eastAsia="Arial" w:hAnsi="Arial"/>
          <w:sz w:val="19"/>
          <w:szCs w:val="19"/>
          <w:color w:val="auto"/>
        </w:rPr>
        <w:t xml:space="preserve">. Notwithstanding anything to the contrary contained in </w:t>
      </w:r>
      <w:r>
        <w:rPr>
          <w:rFonts w:ascii="Arial" w:cs="Arial" w:eastAsia="Arial" w:hAnsi="Arial"/>
          <w:sz w:val="19"/>
          <w:szCs w:val="19"/>
          <w:u w:val="single" w:color="auto"/>
          <w:color w:val="auto"/>
        </w:rPr>
        <w:t>Sections 10.1(g)</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10.2</w:t>
      </w:r>
      <w:r>
        <w:rPr>
          <w:rFonts w:ascii="Arial" w:cs="Arial" w:eastAsia="Arial" w:hAnsi="Arial"/>
          <w:sz w:val="19"/>
          <w:szCs w:val="19"/>
          <w:color w:val="auto"/>
        </w:rPr>
        <w:t xml:space="preserve">, the parties hereto agree that the sole remedy for the breach by the Borrower of the representations and warranties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hereof with respect to the eligibility of a Loan or Contract shall be set forth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6.2(c)(ii)</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firstLine="1304"/>
        <w:spacing w:after="0" w:line="263" w:lineRule="auto"/>
        <w:tabs>
          <w:tab w:leader="none" w:pos="1941"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Amounts paid in accordance with </w:t>
      </w:r>
      <w:r>
        <w:rPr>
          <w:rFonts w:ascii="Arial" w:cs="Arial" w:eastAsia="Arial" w:hAnsi="Arial"/>
          <w:sz w:val="22"/>
          <w:szCs w:val="22"/>
          <w:u w:val="single" w:color="auto"/>
          <w:color w:val="auto"/>
        </w:rPr>
        <w:t>Section 4.5(a)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be distributed on the next succeeding Payment Date in accordance with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47" w:lineRule="auto"/>
        <w:tabs>
          <w:tab w:leader="none" w:pos="1944" w:val="left"/>
        </w:tabs>
        <w:numPr>
          <w:ilvl w:val="1"/>
          <w:numId w:val="74"/>
        </w:numPr>
        <w:rPr>
          <w:rFonts w:ascii="Arial" w:cs="Arial" w:eastAsia="Arial" w:hAnsi="Arial"/>
          <w:sz w:val="22"/>
          <w:szCs w:val="22"/>
          <w:color w:val="auto"/>
        </w:rPr>
      </w:pPr>
      <w:r>
        <w:rPr>
          <w:rFonts w:ascii="Arial" w:cs="Arial" w:eastAsia="Arial" w:hAnsi="Arial"/>
          <w:sz w:val="22"/>
          <w:szCs w:val="22"/>
          <w:color w:val="auto"/>
        </w:rPr>
        <w:t xml:space="preserve">Notwithstanding anything herein to the contrary, payments required under </w:t>
      </w:r>
      <w:r>
        <w:rPr>
          <w:rFonts w:ascii="Arial" w:cs="Arial" w:eastAsia="Arial" w:hAnsi="Arial"/>
          <w:sz w:val="22"/>
          <w:szCs w:val="22"/>
          <w:u w:val="single" w:color="auto"/>
          <w:color w:val="auto"/>
        </w:rPr>
        <w:t>Sections 4.5(a)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6.2(c)(ii)</w:t>
      </w:r>
      <w:r>
        <w:rPr>
          <w:rFonts w:ascii="Arial" w:cs="Arial" w:eastAsia="Arial" w:hAnsi="Arial"/>
          <w:sz w:val="22"/>
          <w:szCs w:val="22"/>
          <w:color w:val="auto"/>
        </w:rPr>
        <w:t xml:space="preserve"> shall not be required (i) during the Revolving Period, if the Collateral Amount is greater than the Minimum Collateral Amount and (ii) during the Amortization Period: (x) with respect to any Loan, so long as the aggregate Outstanding Balance of all Loans which would be Ineligible Loans as a result of being subject to the foregoing payment obligations during the Amortization Period is less than the sum of: (1) the product of (i) the aggregate Outstanding Balance of all Eligible Loans sold to the Borrower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6" w:name="page67"/>
    <w:bookmarkEnd w:id="66"/>
    <w:p>
      <w:pPr>
        <w:jc w:val="both"/>
        <w:spacing w:after="0" w:line="290" w:lineRule="auto"/>
        <w:rPr>
          <w:sz w:val="20"/>
          <w:szCs w:val="20"/>
          <w:color w:val="auto"/>
        </w:rPr>
      </w:pPr>
      <w:r>
        <w:rPr>
          <w:rFonts w:ascii="Arial" w:cs="Arial" w:eastAsia="Arial" w:hAnsi="Arial"/>
          <w:sz w:val="19"/>
          <w:szCs w:val="19"/>
          <w:color w:val="auto"/>
        </w:rPr>
        <w:t xml:space="preserve">Amortization Period and (ii) the Net Advance Rate; and (2) all amounts payable under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which have been previously paid during the Amortization Period in respect of Ineligible Loans; and (y) with respect to any Contract, so long as the aggregate Outstanding Balance of all Contracts which would be Ineligible Contracts as a result of being subject to the foregoing payment obligations or the payment obligations under </w:t>
      </w:r>
      <w:r>
        <w:rPr>
          <w:rFonts w:ascii="Arial" w:cs="Arial" w:eastAsia="Arial" w:hAnsi="Arial"/>
          <w:sz w:val="19"/>
          <w:szCs w:val="19"/>
          <w:u w:val="single" w:color="auto"/>
          <w:color w:val="auto"/>
        </w:rPr>
        <w:t>Section 6.2(c)(ii)</w:t>
      </w:r>
      <w:r>
        <w:rPr>
          <w:rFonts w:ascii="Arial" w:cs="Arial" w:eastAsia="Arial" w:hAnsi="Arial"/>
          <w:sz w:val="19"/>
          <w:szCs w:val="19"/>
          <w:color w:val="auto"/>
        </w:rPr>
        <w:t xml:space="preserve"> during the Amortization Period is less than the sum of: (1) the product of (i) the aggregate Outstanding Balance of all Eligible Contracts an interest in which is sold to the Borrower during the Amortization Period and (ii) a fraction, the numerator of which is equal to the aggregate Capital and the denominator of which is equal to the Outstanding Balance of all Eligible Contracts; and (2) all amounts payable under </w:t>
      </w:r>
      <w:r>
        <w:rPr>
          <w:rFonts w:ascii="Arial" w:cs="Arial" w:eastAsia="Arial" w:hAnsi="Arial"/>
          <w:sz w:val="19"/>
          <w:szCs w:val="19"/>
          <w:u w:val="single" w:color="auto"/>
          <w:color w:val="auto"/>
        </w:rPr>
        <w:t>Sections 4.5(a)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6.2(c)(ii)</w:t>
      </w:r>
      <w:r>
        <w:rPr>
          <w:rFonts w:ascii="Arial" w:cs="Arial" w:eastAsia="Arial" w:hAnsi="Arial"/>
          <w:sz w:val="19"/>
          <w:szCs w:val="19"/>
          <w:color w:val="auto"/>
        </w:rPr>
        <w:t xml:space="preserve"> which have been previously paid during the Amortization Period in respect of Ineligible Contracts.</w:t>
      </w:r>
    </w:p>
    <w:p>
      <w:pPr>
        <w:spacing w:after="0" w:line="156"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GENERAL COVENANTS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Affirmative Covenants of the Borrower</w:t>
      </w:r>
      <w:r>
        <w:rPr>
          <w:rFonts w:ascii="Arial" w:cs="Arial" w:eastAsia="Arial" w:hAnsi="Arial"/>
          <w:sz w:val="19"/>
          <w:szCs w:val="19"/>
          <w:color w:val="auto"/>
        </w:rPr>
        <w:t>. From the date hereof until the Collection Date:</w:t>
      </w:r>
    </w:p>
    <w:p>
      <w:pPr>
        <w:spacing w:after="0" w:line="202" w:lineRule="exact"/>
        <w:rPr>
          <w:sz w:val="20"/>
          <w:szCs w:val="20"/>
          <w:color w:val="auto"/>
        </w:rPr>
      </w:pPr>
    </w:p>
    <w:p>
      <w:pPr>
        <w:ind w:firstLine="1304"/>
        <w:spacing w:after="0" w:line="263" w:lineRule="auto"/>
        <w:tabs>
          <w:tab w:leader="none" w:pos="194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Borrower will comply in all material respects with all Applicable Laws, including those with respect to the Loans and Dealer Agreements.</w:t>
      </w:r>
    </w:p>
    <w:p>
      <w:pPr>
        <w:spacing w:after="0" w:line="174" w:lineRule="exact"/>
        <w:rPr>
          <w:rFonts w:ascii="Arial" w:cs="Arial" w:eastAsia="Arial" w:hAnsi="Arial"/>
          <w:sz w:val="22"/>
          <w:szCs w:val="22"/>
          <w:color w:val="auto"/>
        </w:rPr>
      </w:pPr>
    </w:p>
    <w:p>
      <w:pPr>
        <w:jc w:val="both"/>
        <w:ind w:firstLine="1304"/>
        <w:spacing w:after="0" w:line="259" w:lineRule="auto"/>
        <w:tabs>
          <w:tab w:leader="none" w:pos="1939"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Preservation of Limited Liability Company Existence; Conduct of Business</w:t>
      </w:r>
      <w:r>
        <w:rPr>
          <w:rFonts w:ascii="Arial" w:cs="Arial" w:eastAsia="Arial" w:hAnsi="Arial"/>
          <w:sz w:val="21"/>
          <w:szCs w:val="21"/>
          <w:color w:val="auto"/>
        </w:rPr>
        <w:t>. The Borrower will preserve and maintain its existence, rights, franchises and privileges in the jurisdiction of its formation, and qualify and remain qualified in good standing as a foreign limited liability company in each jurisdiction where the failure to preserve and maintain such existence, rights, franchises, privileges and qualification has had, or could reasonably be expected to have, a Material Adverse Effect. The Borrower will carry on and conduct its business in substantially the same manner and in substantially the same fields of enterprise as it is presently conducted and do all things necessary to remain duly organized, validly existing and in good standing as a domestic limited liability company in the jurisdiction of its formation and maintain all requisite authority to conduct its business in each jurisdiction in which its business is conducted.</w:t>
      </w:r>
    </w:p>
    <w:p>
      <w:pPr>
        <w:spacing w:after="0" w:line="183" w:lineRule="exact"/>
        <w:rPr>
          <w:rFonts w:ascii="Arial" w:cs="Arial" w:eastAsia="Arial" w:hAnsi="Arial"/>
          <w:sz w:val="21"/>
          <w:szCs w:val="21"/>
          <w:color w:val="auto"/>
        </w:rPr>
      </w:pPr>
    </w:p>
    <w:p>
      <w:pPr>
        <w:jc w:val="both"/>
        <w:ind w:firstLine="1304"/>
        <w:spacing w:after="0" w:line="250" w:lineRule="auto"/>
        <w:tabs>
          <w:tab w:leader="none" w:pos="1941"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Performance and Compliance with Loans, Dealer Agreements and Contracts</w:t>
      </w:r>
      <w:r>
        <w:rPr>
          <w:rFonts w:ascii="Arial" w:cs="Arial" w:eastAsia="Arial" w:hAnsi="Arial"/>
          <w:sz w:val="22"/>
          <w:szCs w:val="22"/>
          <w:color w:val="auto"/>
        </w:rPr>
        <w:t>. The Borrower will, at its expense, timely and fully perform and comply (or cause the Originator to perform and comply pursuant to the Contribution Agreement) with all provisions, covenants and other promises required to be observed by it under the Loans, Dealer Agreements and Contracts and all other agreements related thereto in all material respects.</w:t>
      </w:r>
    </w:p>
    <w:p>
      <w:pPr>
        <w:spacing w:after="0" w:line="187" w:lineRule="exact"/>
        <w:rPr>
          <w:rFonts w:ascii="Arial" w:cs="Arial" w:eastAsia="Arial" w:hAnsi="Arial"/>
          <w:sz w:val="22"/>
          <w:szCs w:val="22"/>
          <w:color w:val="auto"/>
        </w:rPr>
      </w:pPr>
    </w:p>
    <w:p>
      <w:pPr>
        <w:jc w:val="both"/>
        <w:ind w:firstLine="1304"/>
        <w:spacing w:after="0" w:line="302" w:lineRule="auto"/>
        <w:tabs>
          <w:tab w:leader="none" w:pos="1939"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Keeping of Records and Books of Account</w:t>
      </w:r>
      <w:r>
        <w:rPr>
          <w:rFonts w:ascii="Arial" w:cs="Arial" w:eastAsia="Arial" w:hAnsi="Arial"/>
          <w:sz w:val="19"/>
          <w:szCs w:val="19"/>
          <w:color w:val="auto"/>
        </w:rPr>
        <w:t>. The Borrower will maintain or cause to be maintained and implement administrative and operating procedures (including, without limitation, an ability to recreate records evidencing Loans in the event of the destruction of the originals thereof), and keep and maintain or cause to be kept and maintained all documents, books, records and other information reasonably necessary or advisable for the collection of all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7" w:name="page68"/>
    <w:bookmarkEnd w:id="67"/>
    <w:p>
      <w:pPr>
        <w:jc w:val="both"/>
        <w:ind w:firstLine="1304"/>
        <w:spacing w:after="0" w:line="259" w:lineRule="auto"/>
        <w:tabs>
          <w:tab w:leader="none" w:pos="1941"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Originator Assets</w:t>
      </w:r>
      <w:r>
        <w:rPr>
          <w:rFonts w:ascii="Arial" w:cs="Arial" w:eastAsia="Arial" w:hAnsi="Arial"/>
          <w:sz w:val="21"/>
          <w:szCs w:val="21"/>
          <w:color w:val="auto"/>
        </w:rPr>
        <w:t>. With respect to each Loan acquired by the Borrower, the Borrower will: (i) acquire such Loan pursuant to and in accordance with the terms of the Contribution Agreement; (ii) take all action necessary to perfect, protect and more fully evidence the Borrower's ownership of such Loan, including, without limitation, (A) filing and maintaining effective financing statements (Form UCC-1) against the Originator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Deal Agent or the Collateral Agent may reasonably request to perfect, protect and more fully evidence the respective interests of the parties to this Agreement in the Collateral.</w:t>
      </w:r>
    </w:p>
    <w:p>
      <w:pPr>
        <w:spacing w:after="0" w:line="183" w:lineRule="exact"/>
        <w:rPr>
          <w:rFonts w:ascii="Arial" w:cs="Arial" w:eastAsia="Arial" w:hAnsi="Arial"/>
          <w:sz w:val="21"/>
          <w:szCs w:val="21"/>
          <w:color w:val="auto"/>
        </w:rPr>
      </w:pPr>
    </w:p>
    <w:p>
      <w:pPr>
        <w:jc w:val="both"/>
        <w:ind w:firstLine="1304"/>
        <w:spacing w:after="0" w:line="253" w:lineRule="auto"/>
        <w:tabs>
          <w:tab w:leader="none" w:pos="1944"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Delivery of Collections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2.9(d)</w:t>
      </w:r>
      <w:r>
        <w:rPr>
          <w:rFonts w:ascii="Arial" w:cs="Arial" w:eastAsia="Arial" w:hAnsi="Arial"/>
          <w:sz w:val="22"/>
          <w:szCs w:val="22"/>
          <w:color w:val="auto"/>
        </w:rPr>
        <w:t xml:space="preserve"> hereof, the Borrower will deposit or cause to be deposited to the Collection Account promptly (but in no event later than two (2) Business Days after receipt) all Collections received by the Borrower in respect of the Loans or the Contracts.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Separate Corporate Existence</w:t>
      </w:r>
      <w:r>
        <w:rPr>
          <w:rFonts w:ascii="Arial" w:cs="Arial" w:eastAsia="Arial" w:hAnsi="Arial"/>
          <w:sz w:val="19"/>
          <w:szCs w:val="19"/>
          <w:color w:val="auto"/>
        </w:rPr>
        <w:t>. The Borrower shall be in compliance with the requirements set forth in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Section 5.2(o)</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Credit Guidelines and Collection Guidelines</w:t>
      </w:r>
      <w:r>
        <w:rPr>
          <w:rFonts w:ascii="Arial" w:cs="Arial" w:eastAsia="Arial" w:hAnsi="Arial"/>
          <w:sz w:val="22"/>
          <w:szCs w:val="22"/>
          <w:color w:val="auto"/>
        </w:rPr>
        <w:t>. The Borrower will comply in all material respects with the Credit Guidelines and the Collection Guidelines with respect to each Loan and Contract unless otherwise required by Applicable Law.</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1932"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Borrower will file and pay any and all Taxes imposed upon it or any of its property, income or assets (other than any amount of Tax the validity of which is being contested in good faith by appropriate proceedings and with respect to which reserves in accordance with GAAP have been provided on the books of the Borrower).</w:t>
      </w:r>
    </w:p>
    <w:p>
      <w:pPr>
        <w:spacing w:after="0" w:line="133" w:lineRule="exact"/>
        <w:rPr>
          <w:rFonts w:ascii="Arial" w:cs="Arial" w:eastAsia="Arial" w:hAnsi="Arial"/>
          <w:sz w:val="19"/>
          <w:szCs w:val="19"/>
          <w:color w:val="auto"/>
        </w:rPr>
      </w:pPr>
    </w:p>
    <w:p>
      <w:pPr>
        <w:ind w:firstLine="1304"/>
        <w:spacing w:after="0" w:line="343" w:lineRule="auto"/>
        <w:tabs>
          <w:tab w:leader="none" w:pos="1932"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Use of Proceeds</w:t>
      </w:r>
      <w:r>
        <w:rPr>
          <w:rFonts w:ascii="Arial" w:cs="Arial" w:eastAsia="Arial" w:hAnsi="Arial"/>
          <w:sz w:val="19"/>
          <w:szCs w:val="19"/>
          <w:color w:val="auto"/>
        </w:rPr>
        <w:t>. The Borrower will use the amounts advanced by the Lenders pursuant hereto only to acquire Loans and related Collateral pursuant to the Contribution Agreement or to make distributions to Credit Acceptance.</w:t>
      </w:r>
    </w:p>
    <w:p>
      <w:pPr>
        <w:spacing w:after="0" w:line="104" w:lineRule="exact"/>
        <w:rPr>
          <w:rFonts w:ascii="Arial" w:cs="Arial" w:eastAsia="Arial" w:hAnsi="Arial"/>
          <w:sz w:val="19"/>
          <w:szCs w:val="19"/>
          <w:color w:val="auto"/>
        </w:rPr>
      </w:pPr>
    </w:p>
    <w:p>
      <w:pPr>
        <w:jc w:val="both"/>
        <w:ind w:firstLine="1304"/>
        <w:spacing w:after="0" w:line="343" w:lineRule="auto"/>
        <w:tabs>
          <w:tab w:leader="none" w:pos="1939"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Reporting</w:t>
      </w:r>
      <w:r>
        <w:rPr>
          <w:rFonts w:ascii="Arial" w:cs="Arial" w:eastAsia="Arial" w:hAnsi="Arial"/>
          <w:sz w:val="19"/>
          <w:szCs w:val="19"/>
          <w:color w:val="auto"/>
        </w:rPr>
        <w:t>. The Borrower will maintain for itself a system of accounting established and administered in a manner consistent with GAAP and furnish or cause to be furnished to the Deal Agent and each Lender the following information:</w:t>
      </w:r>
    </w:p>
    <w:p>
      <w:pPr>
        <w:spacing w:after="0" w:line="104" w:lineRule="exact"/>
        <w:rPr>
          <w:rFonts w:ascii="Arial" w:cs="Arial" w:eastAsia="Arial" w:hAnsi="Arial"/>
          <w:sz w:val="19"/>
          <w:szCs w:val="19"/>
          <w:color w:val="auto"/>
        </w:rPr>
      </w:pPr>
    </w:p>
    <w:p>
      <w:pPr>
        <w:ind w:left="1960" w:hanging="266"/>
        <w:spacing w:after="0"/>
        <w:tabs>
          <w:tab w:leader="none" w:pos="1960"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974"/>
        <w:spacing w:after="0" w:line="294" w:lineRule="auto"/>
        <w:tabs>
          <w:tab w:leader="none" w:pos="1956"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Annual Reporting</w:t>
      </w:r>
      <w:r>
        <w:rPr>
          <w:rFonts w:ascii="Arial" w:cs="Arial" w:eastAsia="Arial" w:hAnsi="Arial"/>
          <w:sz w:val="19"/>
          <w:szCs w:val="19"/>
          <w:color w:val="auto"/>
        </w:rPr>
        <w:t>. Within 120 days after the close of Credit Acceptance's fiscal years (or upon prior notice from Credit Acceptance to the Deal Agent, such longer time period after the close of Credit Acceptance's fiscal year as may be temporarily permitted by the SEC or under the Securities Exchange Act for the benefit of a class or classes of persons (collectively and not individually) for Credit Acceptance to file its Annual Report on 10-K for such fiscal year with the SEC, but excluding any longer time periods resulting from (i) relief provided specifically by the SEC to Credit Acceptance or (ii) Credit Acceptance's notification to the SEC of its inability to file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68" w:name="page69"/>
    <w:bookmarkEnd w:id="68"/>
    <w:p>
      <w:pPr>
        <w:spacing w:after="0" w:line="20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Securities Exchange Act Rule 12b-25), audited financial statements for Credit Acceptance and all of its Subsidiaries, accompanied by an unqualified audit report certified by independent certified public accountants, prepared in accordance with GAAP on a consolidated basis and any management letter prepared by said accountants, and acceptable to the Deal Agent;</w:t>
      </w:r>
    </w:p>
    <w:p>
      <w:pPr>
        <w:spacing w:after="0" w:line="188" w:lineRule="exact"/>
        <w:rPr>
          <w:sz w:val="20"/>
          <w:szCs w:val="20"/>
          <w:color w:val="auto"/>
        </w:rPr>
      </w:pPr>
    </w:p>
    <w:p>
      <w:pPr>
        <w:jc w:val="both"/>
        <w:ind w:left="660" w:firstLine="914"/>
        <w:spacing w:after="0" w:line="258" w:lineRule="auto"/>
        <w:tabs>
          <w:tab w:leader="none" w:pos="201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Quarterly Reporting</w:t>
      </w:r>
      <w:r>
        <w:rPr>
          <w:rFonts w:ascii="Arial" w:cs="Arial" w:eastAsia="Arial" w:hAnsi="Arial"/>
          <w:sz w:val="21"/>
          <w:szCs w:val="21"/>
          <w:color w:val="auto"/>
        </w:rPr>
        <w:t>. Within 60 days after the close of the first three quarterly periods of Credit Acceptance's fiscal years (or upon prior notice from Credit Acceptance to the Deal Agent, such longer time period after the close of Credit Acceptance's fiscal year as may be temporarily permitted by the SEC or under the Securities Exchange Act for the benefit of a class or classes of persons (collectively and not individually) for Credit Acceptance to file its Quarterly Report on 10-Q for such fiscal quarter with the SEC, but excluding any longer time periods resulting from (i) relief provided specifically by the SEC to Credit Acceptance or (ii) Credit Acceptance's notification to the SEC of its inability to file pursuant to Securities Exchange Act Rule 12b-25), for Credit Acceptance and its Subsidiaries, consolidated unaudited balance sheets as at the close of each such period and consolidated related statements of operations, shareholder's equity and cash flows for the period from the beginning of such fiscal year to the end of such quarter, all certified by its chief financial officer or chief treasury officer as true, accurate and complete in all material respects;</w:t>
      </w:r>
    </w:p>
    <w:p>
      <w:pPr>
        <w:spacing w:after="0" w:line="181" w:lineRule="exact"/>
        <w:rPr>
          <w:rFonts w:ascii="Arial" w:cs="Arial" w:eastAsia="Arial" w:hAnsi="Arial"/>
          <w:sz w:val="21"/>
          <w:szCs w:val="21"/>
          <w:color w:val="auto"/>
        </w:rPr>
      </w:pPr>
    </w:p>
    <w:p>
      <w:pPr>
        <w:jc w:val="both"/>
        <w:ind w:left="660" w:firstLine="926"/>
        <w:spacing w:after="0" w:line="297" w:lineRule="auto"/>
        <w:tabs>
          <w:tab w:leader="none" w:pos="1956"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Compliance Certificate</w:t>
      </w:r>
      <w:r>
        <w:rPr>
          <w:rFonts w:ascii="Arial" w:cs="Arial" w:eastAsia="Arial" w:hAnsi="Arial"/>
          <w:sz w:val="19"/>
          <w:szCs w:val="19"/>
          <w:color w:val="auto"/>
        </w:rPr>
        <w:t>. Together with the financial statements required hereunder, a compliance certificate signed by Credit Acceptance's chief financial officer or chief treasury officer stating that (x) the attached financial statements have been prepared in accordance with GAAP and accurately reflect the financial condition of Credit Acceptance and (y) to the best of such Person's knowledge, no Termination Event or Unmatured Termination Event exists, or if any Termination Event or Unmatured Termination Event exists, stating the nature and status thereof;</w:t>
      </w:r>
    </w:p>
    <w:p>
      <w:pPr>
        <w:spacing w:after="0" w:line="146" w:lineRule="exact"/>
        <w:rPr>
          <w:rFonts w:ascii="Arial" w:cs="Arial" w:eastAsia="Arial" w:hAnsi="Arial"/>
          <w:sz w:val="19"/>
          <w:szCs w:val="19"/>
          <w:color w:val="auto"/>
        </w:rPr>
      </w:pPr>
    </w:p>
    <w:p>
      <w:pPr>
        <w:jc w:val="both"/>
        <w:ind w:left="660" w:firstLine="986"/>
        <w:spacing w:after="0" w:line="312" w:lineRule="auto"/>
        <w:tabs>
          <w:tab w:leader="none" w:pos="2037"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Shareholders Statements and Reports</w:t>
      </w:r>
      <w:r>
        <w:rPr>
          <w:rFonts w:ascii="Arial" w:cs="Arial" w:eastAsia="Arial" w:hAnsi="Arial"/>
          <w:sz w:val="19"/>
          <w:szCs w:val="19"/>
          <w:color w:val="auto"/>
        </w:rPr>
        <w:t xml:space="preserve">. Promptly upon the furnishing thereof to the members or shareholders of the Borrower or Credit Acceptance, copies of all financial statements, reports and proxy statements so furnished, to the extent such information has not been provided pursuant to another clause of this </w:t>
      </w:r>
      <w:r>
        <w:rPr>
          <w:rFonts w:ascii="Arial" w:cs="Arial" w:eastAsia="Arial" w:hAnsi="Arial"/>
          <w:sz w:val="19"/>
          <w:szCs w:val="19"/>
          <w:u w:val="single" w:color="auto"/>
          <w:color w:val="auto"/>
        </w:rPr>
        <w:t>Section 5.1(k)</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660" w:firstLine="926"/>
        <w:spacing w:after="0" w:line="263" w:lineRule="auto"/>
        <w:tabs>
          <w:tab w:leader="none" w:pos="1969"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SEC Filings</w:t>
      </w:r>
      <w:r>
        <w:rPr>
          <w:rFonts w:ascii="Arial" w:cs="Arial" w:eastAsia="Arial" w:hAnsi="Arial"/>
          <w:sz w:val="22"/>
          <w:szCs w:val="22"/>
          <w:color w:val="auto"/>
        </w:rPr>
        <w:t>. Promptly upon the filing thereof, copies of all registration statements and annual, quarterly, monthly or other regular reports which Credit Acceptance or any subsidiary files with the SEC;</w:t>
      </w:r>
    </w:p>
    <w:p>
      <w:pPr>
        <w:spacing w:after="0" w:line="174" w:lineRule="exact"/>
        <w:rPr>
          <w:rFonts w:ascii="Arial" w:cs="Arial" w:eastAsia="Arial" w:hAnsi="Arial"/>
          <w:sz w:val="22"/>
          <w:szCs w:val="22"/>
          <w:color w:val="auto"/>
        </w:rPr>
      </w:pPr>
    </w:p>
    <w:p>
      <w:pPr>
        <w:jc w:val="both"/>
        <w:ind w:left="660" w:firstLine="866"/>
        <w:spacing w:after="0" w:line="302" w:lineRule="auto"/>
        <w:tabs>
          <w:tab w:leader="none" w:pos="1983"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Notice of Termination Events or Unmatured Termination Events</w:t>
      </w:r>
      <w:r>
        <w:rPr>
          <w:rFonts w:ascii="Arial" w:cs="Arial" w:eastAsia="Arial" w:hAnsi="Arial"/>
          <w:sz w:val="19"/>
          <w:szCs w:val="19"/>
          <w:color w:val="auto"/>
        </w:rPr>
        <w:t>. As soon as possible and in any event within two (2) days after the occurrence of each Termination Event or each Unmatured Termination Event, a statement of the chief financial officer or chief treasury officer of the Borrower setting forth details of such Termination Event or Unmatured Termination Event and the action which the Borrower proposes to take with respect thereto;</w:t>
      </w:r>
    </w:p>
    <w:p>
      <w:pPr>
        <w:spacing w:after="0" w:line="142" w:lineRule="exact"/>
        <w:rPr>
          <w:rFonts w:ascii="Arial" w:cs="Arial" w:eastAsia="Arial" w:hAnsi="Arial"/>
          <w:sz w:val="19"/>
          <w:szCs w:val="19"/>
          <w:color w:val="auto"/>
        </w:rPr>
      </w:pPr>
    </w:p>
    <w:p>
      <w:pPr>
        <w:ind w:left="1960" w:hanging="494"/>
        <w:spacing w:after="0"/>
        <w:tabs>
          <w:tab w:leader="none" w:pos="196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4" w:lineRule="exact"/>
        <w:rPr>
          <w:sz w:val="20"/>
          <w:szCs w:val="20"/>
          <w:color w:val="auto"/>
        </w:rPr>
      </w:pPr>
    </w:p>
    <w:p>
      <w:pPr>
        <w:ind w:left="660" w:firstLine="926"/>
        <w:spacing w:after="0" w:line="263" w:lineRule="auto"/>
        <w:tabs>
          <w:tab w:leader="none" w:pos="1956"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Collection Guidelines</w:t>
      </w:r>
      <w:r>
        <w:rPr>
          <w:rFonts w:ascii="Arial" w:cs="Arial" w:eastAsia="Arial" w:hAnsi="Arial"/>
          <w:sz w:val="22"/>
          <w:szCs w:val="22"/>
          <w:color w:val="auto"/>
        </w:rPr>
        <w:t>. CAC will deliver a complete copy of the most current Collection Guidelines to the Lenders prior to the Closing Date;</w:t>
      </w:r>
    </w:p>
    <w:p>
      <w:pPr>
        <w:spacing w:after="0" w:line="174" w:lineRule="exact"/>
        <w:rPr>
          <w:rFonts w:ascii="Arial" w:cs="Arial" w:eastAsia="Arial" w:hAnsi="Arial"/>
          <w:sz w:val="22"/>
          <w:szCs w:val="22"/>
          <w:color w:val="auto"/>
        </w:rPr>
      </w:pPr>
    </w:p>
    <w:p>
      <w:pPr>
        <w:jc w:val="both"/>
        <w:ind w:left="660" w:firstLine="986"/>
        <w:spacing w:after="0" w:line="247" w:lineRule="auto"/>
        <w:tabs>
          <w:tab w:leader="none" w:pos="1956"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Promptly after the filing or receiving thereof, copies of all reports and notices with respect to any Reportable Event (as defined in Article IV of ERISA) which the Borrower, Credit Acceptance or any ERISA Affiliate of the Borrower or Credit Acceptance files under ERISA with the Internal Revenue Service, the Pension Benefit Guaranty Corporation or the U.S. Department of Labor or which the Borrower, Credit Acceptance or any ERISA Affiliates of the Borrower or Credit Acceptance receives from the Internal Revenue Service, the Pension Benefit Guaranty Corporation or the U.S. Department of Labor;</w:t>
      </w:r>
    </w:p>
    <w:p>
      <w:pPr>
        <w:spacing w:after="0" w:line="192" w:lineRule="exact"/>
        <w:rPr>
          <w:rFonts w:ascii="Arial" w:cs="Arial" w:eastAsia="Arial" w:hAnsi="Arial"/>
          <w:sz w:val="22"/>
          <w:szCs w:val="22"/>
          <w:color w:val="auto"/>
        </w:rPr>
      </w:pPr>
    </w:p>
    <w:p>
      <w:pPr>
        <w:jc w:val="both"/>
        <w:ind w:left="660" w:firstLine="926"/>
        <w:spacing w:after="0" w:line="297" w:lineRule="auto"/>
        <w:tabs>
          <w:tab w:leader="none" w:pos="1956"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Proceedings</w:t>
      </w:r>
      <w:r>
        <w:rPr>
          <w:rFonts w:ascii="Arial" w:cs="Arial" w:eastAsia="Arial" w:hAnsi="Arial"/>
          <w:sz w:val="19"/>
          <w:szCs w:val="19"/>
          <w:color w:val="auto"/>
        </w:rPr>
        <w:t>. As soon as possible and in any event within two (2) Business Days after any executive officer of the Borrower receives notice or obtains knowledge thereof, any settlement of, material judgment (including a material judgment with respect to the liability phase of a bifurcated trial) in or commencement of any labor controversy litigation, action, suit or proceeding (in each case, of a material nature), before any court or governmental department, commission, board, bureau, agency or instrumentality, domestic or foreign, affecting the Borrower or any of its Affiliates;</w:t>
      </w:r>
    </w:p>
    <w:p>
      <w:pPr>
        <w:spacing w:after="0" w:line="146" w:lineRule="exact"/>
        <w:rPr>
          <w:rFonts w:ascii="Arial" w:cs="Arial" w:eastAsia="Arial" w:hAnsi="Arial"/>
          <w:sz w:val="19"/>
          <w:szCs w:val="19"/>
          <w:color w:val="auto"/>
        </w:rPr>
      </w:pPr>
    </w:p>
    <w:p>
      <w:pPr>
        <w:ind w:left="660" w:firstLine="866"/>
        <w:spacing w:after="0" w:line="287" w:lineRule="auto"/>
        <w:tabs>
          <w:tab w:leader="none" w:pos="2024"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Notice of Material Events</w:t>
      </w:r>
      <w:r>
        <w:rPr>
          <w:rFonts w:ascii="Arial" w:cs="Arial" w:eastAsia="Arial" w:hAnsi="Arial"/>
          <w:sz w:val="21"/>
          <w:szCs w:val="21"/>
          <w:color w:val="auto"/>
        </w:rPr>
        <w:t>. Promptly upon becoming aware thereof, notice of any other event or circumstances that, in the reasonable judgment of the Borrower, is likely to have a Material Adverse Effect; and</w:t>
      </w:r>
    </w:p>
    <w:p>
      <w:pPr>
        <w:spacing w:after="0" w:line="151" w:lineRule="exact"/>
        <w:rPr>
          <w:rFonts w:ascii="Arial" w:cs="Arial" w:eastAsia="Arial" w:hAnsi="Arial"/>
          <w:sz w:val="21"/>
          <w:szCs w:val="21"/>
          <w:color w:val="auto"/>
        </w:rPr>
      </w:pPr>
    </w:p>
    <w:p>
      <w:pPr>
        <w:jc w:val="both"/>
        <w:ind w:left="660" w:firstLine="806"/>
        <w:spacing w:after="0" w:line="271" w:lineRule="auto"/>
        <w:tabs>
          <w:tab w:leader="none" w:pos="2024" w:val="left"/>
        </w:tabs>
        <w:numPr>
          <w:ilvl w:val="1"/>
          <w:numId w:val="78"/>
        </w:numPr>
        <w:rPr>
          <w:rFonts w:ascii="Arial" w:cs="Arial" w:eastAsia="Arial" w:hAnsi="Arial"/>
          <w:sz w:val="21"/>
          <w:szCs w:val="21"/>
          <w:color w:val="auto"/>
        </w:rPr>
      </w:pPr>
      <w:r>
        <w:rPr>
          <w:rFonts w:ascii="Arial" w:cs="Arial" w:eastAsia="Arial" w:hAnsi="Arial"/>
          <w:sz w:val="21"/>
          <w:szCs w:val="21"/>
          <w:u w:val="single" w:color="auto"/>
          <w:color w:val="auto"/>
        </w:rPr>
        <w:t>Other Information</w:t>
      </w:r>
      <w:r>
        <w:rPr>
          <w:rFonts w:ascii="Arial" w:cs="Arial" w:eastAsia="Arial" w:hAnsi="Arial"/>
          <w:sz w:val="21"/>
          <w:szCs w:val="21"/>
          <w:color w:val="auto"/>
        </w:rPr>
        <w:t>. Such other information, documents, records or reports (including non-financial information) as the Deal Agent, each Lender or the Collateral Agent may from time to time reasonably request with respect to Credit Acceptance, the Borrower, the Servicer or any Subsidiary of any of the foregoing.</w:t>
      </w:r>
    </w:p>
    <w:p>
      <w:pPr>
        <w:spacing w:after="0" w:line="167" w:lineRule="exact"/>
        <w:rPr>
          <w:rFonts w:ascii="Arial" w:cs="Arial" w:eastAsia="Arial" w:hAnsi="Arial"/>
          <w:sz w:val="21"/>
          <w:szCs w:val="21"/>
          <w:color w:val="auto"/>
        </w:rPr>
      </w:pPr>
    </w:p>
    <w:p>
      <w:pPr>
        <w:jc w:val="both"/>
        <w:ind w:firstLine="1304"/>
        <w:spacing w:after="0" w:line="248" w:lineRule="auto"/>
        <w:tabs>
          <w:tab w:leader="none" w:pos="193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w:t>
      </w:r>
      <w:r>
        <w:rPr>
          <w:rFonts w:ascii="Arial" w:cs="Arial" w:eastAsia="Arial" w:hAnsi="Arial"/>
          <w:sz w:val="22"/>
          <w:szCs w:val="22"/>
          <w:color w:val="auto"/>
        </w:rPr>
        <w:t>. The Borrower shall duly satisfy in all material respects its obligations under or in connection with each Loan and Contract, will maintain in effect all material qualifications required under all Applicable Law, and will comply in all material respects with all other Applicable Law in connection with each Loan and Contract the failure to comply with which would have a material adverse effect on the interests of the Secured Parties in the Collateral.</w:t>
      </w:r>
    </w:p>
    <w:p>
      <w:pPr>
        <w:spacing w:after="0" w:line="191" w:lineRule="exact"/>
        <w:rPr>
          <w:rFonts w:ascii="Arial" w:cs="Arial" w:eastAsia="Arial" w:hAnsi="Arial"/>
          <w:sz w:val="22"/>
          <w:szCs w:val="22"/>
          <w:color w:val="auto"/>
        </w:rPr>
      </w:pPr>
    </w:p>
    <w:p>
      <w:pPr>
        <w:jc w:val="both"/>
        <w:ind w:firstLine="1304"/>
        <w:spacing w:after="0" w:line="259" w:lineRule="auto"/>
        <w:tabs>
          <w:tab w:leader="none" w:pos="1932"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Furnishing of Information and Inspection of Records</w:t>
      </w:r>
      <w:r>
        <w:rPr>
          <w:rFonts w:ascii="Arial" w:cs="Arial" w:eastAsia="Arial" w:hAnsi="Arial"/>
          <w:sz w:val="21"/>
          <w:szCs w:val="21"/>
          <w:color w:val="auto"/>
        </w:rPr>
        <w:t>. The Borrower will furnish to the Deal Agent, each Lender, the Backup Servicer and the Collateral Agent, from time to time, such information with respect to the Loans and Contracts as may be reasonably requested, including, without limitation, a computer file or other list identifying each Loan and Contract by pool number, account number and dealer number and by the Outstanding Balance and identifying the Obligor on such Loan or Contract. The Borrower will, at any time and from time to time during regular business hours, upon reasonable notice, permit the Deal Agent, each Lender, the Backup Servicer and the Collateral Agent, or its agents or representatives, to examine and make copies of and abstracts from all Records, to visit the offices and properties of the Borrower for the purpose of examining such Records, and to discuss matters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70" w:name="page71"/>
    <w:bookmarkEnd w:id="70"/>
    <w:p>
      <w:pPr>
        <w:jc w:val="both"/>
        <w:spacing w:after="0" w:line="285" w:lineRule="auto"/>
        <w:rPr>
          <w:sz w:val="20"/>
          <w:szCs w:val="20"/>
          <w:color w:val="auto"/>
        </w:rPr>
      </w:pPr>
      <w:r>
        <w:rPr>
          <w:rFonts w:ascii="Arial" w:cs="Arial" w:eastAsia="Arial" w:hAnsi="Arial"/>
          <w:sz w:val="19"/>
          <w:szCs w:val="19"/>
          <w:color w:val="auto"/>
        </w:rPr>
        <w:t xml:space="preserve">Loans or Contracts or the Borrower's performance hereunder and under the other Transaction Documents with any of the officers, directors, employees or independent public accountants of the Borrower having knowledge of such matters;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Deal Agent, each Lender and the Collateral Agent each acknowledges that in exercising the rights and privileges conferred in this </w:t>
      </w:r>
      <w:r>
        <w:rPr>
          <w:rFonts w:ascii="Arial" w:cs="Arial" w:eastAsia="Arial" w:hAnsi="Arial"/>
          <w:sz w:val="19"/>
          <w:szCs w:val="19"/>
          <w:u w:val="single" w:color="auto"/>
          <w:color w:val="auto"/>
        </w:rPr>
        <w:t>Section 5.1(m)</w:t>
      </w:r>
      <w:r>
        <w:rPr>
          <w:rFonts w:ascii="Arial" w:cs="Arial" w:eastAsia="Arial" w:hAnsi="Arial"/>
          <w:sz w:val="19"/>
          <w:szCs w:val="19"/>
          <w:color w:val="auto"/>
        </w:rPr>
        <w:t xml:space="preserve"> it or its agents and representatives may, from time to time, obtain knowledge of information, practices, books, correspondence and records of a confidential nature and in which the Borrower has a proprietary interest. The Deal Agent, each Lender and the Collateral Agent each agrees that all such information, practices, books, correspondence and records are to be regarded as confidential information and agrees that it shall retain in strict confidence and shall use its reasonable efforts to ensure that its agents and representatives retain in strict confidence, and will not disclose without the prior written consent of the Borrower, any such information, practices, books, correspondence and records furnished to them except that it may disclose such information: (i) to its officers, directors, employees, agents, counsel, accountants, auditors, affiliates, advisors or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Persons are informed of the confidential nature of such information); (ii) to the extent such information has become available to the public other than as a result of a disclosure by or through the Deal Agent, any Lender, the Collateral Agent or its officers, directors, employees, agents, counsel, accountants, auditors, affiliates, advisors or representatives; (iii) to the extent such information was available to the Deal Agent, any Lender or the Collateral Agent on a non-confidential basis prior to its disclosure hereunder; (iv) to the extent the Deal Agent, any Lender or the Collateral Agent should be (A) required under the Transaction Documents or in connection with any legal or regulatory proceeding or (B) requested by any bank regulatory authority to disclose such information; or (v) to any Lender or prospective assignee or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relevant Lender shall notify such prospective assignee or Lender of the confidentiality provisions of this </w:t>
      </w:r>
      <w:r>
        <w:rPr>
          <w:rFonts w:ascii="Arial" w:cs="Arial" w:eastAsia="Arial" w:hAnsi="Arial"/>
          <w:sz w:val="19"/>
          <w:szCs w:val="19"/>
          <w:u w:val="single" w:color="auto"/>
          <w:color w:val="auto"/>
        </w:rPr>
        <w:t>Section 5.1(m)</w:t>
      </w:r>
      <w:r>
        <w:rPr>
          <w:rFonts w:ascii="Arial" w:cs="Arial" w:eastAsia="Arial" w:hAnsi="Arial"/>
          <w:sz w:val="19"/>
          <w:szCs w:val="19"/>
          <w:color w:val="auto"/>
        </w:rPr>
        <w:t>.</w:t>
      </w:r>
    </w:p>
    <w:p>
      <w:pPr>
        <w:spacing w:after="0" w:line="163" w:lineRule="exact"/>
        <w:rPr>
          <w:sz w:val="20"/>
          <w:szCs w:val="20"/>
          <w:color w:val="auto"/>
        </w:rPr>
      </w:pPr>
    </w:p>
    <w:p>
      <w:pPr>
        <w:jc w:val="both"/>
        <w:ind w:firstLine="1304"/>
        <w:spacing w:after="0" w:line="292" w:lineRule="auto"/>
        <w:tabs>
          <w:tab w:leader="none" w:pos="193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Keeping of Records and Books of Account</w:t>
      </w:r>
      <w:r>
        <w:rPr>
          <w:rFonts w:ascii="Arial" w:cs="Arial" w:eastAsia="Arial" w:hAnsi="Arial"/>
          <w:sz w:val="19"/>
          <w:szCs w:val="19"/>
          <w:color w:val="auto"/>
        </w:rPr>
        <w:t>. The Borrower will maintain and implement or cause to be maintained and implemented administrative and operating procedures (including, without limitation, an ability to recreate records evidencing the Loans and Contracts in the event of the destruction of the originals thereof), and keep and maintain, or obtain, as and when required, all documents, books, records and other information reasonably necessary or advisable for the collection of all amounts due under the Loans and Contracts (including, without limitation, records adequate to permit adjustments to amounts due under each existing Loan and Contract). The Borrower will give the Deal Agent and each Lender notice of any material change in the administrative and operating procedures of the Borrower referred to in the previous sentence.</w:t>
      </w:r>
    </w:p>
    <w:p>
      <w:pPr>
        <w:spacing w:after="0" w:line="150"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Notice of Liens</w:t>
      </w:r>
      <w:r>
        <w:rPr>
          <w:rFonts w:ascii="Arial" w:cs="Arial" w:eastAsia="Arial" w:hAnsi="Arial"/>
          <w:sz w:val="19"/>
          <w:szCs w:val="19"/>
          <w:color w:val="auto"/>
        </w:rPr>
        <w:t>. The Borrower will advise the Deal Agent, each Lender and the Collateral Agent promptly, in reasonable detail of: (i) any Lien asserted by a Person against any of the Loans or Contracts or other Collateral; (ii) any breach by the Borrower, the Originator or the Servicer of any of its representations, warranties and covenants contained herein or in any other Transaction Document; and (iii) the occurrence of any other event which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71" w:name="page72"/>
    <w:bookmarkEnd w:id="71"/>
    <w:p>
      <w:pPr>
        <w:jc w:val="both"/>
        <w:ind w:firstLine="1304"/>
        <w:spacing w:after="0" w:line="250" w:lineRule="auto"/>
        <w:tabs>
          <w:tab w:leader="none" w:pos="193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Protection of Interest in Collateral</w:t>
      </w:r>
      <w:r>
        <w:rPr>
          <w:rFonts w:ascii="Arial" w:cs="Arial" w:eastAsia="Arial" w:hAnsi="Arial"/>
          <w:sz w:val="22"/>
          <w:szCs w:val="22"/>
          <w:color w:val="auto"/>
        </w:rPr>
        <w:t>. The Borrower shall file or cause to be filed such continuation statements and any other documents reasonably requested by the Deal Agent or any Lender or which may be required by law to fully preserve and protect the interest of the Collateral Agent and the Secured Parties in and to the Loans, the Contracts and the other Collateral.</w:t>
      </w:r>
    </w:p>
    <w:p>
      <w:pPr>
        <w:spacing w:after="0" w:line="187" w:lineRule="exact"/>
        <w:rPr>
          <w:rFonts w:ascii="Arial" w:cs="Arial" w:eastAsia="Arial" w:hAnsi="Arial"/>
          <w:sz w:val="22"/>
          <w:szCs w:val="22"/>
          <w:color w:val="auto"/>
        </w:rPr>
      </w:pPr>
    </w:p>
    <w:p>
      <w:pPr>
        <w:ind w:firstLine="1304"/>
        <w:spacing w:after="0" w:line="343" w:lineRule="auto"/>
        <w:tabs>
          <w:tab w:leader="none" w:pos="193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Contribution Agreement</w:t>
      </w:r>
      <w:r>
        <w:rPr>
          <w:rFonts w:ascii="Arial" w:cs="Arial" w:eastAsia="Arial" w:hAnsi="Arial"/>
          <w:sz w:val="19"/>
          <w:szCs w:val="19"/>
          <w:color w:val="auto"/>
        </w:rPr>
        <w:t>. The Borrower will at all times enforce the covenants and agreements of Credit Acceptance in the Contribution Agreement (including, without limitation, the rights and remedies against the Dealers).</w:t>
      </w:r>
    </w:p>
    <w:p>
      <w:pPr>
        <w:spacing w:after="0" w:line="104" w:lineRule="exact"/>
        <w:rPr>
          <w:rFonts w:ascii="Arial" w:cs="Arial" w:eastAsia="Arial" w:hAnsi="Arial"/>
          <w:sz w:val="19"/>
          <w:szCs w:val="19"/>
          <w:color w:val="auto"/>
        </w:rPr>
      </w:pPr>
    </w:p>
    <w:p>
      <w:pPr>
        <w:jc w:val="both"/>
        <w:ind w:right="20" w:firstLine="1304"/>
        <w:spacing w:after="0" w:line="253" w:lineRule="auto"/>
        <w:tabs>
          <w:tab w:leader="none" w:pos="194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Notice of Delegation of Servicer's Duties</w:t>
      </w:r>
      <w:r>
        <w:rPr>
          <w:rFonts w:ascii="Arial" w:cs="Arial" w:eastAsia="Arial" w:hAnsi="Arial"/>
          <w:sz w:val="22"/>
          <w:szCs w:val="22"/>
          <w:color w:val="auto"/>
        </w:rPr>
        <w:t>. The Borrower promptly shall notify the Collateral Agent of any delegation by the Servicer of any of the Servicer's duties under this Agreement which is not in the ordinary course of business of the Servicer.</w:t>
      </w:r>
    </w:p>
    <w:p>
      <w:pPr>
        <w:spacing w:after="0" w:line="185" w:lineRule="exact"/>
        <w:rPr>
          <w:rFonts w:ascii="Arial" w:cs="Arial" w:eastAsia="Arial" w:hAnsi="Arial"/>
          <w:sz w:val="22"/>
          <w:szCs w:val="22"/>
          <w:color w:val="auto"/>
        </w:rPr>
      </w:pPr>
    </w:p>
    <w:p>
      <w:pPr>
        <w:ind w:firstLine="1304"/>
        <w:spacing w:after="0" w:line="263" w:lineRule="auto"/>
        <w:tabs>
          <w:tab w:leader="none" w:pos="194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The Borrower shall only amend, alter, change or repeal its limited liability company agreement with the prior written consent of the Deal Agent.</w:t>
      </w:r>
    </w:p>
    <w:p>
      <w:pPr>
        <w:spacing w:after="0" w:line="174" w:lineRule="exact"/>
        <w:rPr>
          <w:rFonts w:ascii="Arial" w:cs="Arial" w:eastAsia="Arial" w:hAnsi="Arial"/>
          <w:sz w:val="22"/>
          <w:szCs w:val="22"/>
          <w:color w:val="auto"/>
        </w:rPr>
      </w:pPr>
    </w:p>
    <w:p>
      <w:pPr>
        <w:ind w:firstLine="1304"/>
        <w:spacing w:after="0" w:line="263" w:lineRule="auto"/>
        <w:tabs>
          <w:tab w:leader="none" w:pos="193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Compliance</w:t>
      </w:r>
      <w:r>
        <w:rPr>
          <w:rFonts w:ascii="Arial" w:cs="Arial" w:eastAsia="Arial" w:hAnsi="Arial"/>
          <w:sz w:val="22"/>
          <w:szCs w:val="22"/>
          <w:color w:val="auto"/>
        </w:rPr>
        <w:t>. The Borrower shall, and the Borrower shall ensure that each member of the Borrowing Group will, comply with Sanctions, Anti-Money Laundering Laws and Anti-Corruption Laws.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The Borrower will notify Lender of any change in the information provided in any Beneficial Ownership Certification that would result in a change to the list of beneficial owners identified in such certification.</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19"/>
          <w:szCs w:val="19"/>
          <w:u w:val="single" w:color="auto"/>
          <w:color w:val="auto"/>
        </w:rPr>
        <w:t>Negative Covenants of the Borrower</w:t>
      </w:r>
      <w:r>
        <w:rPr>
          <w:rFonts w:ascii="Arial" w:cs="Arial" w:eastAsia="Arial" w:hAnsi="Arial"/>
          <w:sz w:val="19"/>
          <w:szCs w:val="19"/>
          <w:color w:val="auto"/>
        </w:rPr>
        <w:t>. From the date hereof until the Collection Date:</w:t>
      </w:r>
    </w:p>
    <w:p>
      <w:pPr>
        <w:spacing w:after="0" w:line="220" w:lineRule="exact"/>
        <w:rPr>
          <w:sz w:val="20"/>
          <w:szCs w:val="20"/>
          <w:color w:val="auto"/>
        </w:rPr>
      </w:pPr>
    </w:p>
    <w:p>
      <w:pPr>
        <w:jc w:val="both"/>
        <w:ind w:firstLine="1304"/>
        <w:spacing w:after="0" w:line="250"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Other Business</w:t>
      </w:r>
      <w:r>
        <w:rPr>
          <w:rFonts w:ascii="Arial" w:cs="Arial" w:eastAsia="Arial" w:hAnsi="Arial"/>
          <w:sz w:val="22"/>
          <w:szCs w:val="22"/>
          <w:color w:val="auto"/>
        </w:rPr>
        <w:t>. Borrower will not: (i) engage in any business other than the transactions contemplated by the Transaction Documents; (ii) incur any indebtedness, obligation, liability or contingent obligation of any kind other than pursuant to the Transaction Documents; or (iii) form any Subsidiary or make any Investments in any other Person without the prior written consent of each Lender.</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Loans Not to be Evidenced by Instruments</w:t>
      </w:r>
      <w:r>
        <w:rPr>
          <w:rFonts w:ascii="Arial" w:cs="Arial" w:eastAsia="Arial" w:hAnsi="Arial"/>
          <w:sz w:val="22"/>
          <w:szCs w:val="22"/>
          <w:color w:val="auto"/>
        </w:rPr>
        <w:t>. The Borrower will take no action to cause any Loan that is not, as of the Closing Date, evidenced by an Instrument, to be so evidenced except in connection with the enforcement or collection of such Loan.</w:t>
      </w:r>
    </w:p>
    <w:p>
      <w:pPr>
        <w:spacing w:after="0" w:line="185" w:lineRule="exact"/>
        <w:rPr>
          <w:rFonts w:ascii="Arial" w:cs="Arial" w:eastAsia="Arial" w:hAnsi="Arial"/>
          <w:sz w:val="22"/>
          <w:szCs w:val="22"/>
          <w:color w:val="auto"/>
        </w:rPr>
      </w:pPr>
    </w:p>
    <w:p>
      <w:pPr>
        <w:jc w:val="both"/>
        <w:ind w:firstLine="1304"/>
        <w:spacing w:after="0" w:line="247"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Security Interests</w:t>
      </w:r>
      <w:r>
        <w:rPr>
          <w:rFonts w:ascii="Arial" w:cs="Arial" w:eastAsia="Arial" w:hAnsi="Arial"/>
          <w:sz w:val="22"/>
          <w:szCs w:val="22"/>
          <w:color w:val="auto"/>
        </w:rPr>
        <w:t xml:space="preserve">. The Borrower will not sell, pledge, assign or transfer to any other Person, or grant, create, incur, assume or suffer to exist any Lien (other than the Lien described in </w:t>
      </w:r>
      <w:r>
        <w:rPr>
          <w:rFonts w:ascii="Arial" w:cs="Arial" w:eastAsia="Arial" w:hAnsi="Arial"/>
          <w:sz w:val="22"/>
          <w:szCs w:val="22"/>
          <w:u w:val="single" w:color="auto"/>
          <w:color w:val="auto"/>
        </w:rPr>
        <w:t>Section 4.2(a)(iii)</w:t>
      </w:r>
      <w:r>
        <w:rPr>
          <w:rFonts w:ascii="Arial" w:cs="Arial" w:eastAsia="Arial" w:hAnsi="Arial"/>
          <w:sz w:val="22"/>
          <w:szCs w:val="22"/>
          <w:color w:val="auto"/>
        </w:rPr>
        <w:t>) on any Loan, Contract, Related Security or any other Collateral, whether now existing or hereafter transferred hereunder, or any interest therein, and the Borrower will not sell, pledge, assign or suffer to exist any Lien on its interest, if any, hereunder. The Borrower will promptly notify the Deal Agent of the existence of any Lien on any Loan, Contract, Related Security or any other Collateral and the Borrower shall defend the right,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72" w:name="page73"/>
    <w:bookmarkEnd w:id="72"/>
    <w:p>
      <w:pPr>
        <w:ind w:right="20"/>
        <w:spacing w:after="0" w:line="263" w:lineRule="auto"/>
        <w:rPr>
          <w:sz w:val="20"/>
          <w:szCs w:val="20"/>
          <w:color w:val="auto"/>
        </w:rPr>
      </w:pPr>
      <w:r>
        <w:rPr>
          <w:rFonts w:ascii="Arial" w:cs="Arial" w:eastAsia="Arial" w:hAnsi="Arial"/>
          <w:sz w:val="22"/>
          <w:szCs w:val="22"/>
          <w:color w:val="auto"/>
        </w:rPr>
        <w:t>and interest of the Collateral Agent as agent for the Secured Parties in, to and under the Loans, Contracts, Related Security and other Collateral, against all claims of third parties.</w:t>
      </w:r>
    </w:p>
    <w:p>
      <w:pPr>
        <w:spacing w:after="0" w:line="175" w:lineRule="exact"/>
        <w:rPr>
          <w:sz w:val="20"/>
          <w:szCs w:val="20"/>
          <w:color w:val="auto"/>
        </w:rPr>
      </w:pPr>
    </w:p>
    <w:p>
      <w:pPr>
        <w:jc w:val="both"/>
        <w:ind w:firstLine="1304"/>
        <w:spacing w:after="0" w:line="248" w:lineRule="auto"/>
        <w:tabs>
          <w:tab w:leader="none" w:pos="1939"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Mergers, Acquisitions, Sales, etc</w:t>
      </w:r>
      <w:r>
        <w:rPr>
          <w:rFonts w:ascii="Arial" w:cs="Arial" w:eastAsia="Arial" w:hAnsi="Arial"/>
          <w:sz w:val="22"/>
          <w:szCs w:val="22"/>
          <w:color w:val="auto"/>
        </w:rPr>
        <w:t>. The Borrower will not be a party to any merger or consolidation, or purchase or otherwise acquire all or substantially all of the assets or any stock of any class of, or any partnership or joint venture interest in, any other Person, or, sell, transfer, convey or lease all or any substantial part of its assets, or sell or assign with or without recourse any Loan, Contracts, Related Security or other Collateral or any interest therein (other than pursuant to and in accordance with the Transaction Documents).</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39"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Change of Name or Location of Records Files</w:t>
      </w:r>
      <w:r>
        <w:rPr>
          <w:rFonts w:ascii="Arial" w:cs="Arial" w:eastAsia="Arial" w:hAnsi="Arial"/>
          <w:sz w:val="21"/>
          <w:szCs w:val="21"/>
          <w:color w:val="auto"/>
        </w:rPr>
        <w:t xml:space="preserve">. The Borrower shall not (x) change its name or state of organization, move the location of its principal place of business and chief executive office, and the offices where it keeps the Records from the locations referred to in </w:t>
      </w:r>
      <w:r>
        <w:rPr>
          <w:rFonts w:ascii="Arial" w:cs="Arial" w:eastAsia="Arial" w:hAnsi="Arial"/>
          <w:sz w:val="21"/>
          <w:szCs w:val="21"/>
          <w:u w:val="single" w:color="auto"/>
          <w:color w:val="auto"/>
        </w:rPr>
        <w:t>Sections 4.1(p)</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14.2</w:t>
      </w:r>
      <w:r>
        <w:rPr>
          <w:rFonts w:ascii="Arial" w:cs="Arial" w:eastAsia="Arial" w:hAnsi="Arial"/>
          <w:sz w:val="21"/>
          <w:szCs w:val="21"/>
          <w:color w:val="auto"/>
        </w:rPr>
        <w:t xml:space="preserve"> or (y) move, or consent to the Custodian or Servicer moving, the Records/Contract Files from the location thereof on the Closing Date, unless the Borrower has given at least 30 days' written notice to the Deal Agent and the Collateral Agent and has taken all actions required under the UCC of each relevant jurisdiction in order to continue the first priority perfected security interest of the Collateral Agent, as agent for the Secured Parties, in the Collateral;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21"/>
          <w:szCs w:val="21"/>
          <w:u w:val="single" w:color="auto"/>
          <w:color w:val="auto"/>
        </w:rPr>
        <w:t>Section 6.2(c)(iii)</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right="20" w:firstLine="1304"/>
        <w:spacing w:after="0" w:line="271" w:lineRule="auto"/>
        <w:tabs>
          <w:tab w:leader="none" w:pos="1939"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Accounting of the Contribution Agreement</w:t>
      </w:r>
      <w:r>
        <w:rPr>
          <w:rFonts w:ascii="Arial" w:cs="Arial" w:eastAsia="Arial" w:hAnsi="Arial"/>
          <w:sz w:val="21"/>
          <w:szCs w:val="21"/>
          <w:color w:val="auto"/>
        </w:rPr>
        <w:t>. The Borrower will not account for or treat (whether in financial statements or otherwise) the transaction contemplated by the Contribution Agreement in any manner other than as a contribution, or absolute assignment, of the Loans and related assets by the Originator to the Borrower.</w:t>
      </w:r>
    </w:p>
    <w:p>
      <w:pPr>
        <w:spacing w:after="0" w:line="167" w:lineRule="exact"/>
        <w:rPr>
          <w:rFonts w:ascii="Arial" w:cs="Arial" w:eastAsia="Arial" w:hAnsi="Arial"/>
          <w:sz w:val="21"/>
          <w:szCs w:val="21"/>
          <w:color w:val="auto"/>
        </w:rPr>
      </w:pPr>
    </w:p>
    <w:p>
      <w:pPr>
        <w:jc w:val="both"/>
        <w:ind w:firstLine="1304"/>
        <w:spacing w:after="0" w:line="260" w:lineRule="auto"/>
        <w:tabs>
          <w:tab w:leader="none" w:pos="1932"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ERISA Matters</w:t>
      </w:r>
      <w:r>
        <w:rPr>
          <w:rFonts w:ascii="Arial" w:cs="Arial" w:eastAsia="Arial" w:hAnsi="Arial"/>
          <w:sz w:val="21"/>
          <w:szCs w:val="21"/>
          <w:color w:val="auto"/>
        </w:rPr>
        <w:t>. The Borrower will not: (i) engage or permit any ERISA Affiliate to engage in any prohibited transaction for which an exemption is not available or has not previously been obtained from the United States Department of Labor; (ii) permit to exist any accumulated funding deficiency, as defined in Section 302(a) of ERISA and Section 412(a) of the Code, or funding deficiency with respect to any Benefit Plan other than a Multiemployer Plan; (iii) fail to make any payments to a Multiemployer Plan that the Borrower or any ERISA Affiliate may be required to make under the agreement relating to such Multiemployer Plan or any law pertaining thereto; (iv) terminate any Benefit Plan so as to result in any liability; or (v) permit to exist any occurrence of any reportable event described in Title IV of ERISA.</w:t>
      </w:r>
    </w:p>
    <w:p>
      <w:pPr>
        <w:spacing w:after="0" w:line="180" w:lineRule="exact"/>
        <w:rPr>
          <w:rFonts w:ascii="Arial" w:cs="Arial" w:eastAsia="Arial" w:hAnsi="Arial"/>
          <w:sz w:val="21"/>
          <w:szCs w:val="21"/>
          <w:color w:val="auto"/>
        </w:rPr>
      </w:pPr>
    </w:p>
    <w:p>
      <w:pPr>
        <w:jc w:val="both"/>
        <w:ind w:firstLine="1304"/>
        <w:spacing w:after="0" w:line="253" w:lineRule="auto"/>
        <w:tabs>
          <w:tab w:leader="none" w:pos="1932"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Contribution Agreement</w:t>
      </w:r>
      <w:r>
        <w:rPr>
          <w:rFonts w:ascii="Arial" w:cs="Arial" w:eastAsia="Arial" w:hAnsi="Arial"/>
          <w:sz w:val="22"/>
          <w:szCs w:val="22"/>
          <w:color w:val="auto"/>
        </w:rPr>
        <w:t>. The Borrower will not amend, modify, waive or terminate any provision of the Contribution Agreement unless the Deal Agent shall have consented to such change in writing and has received duly executed copies of all documentation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73" w:name="page74"/>
    <w:bookmarkEnd w:id="73"/>
    <w:p>
      <w:pPr>
        <w:ind w:right="20"/>
        <w:spacing w:after="0" w:line="263" w:lineRule="auto"/>
        <w:rPr>
          <w:sz w:val="20"/>
          <w:szCs w:val="20"/>
          <w:color w:val="auto"/>
        </w:rPr>
      </w:pPr>
      <w:r>
        <w:rPr>
          <w:rFonts w:ascii="Arial" w:cs="Arial" w:eastAsia="Arial" w:hAnsi="Arial"/>
          <w:sz w:val="22"/>
          <w:szCs w:val="22"/>
          <w:color w:val="auto"/>
        </w:rPr>
        <w:t>related thereto. The Borrower will not take any action under the Contribution Agreement which would have a Material Adverse Effect.</w:t>
      </w:r>
    </w:p>
    <w:p>
      <w:pPr>
        <w:spacing w:after="0" w:line="175" w:lineRule="exact"/>
        <w:rPr>
          <w:sz w:val="20"/>
          <w:szCs w:val="20"/>
          <w:color w:val="auto"/>
        </w:rPr>
      </w:pPr>
    </w:p>
    <w:p>
      <w:pPr>
        <w:jc w:val="both"/>
        <w:ind w:firstLine="1304"/>
        <w:spacing w:after="0" w:line="250" w:lineRule="auto"/>
        <w:tabs>
          <w:tab w:leader="none" w:pos="1939"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Changes in Payment Instructions to Obligors</w:t>
      </w:r>
      <w:r>
        <w:rPr>
          <w:rFonts w:ascii="Arial" w:cs="Arial" w:eastAsia="Arial" w:hAnsi="Arial"/>
          <w:sz w:val="22"/>
          <w:szCs w:val="22"/>
          <w:color w:val="auto"/>
        </w:rPr>
        <w:t>. The Borrower will not make any change, or permit the Servicer to make any change, in its instructions to Obligors regarding where payments in respect of Contracts are to be made to the Borrower or the Servicer, unless the Required Lenders shall have consented to such change in writing and have received duly executed copies of all documentation related thereto.</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3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Extension or Amendment</w:t>
      </w:r>
      <w:r>
        <w:rPr>
          <w:rFonts w:ascii="Arial" w:cs="Arial" w:eastAsia="Arial" w:hAnsi="Arial"/>
          <w:sz w:val="22"/>
          <w:szCs w:val="22"/>
          <w:color w:val="auto"/>
        </w:rPr>
        <w:t xml:space="preserve">. The Borrower will not, except as otherwise permitted hereunder or by law, extend, amend or otherwise modify, or permit the Servicer to extend, amend or otherwise modify, the terms of any Dealer Agreement, Loan or Contract;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the Dealer Agreements may be amended in connection with the closing of or opening of a Pool.</w:t>
      </w:r>
    </w:p>
    <w:p>
      <w:pPr>
        <w:spacing w:after="0" w:line="187" w:lineRule="exact"/>
        <w:rPr>
          <w:rFonts w:ascii="Arial" w:cs="Arial" w:eastAsia="Arial" w:hAnsi="Arial"/>
          <w:sz w:val="22"/>
          <w:szCs w:val="22"/>
          <w:color w:val="auto"/>
        </w:rPr>
      </w:pPr>
    </w:p>
    <w:p>
      <w:pPr>
        <w:jc w:val="both"/>
        <w:ind w:firstLine="1304"/>
        <w:spacing w:after="0" w:line="263" w:lineRule="auto"/>
        <w:tabs>
          <w:tab w:leader="none" w:pos="1932"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Collection Guidelines</w:t>
      </w:r>
      <w:r>
        <w:rPr>
          <w:rFonts w:ascii="Arial" w:cs="Arial" w:eastAsia="Arial" w:hAnsi="Arial"/>
          <w:sz w:val="21"/>
          <w:szCs w:val="21"/>
          <w:color w:val="auto"/>
        </w:rPr>
        <w:t>. The Borrower will not permit the amendment, modification, restatement or replacement, in whole or in part, of the Collection Guidelines of the initial Servicer, which change would materially impair the collectibility of any Loan or Contract or otherwise materially adversely affect the interests or the remedies of the Deal Agent, the Collateral Agent or the other Secured Parties under this Agreement or any other Transaction Document, without the prior written consent of the Required Lenders other than if required by Applicable Law.</w:t>
      </w:r>
    </w:p>
    <w:p>
      <w:pPr>
        <w:spacing w:after="0" w:line="175" w:lineRule="exact"/>
        <w:rPr>
          <w:rFonts w:ascii="Arial" w:cs="Arial" w:eastAsia="Arial" w:hAnsi="Arial"/>
          <w:sz w:val="21"/>
          <w:szCs w:val="21"/>
          <w:color w:val="auto"/>
        </w:rPr>
      </w:pPr>
    </w:p>
    <w:p>
      <w:pPr>
        <w:ind w:firstLine="1304"/>
        <w:spacing w:after="0" w:line="343" w:lineRule="auto"/>
        <w:tabs>
          <w:tab w:leader="none" w:pos="193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 Assignments</w:t>
      </w:r>
      <w:r>
        <w:rPr>
          <w:rFonts w:ascii="Arial" w:cs="Arial" w:eastAsia="Arial" w:hAnsi="Arial"/>
          <w:sz w:val="19"/>
          <w:szCs w:val="19"/>
          <w:color w:val="auto"/>
        </w:rPr>
        <w:t>. The Borrower will not assign or delegate, or grant any interest in, or permit any Lien to exist upon, any of its rights, obligations or duties under this Agreement without the prior written consent of the Lenders.</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Special Purpose Entity</w:t>
      </w:r>
      <w:r>
        <w:rPr>
          <w:rFonts w:ascii="Arial" w:cs="Arial" w:eastAsia="Arial" w:hAnsi="Arial"/>
          <w:sz w:val="22"/>
          <w:szCs w:val="22"/>
          <w:color w:val="auto"/>
        </w:rPr>
        <w:t>. The Borrower has not and shall not:</w:t>
      </w:r>
    </w:p>
    <w:p>
      <w:pPr>
        <w:spacing w:after="0" w:line="219" w:lineRule="exact"/>
        <w:rPr>
          <w:rFonts w:ascii="Arial" w:cs="Arial" w:eastAsia="Arial" w:hAnsi="Arial"/>
          <w:sz w:val="22"/>
          <w:szCs w:val="22"/>
          <w:color w:val="auto"/>
        </w:rPr>
      </w:pPr>
    </w:p>
    <w:p>
      <w:pPr>
        <w:jc w:val="both"/>
        <w:ind w:left="660" w:firstLine="1034"/>
        <w:spacing w:after="0" w:line="253" w:lineRule="auto"/>
        <w:tabs>
          <w:tab w:leader="none" w:pos="1963" w:val="left"/>
        </w:tabs>
        <w:numPr>
          <w:ilvl w:val="1"/>
          <w:numId w:val="84"/>
        </w:numPr>
        <w:rPr>
          <w:rFonts w:ascii="Arial" w:cs="Arial" w:eastAsia="Arial" w:hAnsi="Arial"/>
          <w:sz w:val="22"/>
          <w:szCs w:val="22"/>
          <w:color w:val="auto"/>
        </w:rPr>
      </w:pPr>
      <w:r>
        <w:rPr>
          <w:rFonts w:ascii="Arial" w:cs="Arial" w:eastAsia="Arial" w:hAnsi="Arial"/>
          <w:sz w:val="22"/>
          <w:szCs w:val="22"/>
          <w:color w:val="auto"/>
        </w:rPr>
        <w:t>engage in any business or activity other than the purchase and receipt of Loans and related assets from the Originator under the Contribution Agreement, the pledge of Loans and related assets under the Transaction Documents and such other activities as are incidental thereto;</w:t>
      </w:r>
    </w:p>
    <w:p>
      <w:pPr>
        <w:spacing w:after="0" w:line="185" w:lineRule="exact"/>
        <w:rPr>
          <w:rFonts w:ascii="Arial" w:cs="Arial" w:eastAsia="Arial" w:hAnsi="Arial"/>
          <w:sz w:val="22"/>
          <w:szCs w:val="22"/>
          <w:color w:val="auto"/>
        </w:rPr>
      </w:pPr>
    </w:p>
    <w:p>
      <w:pPr>
        <w:ind w:left="660" w:firstLine="974"/>
        <w:spacing w:after="0" w:line="343" w:lineRule="auto"/>
        <w:tabs>
          <w:tab w:leader="none" w:pos="1971" w:val="left"/>
        </w:tabs>
        <w:numPr>
          <w:ilvl w:val="1"/>
          <w:numId w:val="84"/>
        </w:numPr>
        <w:rPr>
          <w:rFonts w:ascii="Arial" w:cs="Arial" w:eastAsia="Arial" w:hAnsi="Arial"/>
          <w:sz w:val="19"/>
          <w:szCs w:val="19"/>
          <w:color w:val="auto"/>
        </w:rPr>
      </w:pPr>
      <w:r>
        <w:rPr>
          <w:rFonts w:ascii="Arial" w:cs="Arial" w:eastAsia="Arial" w:hAnsi="Arial"/>
          <w:sz w:val="19"/>
          <w:szCs w:val="19"/>
          <w:color w:val="auto"/>
        </w:rPr>
        <w:t>acquire or own any material assets other than (A) the Loans and related assets from the Originator under the Contribution Agreement and (B) incidental property as may be necessary for the operation of the Borrower;</w:t>
      </w:r>
    </w:p>
    <w:p>
      <w:pPr>
        <w:spacing w:after="0" w:line="104" w:lineRule="exact"/>
        <w:rPr>
          <w:rFonts w:ascii="Arial" w:cs="Arial" w:eastAsia="Arial" w:hAnsi="Arial"/>
          <w:sz w:val="19"/>
          <w:szCs w:val="19"/>
          <w:color w:val="auto"/>
        </w:rPr>
      </w:pPr>
    </w:p>
    <w:p>
      <w:pPr>
        <w:jc w:val="both"/>
        <w:ind w:left="660" w:firstLine="914"/>
        <w:spacing w:after="0" w:line="253" w:lineRule="auto"/>
        <w:tabs>
          <w:tab w:leader="none" w:pos="1958" w:val="left"/>
        </w:tabs>
        <w:numPr>
          <w:ilvl w:val="1"/>
          <w:numId w:val="84"/>
        </w:numPr>
        <w:rPr>
          <w:rFonts w:ascii="Arial" w:cs="Arial" w:eastAsia="Arial" w:hAnsi="Arial"/>
          <w:sz w:val="22"/>
          <w:szCs w:val="22"/>
          <w:color w:val="auto"/>
        </w:rPr>
      </w:pPr>
      <w:r>
        <w:rPr>
          <w:rFonts w:ascii="Arial" w:cs="Arial" w:eastAsia="Arial" w:hAnsi="Arial"/>
          <w:sz w:val="22"/>
          <w:szCs w:val="22"/>
          <w:color w:val="auto"/>
        </w:rPr>
        <w:t>merge into or consolidate with any Person or dissolve, terminate or liquidate in whole or in part, transfer or otherwise dispose of all or substantially all of its assets or change its legal structure, without in each case first obtaining the consent of each Lender;</w:t>
      </w:r>
    </w:p>
    <w:p>
      <w:pPr>
        <w:spacing w:after="0" w:line="185" w:lineRule="exact"/>
        <w:rPr>
          <w:rFonts w:ascii="Arial" w:cs="Arial" w:eastAsia="Arial" w:hAnsi="Arial"/>
          <w:sz w:val="22"/>
          <w:szCs w:val="22"/>
          <w:color w:val="auto"/>
        </w:rPr>
      </w:pPr>
    </w:p>
    <w:p>
      <w:pPr>
        <w:jc w:val="both"/>
        <w:ind w:left="660" w:firstLine="926"/>
        <w:spacing w:after="0" w:line="253" w:lineRule="auto"/>
        <w:tabs>
          <w:tab w:leader="none" w:pos="1974" w:val="left"/>
        </w:tabs>
        <w:numPr>
          <w:ilvl w:val="1"/>
          <w:numId w:val="84"/>
        </w:numPr>
        <w:rPr>
          <w:rFonts w:ascii="Arial" w:cs="Arial" w:eastAsia="Arial" w:hAnsi="Arial"/>
          <w:sz w:val="22"/>
          <w:szCs w:val="22"/>
          <w:color w:val="auto"/>
        </w:rPr>
      </w:pPr>
      <w:r>
        <w:rPr>
          <w:rFonts w:ascii="Arial" w:cs="Arial" w:eastAsia="Arial" w:hAnsi="Arial"/>
          <w:sz w:val="22"/>
          <w:szCs w:val="22"/>
          <w:color w:val="auto"/>
        </w:rPr>
        <w:t>fail to preserve its existence as an entity duly organized, validly existing and in good standing under the laws of the jurisdiction of its organization or formation, or without the prior written consent of the Deal Agent, amend, modify, terminate,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74" w:name="page75"/>
    <w:bookmarkEnd w:id="74"/>
    <w:p>
      <w:pPr>
        <w:spacing w:after="0" w:line="204"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comply with the provisions of its limited liability company agreement, or fail to observe limited liability company formalities;</w:t>
      </w:r>
    </w:p>
    <w:p>
      <w:pPr>
        <w:spacing w:after="0" w:line="175" w:lineRule="exact"/>
        <w:rPr>
          <w:sz w:val="20"/>
          <w:szCs w:val="20"/>
          <w:color w:val="auto"/>
        </w:rPr>
      </w:pPr>
    </w:p>
    <w:p>
      <w:pPr>
        <w:ind w:left="1960" w:hanging="314"/>
        <w:spacing w:after="0"/>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own any subsidiary or make any investment in any Person without the consent of each Lender;</w:t>
      </w:r>
    </w:p>
    <w:p>
      <w:pPr>
        <w:spacing w:after="0" w:line="219" w:lineRule="exact"/>
        <w:rPr>
          <w:rFonts w:ascii="Arial" w:cs="Arial" w:eastAsia="Arial" w:hAnsi="Arial"/>
          <w:sz w:val="22"/>
          <w:szCs w:val="22"/>
          <w:color w:val="auto"/>
        </w:rPr>
      </w:pPr>
    </w:p>
    <w:p>
      <w:pPr>
        <w:jc w:val="both"/>
        <w:ind w:left="660" w:firstLine="926"/>
        <w:spacing w:after="0" w:line="312" w:lineRule="auto"/>
        <w:tabs>
          <w:tab w:leader="none" w:pos="1986" w:val="left"/>
        </w:tabs>
        <w:numPr>
          <w:ilvl w:val="0"/>
          <w:numId w:val="85"/>
        </w:numPr>
        <w:rPr>
          <w:rFonts w:ascii="Arial" w:cs="Arial" w:eastAsia="Arial" w:hAnsi="Arial"/>
          <w:sz w:val="19"/>
          <w:szCs w:val="19"/>
          <w:color w:val="auto"/>
        </w:rPr>
      </w:pPr>
      <w:r>
        <w:rPr>
          <w:rFonts w:ascii="Arial" w:cs="Arial" w:eastAsia="Arial" w:hAnsi="Arial"/>
          <w:sz w:val="19"/>
          <w:szCs w:val="19"/>
          <w:color w:val="auto"/>
        </w:rPr>
        <w:t>commingle its assets or funds with the assets or funds of any of its Affiliates, or of any other Person, except for (A) Dealer Collections, (B) erroneous deposits or (C) prior to the identification and separation of such funds or assets by the Servicer in accordance with the Servicer's normal and customary business practices;</w:t>
      </w:r>
    </w:p>
    <w:p>
      <w:pPr>
        <w:spacing w:after="0" w:line="133" w:lineRule="exact"/>
        <w:rPr>
          <w:rFonts w:ascii="Arial" w:cs="Arial" w:eastAsia="Arial" w:hAnsi="Arial"/>
          <w:sz w:val="19"/>
          <w:szCs w:val="19"/>
          <w:color w:val="auto"/>
        </w:rPr>
      </w:pPr>
    </w:p>
    <w:p>
      <w:pPr>
        <w:jc w:val="both"/>
        <w:ind w:left="660" w:firstLine="866"/>
        <w:spacing w:after="0" w:line="297" w:lineRule="auto"/>
        <w:tabs>
          <w:tab w:leader="none" w:pos="1976"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incur any debt, secured or unsecured, direct or contingent (including guaranteeing any obligation), other than (A) indebtedness to the Lenders hereunder or in conjunction with a repayment of Aggregate Unpaids owed to the Lenders, (B) indebtedness to the Originator under the Contribution Agreement in respect of the purchase of Loans (which indebtedness, if any, shall be subordinate to the indebtedness arising hereunder), and (C) trade payables in the ordinary course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debt is not evidenced by a note and paid when due;</w:t>
      </w:r>
    </w:p>
    <w:p>
      <w:pPr>
        <w:spacing w:after="0" w:line="146" w:lineRule="exact"/>
        <w:rPr>
          <w:rFonts w:ascii="Arial" w:cs="Arial" w:eastAsia="Arial" w:hAnsi="Arial"/>
          <w:sz w:val="19"/>
          <w:szCs w:val="19"/>
          <w:color w:val="auto"/>
        </w:rPr>
      </w:pPr>
    </w:p>
    <w:p>
      <w:pPr>
        <w:ind w:left="1960" w:hanging="494"/>
        <w:spacing w:after="0"/>
        <w:tabs>
          <w:tab w:leader="none" w:pos="19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become insolvent or fail to pay its debts and liabilities from its assets as the same shall become due;</w:t>
      </w:r>
    </w:p>
    <w:p>
      <w:pPr>
        <w:spacing w:after="0" w:line="254" w:lineRule="exact"/>
        <w:rPr>
          <w:rFonts w:ascii="Arial" w:cs="Arial" w:eastAsia="Arial" w:hAnsi="Arial"/>
          <w:sz w:val="19"/>
          <w:szCs w:val="19"/>
          <w:color w:val="auto"/>
        </w:rPr>
      </w:pPr>
    </w:p>
    <w:p>
      <w:pPr>
        <w:ind w:left="660" w:firstLine="926"/>
        <w:spacing w:after="0" w:line="263" w:lineRule="auto"/>
        <w:tabs>
          <w:tab w:leader="none" w:pos="1994" w:val="left"/>
        </w:tabs>
        <w:numPr>
          <w:ilvl w:val="0"/>
          <w:numId w:val="85"/>
        </w:numPr>
        <w:rPr>
          <w:rFonts w:ascii="Arial" w:cs="Arial" w:eastAsia="Arial" w:hAnsi="Arial"/>
          <w:sz w:val="22"/>
          <w:szCs w:val="22"/>
          <w:color w:val="auto"/>
        </w:rPr>
      </w:pPr>
      <w:r>
        <w:rPr>
          <w:rFonts w:ascii="Arial" w:cs="Arial" w:eastAsia="Arial" w:hAnsi="Arial"/>
          <w:sz w:val="22"/>
          <w:szCs w:val="22"/>
          <w:color w:val="auto"/>
        </w:rPr>
        <w:t>fail to maintain its records, books of account and bank accounts separate and apart from those of its principal and Affiliates, and any other Person;</w:t>
      </w:r>
    </w:p>
    <w:p>
      <w:pPr>
        <w:spacing w:after="0" w:line="174" w:lineRule="exact"/>
        <w:rPr>
          <w:rFonts w:ascii="Arial" w:cs="Arial" w:eastAsia="Arial" w:hAnsi="Arial"/>
          <w:sz w:val="22"/>
          <w:szCs w:val="22"/>
          <w:color w:val="auto"/>
        </w:rPr>
      </w:pPr>
    </w:p>
    <w:p>
      <w:pPr>
        <w:jc w:val="both"/>
        <w:ind w:left="660" w:firstLine="986"/>
        <w:spacing w:after="0" w:line="271" w:lineRule="auto"/>
        <w:tabs>
          <w:tab w:leader="none" w:pos="1981" w:val="left"/>
        </w:tabs>
        <w:numPr>
          <w:ilvl w:val="0"/>
          <w:numId w:val="85"/>
        </w:numPr>
        <w:rPr>
          <w:rFonts w:ascii="Arial" w:cs="Arial" w:eastAsia="Arial" w:hAnsi="Arial"/>
          <w:sz w:val="21"/>
          <w:szCs w:val="21"/>
          <w:color w:val="auto"/>
        </w:rPr>
      </w:pPr>
      <w:r>
        <w:rPr>
          <w:rFonts w:ascii="Arial" w:cs="Arial" w:eastAsia="Arial" w:hAnsi="Arial"/>
          <w:sz w:val="21"/>
          <w:szCs w:val="21"/>
          <w:color w:val="auto"/>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other than any principal or Affiliates;</w:t>
      </w:r>
    </w:p>
    <w:p>
      <w:pPr>
        <w:spacing w:after="0" w:line="167" w:lineRule="exact"/>
        <w:rPr>
          <w:rFonts w:ascii="Arial" w:cs="Arial" w:eastAsia="Arial" w:hAnsi="Arial"/>
          <w:sz w:val="21"/>
          <w:szCs w:val="21"/>
          <w:color w:val="auto"/>
        </w:rPr>
      </w:pPr>
    </w:p>
    <w:p>
      <w:pPr>
        <w:ind w:left="1960" w:hanging="374"/>
        <w:spacing w:after="0"/>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seek its dissolution or winding up in whole or in part;</w:t>
      </w:r>
    </w:p>
    <w:p>
      <w:pPr>
        <w:spacing w:after="0" w:line="219" w:lineRule="exact"/>
        <w:rPr>
          <w:rFonts w:ascii="Arial" w:cs="Arial" w:eastAsia="Arial" w:hAnsi="Arial"/>
          <w:sz w:val="22"/>
          <w:szCs w:val="22"/>
          <w:color w:val="auto"/>
        </w:rPr>
      </w:pPr>
    </w:p>
    <w:p>
      <w:pPr>
        <w:ind w:left="660" w:firstLine="866"/>
        <w:spacing w:after="0" w:line="263" w:lineRule="auto"/>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fail to correct any known misunderstandings regarding the separate identity of the Borrower or an Affiliate thereof or any other Person;</w:t>
      </w:r>
    </w:p>
    <w:p>
      <w:pPr>
        <w:spacing w:after="0" w:line="174" w:lineRule="exact"/>
        <w:rPr>
          <w:rFonts w:ascii="Arial" w:cs="Arial" w:eastAsia="Arial" w:hAnsi="Arial"/>
          <w:sz w:val="22"/>
          <w:szCs w:val="22"/>
          <w:color w:val="auto"/>
        </w:rPr>
      </w:pPr>
    </w:p>
    <w:p>
      <w:pPr>
        <w:ind w:left="1960" w:hanging="494"/>
        <w:spacing w:after="0"/>
        <w:tabs>
          <w:tab w:leader="none" w:pos="1960" w:val="left"/>
        </w:tabs>
        <w:numPr>
          <w:ilvl w:val="0"/>
          <w:numId w:val="85"/>
        </w:numPr>
        <w:rPr>
          <w:rFonts w:ascii="Arial" w:cs="Arial" w:eastAsia="Arial" w:hAnsi="Arial"/>
          <w:sz w:val="21"/>
          <w:szCs w:val="21"/>
          <w:color w:val="auto"/>
        </w:rPr>
      </w:pPr>
      <w:r>
        <w:rPr>
          <w:rFonts w:ascii="Arial" w:cs="Arial" w:eastAsia="Arial" w:hAnsi="Arial"/>
          <w:sz w:val="21"/>
          <w:szCs w:val="21"/>
          <w:color w:val="auto"/>
        </w:rPr>
        <w:t>guarantee, become obligated for, or hold itself out to be responsible for the debt of another Person;</w:t>
      </w:r>
    </w:p>
    <w:p>
      <w:pPr>
        <w:spacing w:after="0" w:line="231" w:lineRule="exact"/>
        <w:rPr>
          <w:rFonts w:ascii="Arial" w:cs="Arial" w:eastAsia="Arial" w:hAnsi="Arial"/>
          <w:sz w:val="21"/>
          <w:szCs w:val="21"/>
          <w:color w:val="auto"/>
        </w:rPr>
      </w:pPr>
    </w:p>
    <w:p>
      <w:pPr>
        <w:ind w:left="660" w:firstLine="818"/>
        <w:spacing w:after="0" w:line="263" w:lineRule="auto"/>
        <w:tabs>
          <w:tab w:leader="none" w:pos="1979" w:val="left"/>
        </w:tabs>
        <w:numPr>
          <w:ilvl w:val="0"/>
          <w:numId w:val="85"/>
        </w:numPr>
        <w:rPr>
          <w:rFonts w:ascii="Arial" w:cs="Arial" w:eastAsia="Arial" w:hAnsi="Arial"/>
          <w:sz w:val="22"/>
          <w:szCs w:val="22"/>
          <w:color w:val="auto"/>
        </w:rPr>
      </w:pPr>
      <w:r>
        <w:rPr>
          <w:rFonts w:ascii="Arial" w:cs="Arial" w:eastAsia="Arial" w:hAnsi="Arial"/>
          <w:sz w:val="22"/>
          <w:szCs w:val="22"/>
          <w:color w:val="auto"/>
        </w:rPr>
        <w:t>make any loan or advances to any third party, including any Affiliate, or hold evidence of indebtedness issued by any other Person (other than cash and investment-grade securities);</w:t>
      </w:r>
    </w:p>
    <w:p>
      <w:pPr>
        <w:spacing w:after="0" w:line="174" w:lineRule="exact"/>
        <w:rPr>
          <w:rFonts w:ascii="Arial" w:cs="Arial" w:eastAsia="Arial" w:hAnsi="Arial"/>
          <w:sz w:val="22"/>
          <w:szCs w:val="22"/>
          <w:color w:val="auto"/>
        </w:rPr>
      </w:pPr>
    </w:p>
    <w:p>
      <w:pPr>
        <w:jc w:val="both"/>
        <w:ind w:left="660" w:firstLine="878"/>
        <w:spacing w:after="0" w:line="250" w:lineRule="auto"/>
        <w:tabs>
          <w:tab w:leader="none" w:pos="1964" w:val="left"/>
        </w:tabs>
        <w:numPr>
          <w:ilvl w:val="0"/>
          <w:numId w:val="85"/>
        </w:numPr>
        <w:rPr>
          <w:rFonts w:ascii="Arial" w:cs="Arial" w:eastAsia="Arial" w:hAnsi="Arial"/>
          <w:sz w:val="22"/>
          <w:szCs w:val="22"/>
          <w:color w:val="auto"/>
        </w:rPr>
      </w:pPr>
      <w:r>
        <w:rPr>
          <w:rFonts w:ascii="Arial" w:cs="Arial" w:eastAsia="Arial" w:hAnsi="Arial"/>
          <w:sz w:val="22"/>
          <w:szCs w:val="22"/>
          <w:color w:val="auto"/>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4" w:lineRule="exact"/>
        <w:rPr>
          <w:sz w:val="20"/>
          <w:szCs w:val="20"/>
          <w:color w:val="auto"/>
        </w:rPr>
      </w:pPr>
    </w:p>
    <w:p>
      <w:pPr>
        <w:ind w:left="660" w:right="20" w:firstLine="818"/>
        <w:spacing w:after="0" w:line="263" w:lineRule="auto"/>
        <w:tabs>
          <w:tab w:leader="none" w:pos="19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fail to maintain adequate capital for the normal obligations reasonably foreseeable in a business of its size and character and in light of its contemplated business operations;</w:t>
      </w:r>
    </w:p>
    <w:p>
      <w:pPr>
        <w:spacing w:after="0" w:line="174" w:lineRule="exact"/>
        <w:rPr>
          <w:rFonts w:ascii="Arial" w:cs="Arial" w:eastAsia="Arial" w:hAnsi="Arial"/>
          <w:sz w:val="22"/>
          <w:szCs w:val="22"/>
          <w:color w:val="auto"/>
        </w:rPr>
      </w:pPr>
    </w:p>
    <w:p>
      <w:pPr>
        <w:jc w:val="both"/>
        <w:ind w:left="660" w:firstLine="758"/>
        <w:spacing w:after="0" w:line="253" w:lineRule="auto"/>
        <w:tabs>
          <w:tab w:leader="none" w:pos="1995" w:val="left"/>
        </w:tabs>
        <w:numPr>
          <w:ilvl w:val="0"/>
          <w:numId w:val="86"/>
        </w:numPr>
        <w:rPr>
          <w:rFonts w:ascii="Arial" w:cs="Arial" w:eastAsia="Arial" w:hAnsi="Arial"/>
          <w:sz w:val="22"/>
          <w:szCs w:val="22"/>
          <w:color w:val="auto"/>
        </w:rPr>
      </w:pPr>
      <w:r>
        <w:rPr>
          <w:rFonts w:ascii="Arial" w:cs="Arial" w:eastAsia="Arial" w:hAnsi="Arial"/>
          <w:sz w:val="22"/>
          <w:szCs w:val="22"/>
          <w:color w:val="auto"/>
        </w:rPr>
        <w:t>file or consent to the filing or any petition, either voluntary or involuntary, to take advantage of any applicable insolvency, bankruptcy, liquidation or reorganization statute, or make an assignment for the benefit of creditors;</w:t>
      </w:r>
    </w:p>
    <w:p>
      <w:pPr>
        <w:spacing w:after="0" w:line="185" w:lineRule="exact"/>
        <w:rPr>
          <w:rFonts w:ascii="Arial" w:cs="Arial" w:eastAsia="Arial" w:hAnsi="Arial"/>
          <w:sz w:val="22"/>
          <w:szCs w:val="22"/>
          <w:color w:val="auto"/>
        </w:rPr>
      </w:pPr>
    </w:p>
    <w:p>
      <w:pPr>
        <w:ind w:left="660" w:firstLine="698"/>
        <w:spacing w:after="0" w:line="263" w:lineRule="auto"/>
        <w:tabs>
          <w:tab w:leader="none" w:pos="1967" w:val="left"/>
        </w:tabs>
        <w:numPr>
          <w:ilvl w:val="0"/>
          <w:numId w:val="86"/>
        </w:numPr>
        <w:rPr>
          <w:rFonts w:ascii="Arial" w:cs="Arial" w:eastAsia="Arial" w:hAnsi="Arial"/>
          <w:sz w:val="22"/>
          <w:szCs w:val="22"/>
          <w:color w:val="auto"/>
        </w:rPr>
      </w:pPr>
      <w:r>
        <w:rPr>
          <w:rFonts w:ascii="Arial" w:cs="Arial" w:eastAsia="Arial" w:hAnsi="Arial"/>
          <w:sz w:val="22"/>
          <w:szCs w:val="22"/>
          <w:color w:val="auto"/>
        </w:rPr>
        <w:t>share any common logo with or hold itself out as or be considered as a department or division of (A) any of its Affiliates or (B) any other Person;</w:t>
      </w:r>
    </w:p>
    <w:p>
      <w:pPr>
        <w:spacing w:after="0" w:line="174" w:lineRule="exact"/>
        <w:rPr>
          <w:rFonts w:ascii="Arial" w:cs="Arial" w:eastAsia="Arial" w:hAnsi="Arial"/>
          <w:sz w:val="22"/>
          <w:szCs w:val="22"/>
          <w:color w:val="auto"/>
        </w:rPr>
      </w:pPr>
    </w:p>
    <w:p>
      <w:pPr>
        <w:ind w:left="1960" w:hanging="482"/>
        <w:spacing w:after="0"/>
        <w:tabs>
          <w:tab w:leader="none" w:pos="19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permit any transfer (whether in any one or more transactions) of any direct or indirect ownership interest in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Borrower;</w:t>
      </w:r>
    </w:p>
    <w:p>
      <w:pPr>
        <w:spacing w:after="0" w:line="201" w:lineRule="exact"/>
        <w:rPr>
          <w:rFonts w:ascii="Arial" w:cs="Arial" w:eastAsia="Arial" w:hAnsi="Arial"/>
          <w:sz w:val="19"/>
          <w:szCs w:val="19"/>
          <w:color w:val="auto"/>
        </w:rPr>
      </w:pPr>
    </w:p>
    <w:p>
      <w:pPr>
        <w:jc w:val="both"/>
        <w:ind w:left="660" w:firstLine="878"/>
        <w:spacing w:after="0" w:line="253" w:lineRule="auto"/>
        <w:tabs>
          <w:tab w:leader="none" w:pos="1987" w:val="left"/>
        </w:tabs>
        <w:numPr>
          <w:ilvl w:val="0"/>
          <w:numId w:val="86"/>
        </w:numPr>
        <w:rPr>
          <w:rFonts w:ascii="Arial" w:cs="Arial" w:eastAsia="Arial" w:hAnsi="Arial"/>
          <w:sz w:val="22"/>
          <w:szCs w:val="22"/>
          <w:color w:val="auto"/>
        </w:rPr>
      </w:pPr>
      <w:r>
        <w:rPr>
          <w:rFonts w:ascii="Arial" w:cs="Arial" w:eastAsia="Arial" w:hAnsi="Arial"/>
          <w:sz w:val="22"/>
          <w:szCs w:val="22"/>
          <w:color w:val="auto"/>
        </w:rPr>
        <w:t>fail to maintain separate financial statements, showing its assets and liabilities separate and apart from those of any other Person, or have its assets listed on the financial statement of any other Person (for the avoidance of doubt, except its parent in accordance with GAAP);</w:t>
      </w:r>
    </w:p>
    <w:p>
      <w:pPr>
        <w:spacing w:after="0" w:line="185" w:lineRule="exact"/>
        <w:rPr>
          <w:rFonts w:ascii="Arial" w:cs="Arial" w:eastAsia="Arial" w:hAnsi="Arial"/>
          <w:sz w:val="22"/>
          <w:szCs w:val="22"/>
          <w:color w:val="auto"/>
        </w:rPr>
      </w:pPr>
    </w:p>
    <w:p>
      <w:pPr>
        <w:ind w:left="1960" w:hanging="482"/>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fail to pay its own liabilities and expenses only out of its own funds;</w:t>
      </w:r>
    </w:p>
    <w:p>
      <w:pPr>
        <w:spacing w:after="0" w:line="219" w:lineRule="exact"/>
        <w:rPr>
          <w:rFonts w:ascii="Arial" w:cs="Arial" w:eastAsia="Arial" w:hAnsi="Arial"/>
          <w:sz w:val="22"/>
          <w:szCs w:val="22"/>
          <w:color w:val="auto"/>
        </w:rPr>
      </w:pPr>
    </w:p>
    <w:p>
      <w:pPr>
        <w:ind w:left="1960" w:hanging="542"/>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fail to pay the salaries of its own employees in light of its contemplated business operations;</w:t>
      </w:r>
    </w:p>
    <w:p>
      <w:pPr>
        <w:spacing w:after="0" w:line="219" w:lineRule="exact"/>
        <w:rPr>
          <w:rFonts w:ascii="Arial" w:cs="Arial" w:eastAsia="Arial" w:hAnsi="Arial"/>
          <w:sz w:val="22"/>
          <w:szCs w:val="22"/>
          <w:color w:val="auto"/>
        </w:rPr>
      </w:pPr>
    </w:p>
    <w:p>
      <w:pPr>
        <w:ind w:left="1960" w:hanging="602"/>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acquire the obligations or securities of its Affiliates or members;</w:t>
      </w:r>
    </w:p>
    <w:p>
      <w:pPr>
        <w:spacing w:after="0" w:line="219" w:lineRule="exact"/>
        <w:rPr>
          <w:rFonts w:ascii="Arial" w:cs="Arial" w:eastAsia="Arial" w:hAnsi="Arial"/>
          <w:sz w:val="22"/>
          <w:szCs w:val="22"/>
          <w:color w:val="auto"/>
        </w:rPr>
      </w:pPr>
    </w:p>
    <w:p>
      <w:pPr>
        <w:ind w:left="660" w:right="20" w:firstLine="710"/>
        <w:spacing w:after="0" w:line="263" w:lineRule="auto"/>
        <w:tabs>
          <w:tab w:leader="none" w:pos="19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fail to allocate fairly and reasonably any overhead expenses that are shared with an Affiliate, including paying for office space and services performed by any employee of an Affiliate;</w:t>
      </w:r>
    </w:p>
    <w:p>
      <w:pPr>
        <w:spacing w:after="0" w:line="174" w:lineRule="exact"/>
        <w:rPr>
          <w:rFonts w:ascii="Arial" w:cs="Arial" w:eastAsia="Arial" w:hAnsi="Arial"/>
          <w:sz w:val="22"/>
          <w:szCs w:val="22"/>
          <w:color w:val="auto"/>
        </w:rPr>
      </w:pPr>
    </w:p>
    <w:p>
      <w:pPr>
        <w:ind w:left="1960" w:hanging="530"/>
        <w:spacing w:after="0"/>
        <w:tabs>
          <w:tab w:leader="none" w:pos="19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the extent it has invoices or checks, fail to use separate invoices or checks bearing its own name;</w:t>
      </w:r>
    </w:p>
    <w:p>
      <w:pPr>
        <w:spacing w:after="0" w:line="231" w:lineRule="exact"/>
        <w:rPr>
          <w:rFonts w:ascii="Arial" w:cs="Arial" w:eastAsia="Arial" w:hAnsi="Arial"/>
          <w:sz w:val="21"/>
          <w:szCs w:val="21"/>
          <w:color w:val="auto"/>
        </w:rPr>
      </w:pPr>
    </w:p>
    <w:p>
      <w:pPr>
        <w:ind w:left="660" w:firstLine="710"/>
        <w:spacing w:after="0" w:line="263" w:lineRule="auto"/>
        <w:tabs>
          <w:tab w:leader="none" w:pos="1959" w:val="left"/>
        </w:tabs>
        <w:numPr>
          <w:ilvl w:val="0"/>
          <w:numId w:val="86"/>
        </w:numPr>
        <w:rPr>
          <w:rFonts w:ascii="Arial" w:cs="Arial" w:eastAsia="Arial" w:hAnsi="Arial"/>
          <w:sz w:val="22"/>
          <w:szCs w:val="22"/>
          <w:color w:val="auto"/>
        </w:rPr>
      </w:pPr>
      <w:r>
        <w:rPr>
          <w:rFonts w:ascii="Arial" w:cs="Arial" w:eastAsia="Arial" w:hAnsi="Arial"/>
          <w:sz w:val="22"/>
          <w:szCs w:val="22"/>
          <w:color w:val="auto"/>
        </w:rPr>
        <w:t>pledge its assets for the benefit of any other Person, other than with respect to payment of the indebtedness to the Lenders hereunder;</w:t>
      </w:r>
    </w:p>
    <w:p>
      <w:pPr>
        <w:spacing w:after="0" w:line="174" w:lineRule="exact"/>
        <w:rPr>
          <w:rFonts w:ascii="Arial" w:cs="Arial" w:eastAsia="Arial" w:hAnsi="Arial"/>
          <w:sz w:val="22"/>
          <w:szCs w:val="22"/>
          <w:color w:val="auto"/>
        </w:rPr>
      </w:pPr>
    </w:p>
    <w:p>
      <w:pPr>
        <w:jc w:val="both"/>
        <w:ind w:left="660" w:firstLine="650"/>
        <w:spacing w:after="0" w:line="290" w:lineRule="auto"/>
        <w:tabs>
          <w:tab w:leader="none" w:pos="1985" w:val="left"/>
        </w:tabs>
        <w:numPr>
          <w:ilvl w:val="0"/>
          <w:numId w:val="86"/>
        </w:numPr>
        <w:rPr>
          <w:rFonts w:ascii="Arial" w:cs="Arial" w:eastAsia="Arial" w:hAnsi="Arial"/>
          <w:sz w:val="19"/>
          <w:szCs w:val="19"/>
          <w:color w:val="auto"/>
        </w:rPr>
      </w:pPr>
      <w:r>
        <w:rPr>
          <w:rFonts w:ascii="Arial" w:cs="Arial" w:eastAsia="Arial" w:hAnsi="Arial"/>
          <w:sz w:val="19"/>
          <w:szCs w:val="19"/>
          <w:color w:val="auto"/>
        </w:rPr>
        <w:t>fail at any time to have at least two (2) independent directors (each, an “</w:t>
      </w:r>
      <w:r>
        <w:rPr>
          <w:rFonts w:ascii="Arial" w:cs="Arial" w:eastAsia="Arial" w:hAnsi="Arial"/>
          <w:sz w:val="19"/>
          <w:szCs w:val="19"/>
          <w:u w:val="single" w:color="auto"/>
          <w:color w:val="auto"/>
        </w:rPr>
        <w:t>Independent Director</w:t>
      </w:r>
      <w:r>
        <w:rPr>
          <w:rFonts w:ascii="Arial" w:cs="Arial" w:eastAsia="Arial" w:hAnsi="Arial"/>
          <w:sz w:val="19"/>
          <w:szCs w:val="19"/>
          <w:color w:val="auto"/>
        </w:rPr>
        <w:t xml:space="preserve">”) on its board of directors that (A) is not and has not been for at least five (5) years a director, officer, employee, trade creditor or shareholder (or spouse, parent, sibling or child of the foregoing) of (I) the Servicer, (II) the Borrower, or (III) any Affiliate of the Servicer or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such Independent Director may be an independent director or manager of another special purpose entity affiliated with the Servicer, and (B) 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4"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or state law relating to bankruptcy and (II) at least three years of employment experience with one or more entities that provide, in the ordinary course of their respective businesses, advisory, management or placement services to borrowers or issuers of securitization or structured finance instruments, agreements or securities;</w:t>
      </w:r>
    </w:p>
    <w:p>
      <w:pPr>
        <w:spacing w:after="0" w:line="167" w:lineRule="exact"/>
        <w:rPr>
          <w:sz w:val="20"/>
          <w:szCs w:val="20"/>
          <w:color w:val="auto"/>
        </w:rPr>
      </w:pPr>
    </w:p>
    <w:p>
      <w:pPr>
        <w:jc w:val="both"/>
        <w:ind w:left="660" w:firstLine="590"/>
        <w:spacing w:after="0" w:line="259" w:lineRule="auto"/>
        <w:tabs>
          <w:tab w:leader="none" w:pos="1999" w:val="left"/>
        </w:tabs>
        <w:numPr>
          <w:ilvl w:val="1"/>
          <w:numId w:val="87"/>
        </w:numPr>
        <w:rPr>
          <w:rFonts w:ascii="Arial" w:cs="Arial" w:eastAsia="Arial" w:hAnsi="Arial"/>
          <w:sz w:val="21"/>
          <w:szCs w:val="21"/>
          <w:color w:val="auto"/>
        </w:rPr>
      </w:pPr>
      <w:r>
        <w:rPr>
          <w:rFonts w:ascii="Arial" w:cs="Arial" w:eastAsia="Arial" w:hAnsi="Arial"/>
          <w:sz w:val="21"/>
          <w:szCs w:val="21"/>
          <w:color w:val="auto"/>
        </w:rPr>
        <w:t>fail to provide that the unanimous consent of all directors (including the consent of the Independent Directors) is required for the Borrower to (A) dissolve or liquidate, in whole or part, or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 and</w:t>
      </w:r>
    </w:p>
    <w:p>
      <w:pPr>
        <w:spacing w:after="0" w:line="183" w:lineRule="exact"/>
        <w:rPr>
          <w:rFonts w:ascii="Arial" w:cs="Arial" w:eastAsia="Arial" w:hAnsi="Arial"/>
          <w:sz w:val="21"/>
          <w:szCs w:val="21"/>
          <w:color w:val="auto"/>
        </w:rPr>
      </w:pPr>
    </w:p>
    <w:p>
      <w:pPr>
        <w:jc w:val="both"/>
        <w:ind w:left="660" w:firstLine="710"/>
        <w:spacing w:after="0" w:line="253" w:lineRule="auto"/>
        <w:tabs>
          <w:tab w:leader="none" w:pos="1967" w:val="left"/>
        </w:tabs>
        <w:numPr>
          <w:ilvl w:val="1"/>
          <w:numId w:val="87"/>
        </w:numPr>
        <w:rPr>
          <w:rFonts w:ascii="Arial" w:cs="Arial" w:eastAsia="Arial" w:hAnsi="Arial"/>
          <w:sz w:val="22"/>
          <w:szCs w:val="22"/>
          <w:color w:val="auto"/>
        </w:rPr>
      </w:pPr>
      <w:r>
        <w:rPr>
          <w:rFonts w:ascii="Arial" w:cs="Arial" w:eastAsia="Arial" w:hAnsi="Arial"/>
          <w:sz w:val="22"/>
          <w:szCs w:val="22"/>
          <w:color w:val="auto"/>
        </w:rPr>
        <w:t>take or refrain from taking, as applicable, each of the activities specified in the non-consolidation opinion of Skadden, Arps, Slate, Meagher &amp; Flom LLP, delivered on the Closing Date, upon which the conclusions expressed therein are based.</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034"/>
        <w:spacing w:after="0" w:line="248" w:lineRule="auto"/>
        <w:tabs>
          <w:tab w:leader="none" w:pos="1969"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Sanctions</w:t>
      </w:r>
      <w:r>
        <w:rPr>
          <w:rFonts w:ascii="Arial" w:cs="Arial" w:eastAsia="Arial" w:hAnsi="Arial"/>
          <w:sz w:val="22"/>
          <w:szCs w:val="22"/>
          <w:color w:val="auto"/>
        </w:rPr>
        <w:t>. The Borrower shall not, and shall ensure that each member of the Borrowing Group will not, directly or indirectly use any of the credit to fund, finance or facilitate any activities, business or transactions (a) that are prohibited by Sanctions or (b) that would be prohibited by Sanctions if conducted by the Lender or any other party hereto. The Borrower shall notify the Lender in writing not more than three (3) Business Days after first becoming aware of any breach of this section.</w:t>
      </w:r>
    </w:p>
    <w:p>
      <w:pPr>
        <w:spacing w:after="0" w:line="191" w:lineRule="exact"/>
        <w:rPr>
          <w:rFonts w:ascii="Arial" w:cs="Arial" w:eastAsia="Arial" w:hAnsi="Arial"/>
          <w:sz w:val="22"/>
          <w:szCs w:val="22"/>
          <w:color w:val="auto"/>
        </w:rPr>
      </w:pPr>
    </w:p>
    <w:p>
      <w:pPr>
        <w:jc w:val="both"/>
        <w:ind w:left="660" w:firstLine="974"/>
        <w:spacing w:after="0" w:line="312" w:lineRule="auto"/>
        <w:tabs>
          <w:tab w:leader="none" w:pos="2010"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Anti-Money Laundering/Anti-Corruption Laws</w:t>
      </w:r>
      <w:r>
        <w:rPr>
          <w:rFonts w:ascii="Arial" w:cs="Arial" w:eastAsia="Arial" w:hAnsi="Arial"/>
          <w:sz w:val="19"/>
          <w:szCs w:val="19"/>
          <w:color w:val="auto"/>
        </w:rPr>
        <w:t>. The Borrower shall not, and shall ensure that each member of the Borrowing Group will not, directly or indirectly use any of the credit to fund, finance or facilitate any activities, business or transactions that would be prohibited by Anti-Money Laundering Laws or Anti-Corruption Laws.</w:t>
      </w:r>
    </w:p>
    <w:p>
      <w:pPr>
        <w:spacing w:after="0" w:line="133"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Source of Repayment and Collateral</w:t>
      </w:r>
      <w:r>
        <w:rPr>
          <w:rFonts w:ascii="Arial" w:cs="Arial" w:eastAsia="Arial" w:hAnsi="Arial"/>
          <w:sz w:val="19"/>
          <w:szCs w:val="19"/>
          <w:color w:val="auto"/>
        </w:rPr>
        <w:t>. The Borrower shall not fund any repayment of the credit with proceeds, or provide as collateral any property, that is directly or indirectly derived from any transaction or activity that is prohibited by Sanctions, Anti-Money Laundering Laws or Anti-Corruption Laws, or that could otherwise cause the Lender or any other party to this agreement to be in violation of Sanctions, Anti-Money Laundering Laws or Anti-Corruption Laws.</w:t>
      </w:r>
    </w:p>
    <w:p>
      <w:pPr>
        <w:spacing w:after="0" w:line="142" w:lineRule="exact"/>
        <w:rPr>
          <w:rFonts w:ascii="Arial" w:cs="Arial" w:eastAsia="Arial" w:hAnsi="Arial"/>
          <w:sz w:val="19"/>
          <w:szCs w:val="19"/>
          <w:color w:val="auto"/>
        </w:rPr>
      </w:pPr>
    </w:p>
    <w:p>
      <w:pPr>
        <w:ind w:firstLine="1304"/>
        <w:spacing w:after="0" w:line="343" w:lineRule="auto"/>
        <w:tabs>
          <w:tab w:leader="none" w:pos="1944"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Tax Treatment</w:t>
      </w:r>
      <w:r>
        <w:rPr>
          <w:rFonts w:ascii="Arial" w:cs="Arial" w:eastAsia="Arial" w:hAnsi="Arial"/>
          <w:sz w:val="19"/>
          <w:szCs w:val="19"/>
          <w:color w:val="auto"/>
        </w:rPr>
        <w:t>. The Borrower will not file an election or take any other action that would cause the Borrower to be treated as other than an entity disregarded as separate from the Originator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77" w:name="page78"/>
    <w:bookmarkEnd w:id="77"/>
    <w:p>
      <w:pPr>
        <w:jc w:val="both"/>
        <w:ind w:firstLine="648"/>
        <w:spacing w:after="0" w:line="261" w:lineRule="auto"/>
        <w:rPr>
          <w:sz w:val="20"/>
          <w:szCs w:val="20"/>
          <w:color w:val="auto"/>
        </w:rPr>
      </w:pPr>
      <w:r>
        <w:rPr>
          <w:rFonts w:ascii="Arial" w:cs="Arial" w:eastAsia="Arial" w:hAnsi="Arial"/>
          <w:sz w:val="21"/>
          <w:szCs w:val="21"/>
          <w:color w:val="auto"/>
        </w:rPr>
        <w:t xml:space="preserve">Section 5.3 </w:t>
      </w:r>
      <w:r>
        <w:rPr>
          <w:rFonts w:ascii="Arial" w:cs="Arial" w:eastAsia="Arial" w:hAnsi="Arial"/>
          <w:sz w:val="21"/>
          <w:szCs w:val="21"/>
          <w:u w:val="single" w:color="auto"/>
          <w:color w:val="auto"/>
        </w:rPr>
        <w:t>Covenant of the Borrower Relating to the Hedging Agreement</w:t>
      </w:r>
      <w:r>
        <w:rPr>
          <w:rFonts w:ascii="Arial" w:cs="Arial" w:eastAsia="Arial" w:hAnsi="Arial"/>
          <w:sz w:val="21"/>
          <w:szCs w:val="21"/>
          <w:color w:val="auto"/>
        </w:rPr>
        <w:t>. At all times until the Collection Date, when any amount of Capital is outstanding hereunder, an Eligible Hedging Agreement shall be in place. In addition, the Borrower hereby covenants and agrees that at all times following the date on which the Initial Loan Amount is extended through the Commitment Termination Date, it shall cause the aggregate notional amount of all Eligible Hedging Transactions to at all times at least equal 100% of the Initial Loan Amount at such time and the notional amount of any Eligible Hedging Transaction shall amortize according to a schedule approved in writing by the Deal Agent.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5.4</w:t>
      </w:r>
      <w:r>
        <w:rPr>
          <w:sz w:val="20"/>
          <w:szCs w:val="20"/>
          <w:color w:val="auto"/>
        </w:rPr>
        <w:tab/>
      </w:r>
      <w:r>
        <w:rPr>
          <w:rFonts w:ascii="Arial" w:cs="Arial" w:eastAsia="Arial" w:hAnsi="Arial"/>
          <w:sz w:val="19"/>
          <w:szCs w:val="19"/>
          <w:u w:val="single" w:color="auto"/>
          <w:color w:val="auto"/>
        </w:rPr>
        <w:t>Affirmative Covenants of the Servicer</w:t>
      </w:r>
      <w:r>
        <w:rPr>
          <w:rFonts w:ascii="Arial" w:cs="Arial" w:eastAsia="Arial" w:hAnsi="Arial"/>
          <w:sz w:val="19"/>
          <w:szCs w:val="19"/>
          <w:color w:val="auto"/>
        </w:rPr>
        <w:t>. From the date hereof until the Collection Date:</w:t>
      </w:r>
    </w:p>
    <w:p>
      <w:pPr>
        <w:spacing w:after="0" w:line="220" w:lineRule="exact"/>
        <w:rPr>
          <w:sz w:val="20"/>
          <w:szCs w:val="20"/>
          <w:color w:val="auto"/>
        </w:rPr>
      </w:pPr>
    </w:p>
    <w:p>
      <w:pPr>
        <w:ind w:firstLine="1304"/>
        <w:spacing w:after="0" w:line="263" w:lineRule="auto"/>
        <w:tabs>
          <w:tab w:leader="none" w:pos="1941"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The Servicer will comply in all material respects with all Applicable Laws, including those with respect to the Contracts, the Loans and the Dealer Agreements or any part thereof.</w:t>
      </w:r>
    </w:p>
    <w:p>
      <w:pPr>
        <w:spacing w:after="0" w:line="174"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Preservation of Existence</w:t>
      </w:r>
      <w:r>
        <w:rPr>
          <w:rFonts w:ascii="Arial" w:cs="Arial" w:eastAsia="Arial" w:hAnsi="Arial"/>
          <w:sz w:val="22"/>
          <w:szCs w:val="22"/>
          <w:color w:val="auto"/>
        </w:rPr>
        <w:t>. The Servicer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187" w:lineRule="exact"/>
        <w:rPr>
          <w:rFonts w:ascii="Arial" w:cs="Arial" w:eastAsia="Arial" w:hAnsi="Arial"/>
          <w:sz w:val="22"/>
          <w:szCs w:val="22"/>
          <w:color w:val="auto"/>
        </w:rPr>
      </w:pPr>
    </w:p>
    <w:p>
      <w:pPr>
        <w:jc w:val="both"/>
        <w:ind w:firstLine="1304"/>
        <w:spacing w:after="0" w:line="297" w:lineRule="auto"/>
        <w:tabs>
          <w:tab w:leader="none" w:pos="1941"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Obligations and Compliance with Loans and Contracts</w:t>
      </w:r>
      <w:r>
        <w:rPr>
          <w:rFonts w:ascii="Arial" w:cs="Arial" w:eastAsia="Arial" w:hAnsi="Arial"/>
          <w:sz w:val="19"/>
          <w:szCs w:val="19"/>
          <w:color w:val="auto"/>
        </w:rPr>
        <w:t xml:space="preserve">. The Servicer (i) will duly fulfill and comply with all material obligations on the part of the Borrower to be fulfilled or complied with under or in connection with each Loan and each Contract and (ii) will do nothing to impair the rights of the Collateral Agent as agent for the Secured Parties or of the Secured Parties in, to and under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 such impairment of such rights with respect to the Collateral shall be deemed to have occurred so long as the Borrower has fulfilled all of its payment obligations under </w:t>
      </w:r>
      <w:r>
        <w:rPr>
          <w:rFonts w:ascii="Arial" w:cs="Arial" w:eastAsia="Arial" w:hAnsi="Arial"/>
          <w:sz w:val="19"/>
          <w:szCs w:val="19"/>
          <w:u w:val="single" w:color="auto"/>
          <w:color w:val="auto"/>
        </w:rPr>
        <w:t>Section 4.5</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The Servicer will maintain and implement administrative and operating procedures (including without limitation, an ability to recreate records evidencing the Loans and Contracts in the event of the destruction of the originals thereof), and keep and maintain all documents, books, records and other information reasonably necessary or advisable for the collection of all Loans.</w:t>
      </w:r>
    </w:p>
    <w:p>
      <w:pPr>
        <w:spacing w:after="0" w:line="187" w:lineRule="exact"/>
        <w:rPr>
          <w:rFonts w:ascii="Arial" w:cs="Arial" w:eastAsia="Arial" w:hAnsi="Arial"/>
          <w:sz w:val="22"/>
          <w:szCs w:val="22"/>
          <w:color w:val="auto"/>
        </w:rPr>
      </w:pPr>
    </w:p>
    <w:p>
      <w:pPr>
        <w:jc w:val="both"/>
        <w:ind w:firstLine="1304"/>
        <w:spacing w:after="0" w:line="248" w:lineRule="auto"/>
        <w:tabs>
          <w:tab w:leader="none" w:pos="1941"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Preservation of Security Interest</w:t>
      </w:r>
      <w:r>
        <w:rPr>
          <w:rFonts w:ascii="Arial" w:cs="Arial" w:eastAsia="Arial" w:hAnsi="Arial"/>
          <w:sz w:val="22"/>
          <w:szCs w:val="22"/>
          <w:color w:val="auto"/>
        </w:rPr>
        <w:t xml:space="preserve">. The Servicer will file such financing and continuation statements and any other documents that may be required by any law or regulation of any Governmental Authority to preserve and protect fully the security interest of the Collateral Agent as agent for the Secured Parties in, to and under the Collateral. In its capacity as Custodian, it will maintain possession of, or control over, the Contract Files and Records, as Custodian for the Secured Parties, as set forth in </w:t>
      </w:r>
      <w:r>
        <w:rPr>
          <w:rFonts w:ascii="Arial" w:cs="Arial" w:eastAsia="Arial" w:hAnsi="Arial"/>
          <w:sz w:val="22"/>
          <w:szCs w:val="22"/>
          <w:u w:val="single" w:color="auto"/>
          <w:color w:val="auto"/>
        </w:rPr>
        <w:t>Section 6.2(c)</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firstLine="1304"/>
        <w:spacing w:after="0" w:line="263" w:lineRule="auto"/>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Collection Guidelines</w:t>
      </w:r>
      <w:r>
        <w:rPr>
          <w:rFonts w:ascii="Arial" w:cs="Arial" w:eastAsia="Arial" w:hAnsi="Arial"/>
          <w:sz w:val="22"/>
          <w:szCs w:val="22"/>
          <w:color w:val="auto"/>
        </w:rPr>
        <w:t>. (i) The Servicer will comply in all material respects with the Collection Guidelines or with Applicable Law in regard to each Loan and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78" w:name="page79"/>
    <w:bookmarkEnd w:id="78"/>
    <w:p>
      <w:pPr>
        <w:spacing w:after="0" w:line="204" w:lineRule="exact"/>
        <w:rPr>
          <w:sz w:val="20"/>
          <w:szCs w:val="20"/>
          <w:color w:val="auto"/>
        </w:rPr>
      </w:pPr>
    </w:p>
    <w:p>
      <w:pPr>
        <w:jc w:val="both"/>
        <w:ind w:left="660" w:firstLine="974"/>
        <w:spacing w:after="0" w:line="248" w:lineRule="auto"/>
        <w:tabs>
          <w:tab w:leader="none" w:pos="1961"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initial Servicer will not agree to or otherwise permit to occur any change in the Collection Guidelines, which change would materially impair the collectibility of any Loan or Contract or otherwise materially adversely affect the interests or remedies of the Deal Agent, the Collateral Agent or the other Secured Parties under this Agreement or any other Transaction Document, without the prior written consent of the Required Lenders other than if required by Applicable Law.</w:t>
      </w:r>
    </w:p>
    <w:p>
      <w:pPr>
        <w:spacing w:after="0" w:line="191" w:lineRule="exact"/>
        <w:rPr>
          <w:rFonts w:ascii="Arial" w:cs="Arial" w:eastAsia="Arial" w:hAnsi="Arial"/>
          <w:sz w:val="22"/>
          <w:szCs w:val="22"/>
          <w:color w:val="auto"/>
        </w:rPr>
      </w:pPr>
    </w:p>
    <w:p>
      <w:pPr>
        <w:jc w:val="both"/>
        <w:ind w:firstLine="1304"/>
        <w:spacing w:after="0" w:line="302" w:lineRule="auto"/>
        <w:tabs>
          <w:tab w:leader="none" w:pos="1939"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Amortization Events and Termination Events</w:t>
      </w:r>
      <w:r>
        <w:rPr>
          <w:rFonts w:ascii="Arial" w:cs="Arial" w:eastAsia="Arial" w:hAnsi="Arial"/>
          <w:sz w:val="19"/>
          <w:szCs w:val="19"/>
          <w:color w:val="auto"/>
        </w:rPr>
        <w:t>. The Servicer will furnish to the Deal Agent and each Lender, as soon as possible and in any event within two (2) Business Days after the occurrence of each Amortization Event, each Termination Event and each Unmatured Termination Event, a written statement of the chief financial officer or chief treasury officer of the Servicer setting forth the details of such event and the action that the Servicer purposes to take with respect thereto.</w:t>
      </w:r>
    </w:p>
    <w:p>
      <w:pPr>
        <w:spacing w:after="0" w:line="142" w:lineRule="exact"/>
        <w:rPr>
          <w:rFonts w:ascii="Arial" w:cs="Arial" w:eastAsia="Arial" w:hAnsi="Arial"/>
          <w:sz w:val="19"/>
          <w:szCs w:val="19"/>
          <w:color w:val="auto"/>
        </w:rPr>
      </w:pPr>
    </w:p>
    <w:p>
      <w:pPr>
        <w:jc w:val="both"/>
        <w:ind w:firstLine="1304"/>
        <w:spacing w:after="0" w:line="263" w:lineRule="auto"/>
        <w:tabs>
          <w:tab w:leader="none" w:pos="1939"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Other</w:t>
      </w:r>
      <w:r>
        <w:rPr>
          <w:rFonts w:ascii="Arial" w:cs="Arial" w:eastAsia="Arial" w:hAnsi="Arial"/>
          <w:sz w:val="21"/>
          <w:szCs w:val="21"/>
          <w:color w:val="auto"/>
        </w:rPr>
        <w:t>. The Servicer will furnish to the Deal Agent, any Lender, the Backup Servicer or the Collateral Agent, as applicable, promptly, from time to time, such other information, documents, records or reports respecting the Collateral or the condition or operations, financial or otherwise, of Borrower or the Servicer as the Deal Agent, any Lender, the Backup Servicer or the Collateral Agent may from time to time reasonably request in order to protect the interests of the Collateral Agent or the Secured Parties under or as contemplated by this Agreement.</w:t>
      </w:r>
    </w:p>
    <w:p>
      <w:pPr>
        <w:spacing w:after="0" w:line="175" w:lineRule="exact"/>
        <w:rPr>
          <w:rFonts w:ascii="Arial" w:cs="Arial" w:eastAsia="Arial" w:hAnsi="Arial"/>
          <w:sz w:val="21"/>
          <w:szCs w:val="21"/>
          <w:color w:val="auto"/>
        </w:rPr>
      </w:pPr>
    </w:p>
    <w:p>
      <w:pPr>
        <w:jc w:val="both"/>
        <w:ind w:firstLine="1304"/>
        <w:spacing w:after="0" w:line="287" w:lineRule="auto"/>
        <w:tabs>
          <w:tab w:leader="none" w:pos="193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Losses, Etc</w:t>
      </w:r>
      <w:r>
        <w:rPr>
          <w:rFonts w:ascii="Arial" w:cs="Arial" w:eastAsia="Arial" w:hAnsi="Arial"/>
          <w:sz w:val="19"/>
          <w:szCs w:val="19"/>
          <w:color w:val="auto"/>
        </w:rPr>
        <w:t>. In any suit, proceeding or action brought by the Deal Agent, the Backup Servicer, the Collateral Agent or any Secured Party for any sum owing thereto, the Servicer shall save, indemnify and keep the Deal Agent, the Backup Servicer, the Collateral Agent and the Secured Parties harmless from and against all expense, loss or damage (including reasonable and documented attorneys' fees and expenses, including, without limitation, any reasonable and documented legal fees, costs and expenses incurred in connection with any enforcement (including any action, claim or suit brought) by the Backup Servicer or the Collateral Agent of any indemnification or other obligation of the Servicer) suffered by reason of any defense, setoff, counterclaim, recoupment or reduction of liability whatsoever of the Obligor under a Loan or Contract, arising out of a breach by the Servicer of any obligation under the related Loan or Contract or arising out of any other agreement, indebtedness or liability at any time owing to or in favor of such Obligor or its successor from the Servicer, and all such obligations of the Servicer shall be and remain enforceable against and only against the Servicer and shall not be enforceable against the Deal Agent, the Backup Servicer, the Collateral Agent or any Secured Party.</w:t>
      </w:r>
    </w:p>
    <w:p>
      <w:pPr>
        <w:spacing w:after="0" w:line="163" w:lineRule="exact"/>
        <w:rPr>
          <w:rFonts w:ascii="Arial" w:cs="Arial" w:eastAsia="Arial" w:hAnsi="Arial"/>
          <w:sz w:val="19"/>
          <w:szCs w:val="19"/>
          <w:color w:val="auto"/>
        </w:rPr>
      </w:pPr>
    </w:p>
    <w:p>
      <w:pPr>
        <w:jc w:val="both"/>
        <w:ind w:firstLine="1304"/>
        <w:spacing w:after="0" w:line="302" w:lineRule="auto"/>
        <w:tabs>
          <w:tab w:leader="none" w:pos="193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Notice of Liens</w:t>
      </w:r>
      <w:r>
        <w:rPr>
          <w:rFonts w:ascii="Arial" w:cs="Arial" w:eastAsia="Arial" w:hAnsi="Arial"/>
          <w:sz w:val="19"/>
          <w:szCs w:val="19"/>
          <w:color w:val="auto"/>
        </w:rPr>
        <w:t xml:space="preserve"> The Servicer shall advise the Backup Servicer, the Collateral Agent, each Lender and the Deal Agent promptly, in reasonable detail of: (i) any Lien asserted or claim made against any portion of the Collateral; (ii) the occurrence of any breach by the Servicer of any of its representations, warranties and covenants contained herein or in any other Transaction Document; and (iii) the occurrence of any other event which would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79" w:name="page80"/>
    <w:bookmarkEnd w:id="79"/>
    <w:p>
      <w:pPr>
        <w:jc w:val="both"/>
        <w:ind w:firstLine="1304"/>
        <w:spacing w:after="0" w:line="260" w:lineRule="auto"/>
        <w:tabs>
          <w:tab w:leader="none" w:pos="1939"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Realization on Loans or Contracts</w:t>
      </w:r>
      <w:r>
        <w:rPr>
          <w:rFonts w:ascii="Arial" w:cs="Arial" w:eastAsia="Arial" w:hAnsi="Arial"/>
          <w:sz w:val="21"/>
          <w:szCs w:val="21"/>
          <w:color w:val="auto"/>
        </w:rPr>
        <w:t>. In the event that the Servicer realizes upon any Loan or Contract, the methods utilized by the Servicer to realize upon such Loan or Contract or otherwise enforce any provisions of such Loan or Contract will not subject the Servicer, the Borrower, any Secured Party, the Deal Agent or the Collateral Agent to liability under any federal, state or local law, and such enforcement by the Servicer will be conducted in all material respects in accordance with the provisions of the Credit Guidelines (unless the Backup Servicer is then the Successor Servicer), the Collection Guidelines, Applicable Law and, in the case of Credit Acceptance, this Agreement, and in the case of the Backup Servicer if it has become the Servicer, the Backup Servicing Agreement.</w:t>
      </w:r>
    </w:p>
    <w:p>
      <w:pPr>
        <w:spacing w:after="0" w:line="180" w:lineRule="exact"/>
        <w:rPr>
          <w:rFonts w:ascii="Arial" w:cs="Arial" w:eastAsia="Arial" w:hAnsi="Arial"/>
          <w:sz w:val="21"/>
          <w:szCs w:val="21"/>
          <w:color w:val="auto"/>
        </w:rPr>
      </w:pPr>
    </w:p>
    <w:p>
      <w:pPr>
        <w:ind w:firstLine="1304"/>
        <w:spacing w:after="0" w:line="263" w:lineRule="auto"/>
        <w:tabs>
          <w:tab w:leader="none" w:pos="193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Backup Servicing Agreement</w:t>
      </w:r>
      <w:r>
        <w:rPr>
          <w:rFonts w:ascii="Arial" w:cs="Arial" w:eastAsia="Arial" w:hAnsi="Arial"/>
          <w:sz w:val="22"/>
          <w:szCs w:val="22"/>
          <w:color w:val="auto"/>
        </w:rPr>
        <w:t>. The Servicer shall provide the Backup Servicer with all information, data and reports as required by the terms of the Backup Servicing Agreement.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Monthly Reports</w:t>
      </w:r>
      <w:r>
        <w:rPr>
          <w:rFonts w:ascii="Arial" w:cs="Arial" w:eastAsia="Arial" w:hAnsi="Arial"/>
          <w:sz w:val="22"/>
          <w:szCs w:val="22"/>
          <w:color w:val="auto"/>
        </w:rPr>
        <w:t>. Not later than the Determination Date preceding each Payment Date, the Servicer will furnish to the Deal Agent, each Lender, the Collateral Agent and the Backup Servicer a Monthly Report relating to the immediately preceding Collection Period.</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19"/>
          <w:szCs w:val="19"/>
          <w:u w:val="single" w:color="auto"/>
          <w:color w:val="auto"/>
        </w:rPr>
        <w:t>Negative Covenants of the Servicer</w:t>
      </w:r>
      <w:r>
        <w:rPr>
          <w:rFonts w:ascii="Arial" w:cs="Arial" w:eastAsia="Arial" w:hAnsi="Arial"/>
          <w:sz w:val="19"/>
          <w:szCs w:val="19"/>
          <w:color w:val="auto"/>
        </w:rPr>
        <w:t>. From the date hereof until the Collection Date.</w:t>
      </w:r>
    </w:p>
    <w:p>
      <w:pPr>
        <w:spacing w:after="0" w:line="220" w:lineRule="exact"/>
        <w:rPr>
          <w:sz w:val="20"/>
          <w:szCs w:val="20"/>
          <w:color w:val="auto"/>
        </w:rPr>
      </w:pPr>
    </w:p>
    <w:p>
      <w:pPr>
        <w:jc w:val="both"/>
        <w:ind w:firstLine="1304"/>
        <w:spacing w:after="0" w:line="253" w:lineRule="auto"/>
        <w:tabs>
          <w:tab w:leader="none" w:pos="1941"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Mergers, Acquisition, Sales, etc</w:t>
      </w:r>
      <w:r>
        <w:rPr>
          <w:rFonts w:ascii="Arial" w:cs="Arial" w:eastAsia="Arial" w:hAnsi="Arial"/>
          <w:sz w:val="22"/>
          <w:szCs w:val="22"/>
          <w:color w:val="auto"/>
        </w:rPr>
        <w:t>. The Servicer (unless the Backup Servicer is then the Successor Servicer) will not consolidate with or merge into any other Person or convey or transfer its properties and assets substantially as an entirety to any Person, unless the Servicer is the surviving entity and unless:</w:t>
      </w:r>
    </w:p>
    <w:p>
      <w:pPr>
        <w:spacing w:after="0" w:line="185" w:lineRule="exact"/>
        <w:rPr>
          <w:rFonts w:ascii="Arial" w:cs="Arial" w:eastAsia="Arial" w:hAnsi="Arial"/>
          <w:sz w:val="22"/>
          <w:szCs w:val="22"/>
          <w:color w:val="auto"/>
        </w:rPr>
      </w:pPr>
    </w:p>
    <w:p>
      <w:pPr>
        <w:jc w:val="both"/>
        <w:ind w:left="660" w:firstLine="1034"/>
        <w:spacing w:after="0" w:line="297" w:lineRule="auto"/>
        <w:tabs>
          <w:tab w:leader="none" w:pos="1978"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the Servicer has delivered to the Deal Agent, the Collateral Agent and the Backup Servicer an Officer's Certificate and an Opinion of Counsel each stating that any consolidation, merger, conveyance or transfer and any related supplemental agreement comply with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and that all conditions precedent herein provided for relating to such transaction have been complied with and, in the case of the Opinion of Counsel, that such supplemental agreement is legal, valid and binding with respect to the Servicer and such other matters as the Deal Agent may reasonably request;</w:t>
      </w:r>
    </w:p>
    <w:p>
      <w:pPr>
        <w:spacing w:after="0" w:line="146" w:lineRule="exact"/>
        <w:rPr>
          <w:rFonts w:ascii="Arial" w:cs="Arial" w:eastAsia="Arial" w:hAnsi="Arial"/>
          <w:sz w:val="19"/>
          <w:szCs w:val="19"/>
          <w:color w:val="auto"/>
        </w:rPr>
      </w:pPr>
    </w:p>
    <w:p>
      <w:pPr>
        <w:ind w:left="660" w:right="20" w:firstLine="974"/>
        <w:spacing w:after="0" w:line="263" w:lineRule="auto"/>
        <w:tabs>
          <w:tab w:leader="none" w:pos="1968" w:val="left"/>
        </w:tabs>
        <w:numPr>
          <w:ilvl w:val="1"/>
          <w:numId w:val="93"/>
        </w:numPr>
        <w:rPr>
          <w:rFonts w:ascii="Arial" w:cs="Arial" w:eastAsia="Arial" w:hAnsi="Arial"/>
          <w:sz w:val="22"/>
          <w:szCs w:val="22"/>
          <w:color w:val="auto"/>
        </w:rPr>
      </w:pPr>
      <w:r>
        <w:rPr>
          <w:rFonts w:ascii="Arial" w:cs="Arial" w:eastAsia="Arial" w:hAnsi="Arial"/>
          <w:sz w:val="22"/>
          <w:szCs w:val="22"/>
          <w:color w:val="auto"/>
        </w:rPr>
        <w:t>the Servicer shall have delivered notice of such consolidation, merger, conveyance or transfer to the Deal Agent, the Collateral Agent and the Backup Servicer; and</w:t>
      </w:r>
    </w:p>
    <w:p>
      <w:pPr>
        <w:spacing w:after="0" w:line="174" w:lineRule="exact"/>
        <w:rPr>
          <w:rFonts w:ascii="Arial" w:cs="Arial" w:eastAsia="Arial" w:hAnsi="Arial"/>
          <w:sz w:val="22"/>
          <w:szCs w:val="22"/>
          <w:color w:val="auto"/>
        </w:rPr>
      </w:pPr>
    </w:p>
    <w:p>
      <w:pPr>
        <w:jc w:val="both"/>
        <w:ind w:left="660" w:firstLine="914"/>
        <w:spacing w:after="0" w:line="253" w:lineRule="auto"/>
        <w:tabs>
          <w:tab w:leader="none" w:pos="1975" w:val="left"/>
        </w:tabs>
        <w:numPr>
          <w:ilvl w:val="1"/>
          <w:numId w:val="93"/>
        </w:numPr>
        <w:rPr>
          <w:rFonts w:ascii="Arial" w:cs="Arial" w:eastAsia="Arial" w:hAnsi="Arial"/>
          <w:sz w:val="22"/>
          <w:szCs w:val="22"/>
          <w:color w:val="auto"/>
        </w:rPr>
      </w:pPr>
      <w:r>
        <w:rPr>
          <w:rFonts w:ascii="Arial" w:cs="Arial" w:eastAsia="Arial" w:hAnsi="Arial"/>
          <w:sz w:val="22"/>
          <w:szCs w:val="22"/>
          <w:color w:val="auto"/>
        </w:rPr>
        <w:t>after giving effect thereto, no Termination Event, Unmatured Termination Event or Servicer Termination Event or event that with notice or lapse of time, or both, would constitute a Termination Event or Servicer Termination Event shall have occurred.</w:t>
      </w:r>
    </w:p>
    <w:p>
      <w:pPr>
        <w:spacing w:after="0" w:line="185" w:lineRule="exact"/>
        <w:rPr>
          <w:rFonts w:ascii="Arial" w:cs="Arial" w:eastAsia="Arial" w:hAnsi="Arial"/>
          <w:sz w:val="22"/>
          <w:szCs w:val="22"/>
          <w:color w:val="auto"/>
        </w:rPr>
      </w:pPr>
    </w:p>
    <w:p>
      <w:pPr>
        <w:ind w:firstLine="1304"/>
        <w:spacing w:after="0" w:line="263" w:lineRule="auto"/>
        <w:tabs>
          <w:tab w:leader="none" w:pos="1939"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Change of Name or Location of Records</w:t>
      </w:r>
      <w:r>
        <w:rPr>
          <w:rFonts w:ascii="Arial" w:cs="Arial" w:eastAsia="Arial" w:hAnsi="Arial"/>
          <w:sz w:val="22"/>
          <w:szCs w:val="22"/>
          <w:color w:val="auto"/>
        </w:rPr>
        <w:t>. The Servicer shall not (x) change its name or its state of organization, move the location of its principal place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0" w:name="page81"/>
    <w:bookmarkEnd w:id="80"/>
    <w:p>
      <w:pPr>
        <w:jc w:val="both"/>
        <w:spacing w:after="0" w:line="260" w:lineRule="auto"/>
        <w:rPr>
          <w:sz w:val="20"/>
          <w:szCs w:val="20"/>
          <w:color w:val="auto"/>
        </w:rPr>
      </w:pPr>
      <w:r>
        <w:rPr>
          <w:rFonts w:ascii="Arial" w:cs="Arial" w:eastAsia="Arial" w:hAnsi="Arial"/>
          <w:sz w:val="21"/>
          <w:szCs w:val="21"/>
          <w:color w:val="auto"/>
        </w:rPr>
        <w:t xml:space="preserve">and chief executive office, and the offices where it keeps records concerning the Loans from the locations referred to in </w:t>
      </w:r>
      <w:r>
        <w:rPr>
          <w:rFonts w:ascii="Arial" w:cs="Arial" w:eastAsia="Arial" w:hAnsi="Arial"/>
          <w:sz w:val="21"/>
          <w:szCs w:val="21"/>
          <w:u w:val="single" w:color="auto"/>
          <w:color w:val="auto"/>
        </w:rPr>
        <w:t>Sections 4.1(p)</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14.2</w:t>
      </w:r>
      <w:r>
        <w:rPr>
          <w:rFonts w:ascii="Arial" w:cs="Arial" w:eastAsia="Arial" w:hAnsi="Arial"/>
          <w:sz w:val="21"/>
          <w:szCs w:val="21"/>
          <w:color w:val="auto"/>
        </w:rPr>
        <w:t xml:space="preserve"> or (y) move, or consent to the Custodian moving, the Records from the location thereof on the Closing Date, unless the Servicer has given at least 30 days' written notice to the Deal Agent and has taken all actions required under the UCC of each relevant jurisdiction in order to continue the first priority perfected security interest of the Collateral Agent as agent for the Secured Parties in the Collateral;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21"/>
          <w:szCs w:val="21"/>
          <w:u w:val="single" w:color="auto"/>
          <w:color w:val="auto"/>
        </w:rPr>
        <w:t>Section 6.2(c)(iii)</w:t>
      </w:r>
      <w:r>
        <w:rPr>
          <w:rFonts w:ascii="Arial" w:cs="Arial" w:eastAsia="Arial" w:hAnsi="Arial"/>
          <w:sz w:val="21"/>
          <w:szCs w:val="21"/>
          <w:color w:val="auto"/>
        </w:rPr>
        <w:t>.</w:t>
      </w:r>
    </w:p>
    <w:p>
      <w:pPr>
        <w:spacing w:after="0" w:line="180" w:lineRule="exact"/>
        <w:rPr>
          <w:sz w:val="20"/>
          <w:szCs w:val="20"/>
          <w:color w:val="auto"/>
        </w:rPr>
      </w:pPr>
    </w:p>
    <w:p>
      <w:pPr>
        <w:jc w:val="both"/>
        <w:ind w:firstLine="1304"/>
        <w:spacing w:after="0" w:line="253" w:lineRule="auto"/>
        <w:tabs>
          <w:tab w:leader="none" w:pos="1941"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Change in Payment Instructions to Obligors</w:t>
      </w:r>
      <w:r>
        <w:rPr>
          <w:rFonts w:ascii="Arial" w:cs="Arial" w:eastAsia="Arial" w:hAnsi="Arial"/>
          <w:sz w:val="22"/>
          <w:szCs w:val="22"/>
          <w:color w:val="auto"/>
        </w:rPr>
        <w:t>. The Servicer will not make any change in its instructions to Obligors regarding where payments in respect of Contracts are to be made, unless the Required Lenders have consented to such change and have received duly executed documentation related thereto.</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4"/>
        <w:spacing w:after="0" w:line="343" w:lineRule="auto"/>
        <w:tabs>
          <w:tab w:leader="none" w:pos="1941"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No Instruments</w:t>
      </w:r>
      <w:r>
        <w:rPr>
          <w:rFonts w:ascii="Arial" w:cs="Arial" w:eastAsia="Arial" w:hAnsi="Arial"/>
          <w:sz w:val="19"/>
          <w:szCs w:val="19"/>
          <w:color w:val="auto"/>
        </w:rPr>
        <w:t>. The Servicer shall take no action to cause any Loan to be evidenced by any instrument (as defined in the UCC as in effect in the relevant State) except for instruments obtained with respect to defaulted Loans.</w:t>
      </w:r>
    </w:p>
    <w:p>
      <w:pPr>
        <w:spacing w:after="0" w:line="104" w:lineRule="exact"/>
        <w:rPr>
          <w:rFonts w:ascii="Arial" w:cs="Arial" w:eastAsia="Arial" w:hAnsi="Arial"/>
          <w:sz w:val="19"/>
          <w:szCs w:val="19"/>
          <w:color w:val="auto"/>
        </w:rPr>
      </w:pPr>
    </w:p>
    <w:p>
      <w:pPr>
        <w:jc w:val="both"/>
        <w:ind w:firstLine="1304"/>
        <w:spacing w:after="0" w:line="297" w:lineRule="auto"/>
        <w:tabs>
          <w:tab w:leader="none" w:pos="194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No Liens</w:t>
      </w:r>
      <w:r>
        <w:rPr>
          <w:rFonts w:ascii="Arial" w:cs="Arial" w:eastAsia="Arial" w:hAnsi="Arial"/>
          <w:sz w:val="19"/>
          <w:szCs w:val="19"/>
          <w:color w:val="auto"/>
        </w:rPr>
        <w:t xml:space="preserve">. The Servicer shall not sell, pledge, assign or transfer to any other Person, or grant, create, incur, assume or suffer to exist any Lien (other than the Lien described in </w:t>
      </w:r>
      <w:r>
        <w:rPr>
          <w:rFonts w:ascii="Arial" w:cs="Arial" w:eastAsia="Arial" w:hAnsi="Arial"/>
          <w:sz w:val="19"/>
          <w:szCs w:val="19"/>
          <w:u w:val="single" w:color="auto"/>
          <w:color w:val="auto"/>
        </w:rPr>
        <w:t>Section 4.2(a)(iii)</w:t>
      </w:r>
      <w:r>
        <w:rPr>
          <w:rFonts w:ascii="Arial" w:cs="Arial" w:eastAsia="Arial" w:hAnsi="Arial"/>
          <w:sz w:val="19"/>
          <w:szCs w:val="19"/>
          <w:color w:val="auto"/>
        </w:rPr>
        <w:t>) on the Collateral or any interest therein; the Servicer will notify the Collateral Agent and the Deal Agent of the existence of any Lien on any portion of the Collateral immediately upon discovery thereof, and the Servicer shall defend the right, title and interest of the Collateral Agent on behalf of the Secured Parties in, to and under the Collateral against all claims of third parties claiming through or under the Servicer.</w:t>
      </w:r>
    </w:p>
    <w:p>
      <w:pPr>
        <w:spacing w:after="0" w:line="146"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The Servicer shall, within two (2) Business Days of its receipt thereof, respond to reasonable written directions or written requests for information that the Backup Servicer, the Borrower, the Deal Agent, any Lender or the Collateral Agent might have with respect to the administration of the Loans.</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Consent</w:t>
      </w:r>
      <w:r>
        <w:rPr>
          <w:rFonts w:ascii="Arial" w:cs="Arial" w:eastAsia="Arial" w:hAnsi="Arial"/>
          <w:sz w:val="22"/>
          <w:szCs w:val="22"/>
          <w:color w:val="auto"/>
        </w:rPr>
        <w:t>. The Servicer will promptly advise the Borrower, the Backup Servicer, the Deal Agent and the Collateral Agent of any inquiry received from an Obligor which requires the consent of the Borrower, the Backup Servicer, the Deal Agent or the Collateral Agent.</w:t>
      </w:r>
    </w:p>
    <w:p>
      <w:pPr>
        <w:spacing w:after="0" w:line="185" w:lineRule="exact"/>
        <w:rPr>
          <w:rFonts w:ascii="Arial" w:cs="Arial" w:eastAsia="Arial" w:hAnsi="Arial"/>
          <w:sz w:val="22"/>
          <w:szCs w:val="22"/>
          <w:color w:val="auto"/>
        </w:rPr>
      </w:pPr>
    </w:p>
    <w:p>
      <w:pPr>
        <w:jc w:val="both"/>
        <w:ind w:firstLine="1304"/>
        <w:spacing w:after="0" w:line="263" w:lineRule="auto"/>
        <w:tabs>
          <w:tab w:leader="none" w:pos="1932"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Credit Guidelines and Collection Guidelines</w:t>
      </w:r>
      <w:r>
        <w:rPr>
          <w:rFonts w:ascii="Arial" w:cs="Arial" w:eastAsia="Arial" w:hAnsi="Arial"/>
          <w:sz w:val="21"/>
          <w:szCs w:val="21"/>
          <w:color w:val="auto"/>
        </w:rPr>
        <w:t>. The initial Servicer will not amend, modify, restate or replace in any way the Credit Guidelines or the Collection Guidelines, which change would materially impair the collectibility of any Loan or Contract or otherwise materially adversely affect the interests or the remedies of the Deal Agent, Collateral Agent or the other Secured Parties under this Agreement or any other Transaction Document, without the prior written consent of the Required Lenders in the case of the Credit Guidelines or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22"/>
          <w:szCs w:val="22"/>
          <w:color w:val="auto"/>
        </w:rPr>
        <w:t>prior written consent of the Deal Agent and the Required Lenders with respect to the Collection Guidelines, in each case unless required by Applicable Law.</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Negative Covenants of the Backup Servicer</w:t>
      </w:r>
      <w:r>
        <w:rPr>
          <w:rFonts w:ascii="Arial" w:cs="Arial" w:eastAsia="Arial" w:hAnsi="Arial"/>
          <w:sz w:val="19"/>
          <w:szCs w:val="19"/>
          <w:color w:val="auto"/>
        </w:rPr>
        <w:t>. From the date hereof until the Collection Date:</w:t>
      </w:r>
    </w:p>
    <w:p>
      <w:pPr>
        <w:spacing w:after="0" w:line="220" w:lineRule="exact"/>
        <w:rPr>
          <w:sz w:val="20"/>
          <w:szCs w:val="20"/>
          <w:color w:val="auto"/>
        </w:rPr>
      </w:pPr>
    </w:p>
    <w:p>
      <w:pPr>
        <w:ind w:firstLine="1304"/>
        <w:spacing w:after="0" w:line="263" w:lineRule="auto"/>
        <w:tabs>
          <w:tab w:leader="none" w:pos="1941"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 Changes in Backup Servicing Fee</w:t>
      </w:r>
      <w:r>
        <w:rPr>
          <w:rFonts w:ascii="Arial" w:cs="Arial" w:eastAsia="Arial" w:hAnsi="Arial"/>
          <w:sz w:val="22"/>
          <w:szCs w:val="22"/>
          <w:color w:val="auto"/>
        </w:rPr>
        <w:t>. The Backup Servicer will not make any changes to the Backup Servicing Fee without the prior written approval of the Deal Agent.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ADMINISTRATION AND SERVICING OF CONTRACTS</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u w:val="single" w:color="auto"/>
          <w:color w:val="auto"/>
        </w:rPr>
        <w:t>Servicing</w:t>
      </w:r>
      <w:r>
        <w:rPr>
          <w:rFonts w:ascii="Arial" w:cs="Arial" w:eastAsia="Arial" w:hAnsi="Arial"/>
          <w:sz w:val="19"/>
          <w:szCs w:val="19"/>
          <w:color w:val="auto"/>
        </w:rPr>
        <w:t xml:space="preserve">. (a) The Borrower, the Deal Agent and the Collateral Agent hereby appoint Credit Acceptance as servicer hereunder and Credit Acceptance hereby accepts such appointment and agrees to manage, collect and administer each of the Loans and Contracts as Servicer;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Collateral Agent shall have no liability with respect to such appointment. In the event of a Servicer Termination Event, the Deal Agent shall have the right to terminate Credit Acceptance as servicer hereunder. Upon termination of Credit Acceptance as servicer of the Loans pursuant to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hereof, the Deal Agent shall have the right to appoint a Successor Servicer and enter into a servicing agreement with such Successor Servicer at such time and exercise all of its rights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hereof. Such servicing agreement shall specify the duties and obligations of such Successor Servicer, and all references herein to the Servicer shall be deemed to refer to such Successor Servicer.</w:t>
      </w:r>
    </w:p>
    <w:p>
      <w:pPr>
        <w:spacing w:after="0" w:line="156" w:lineRule="exact"/>
        <w:rPr>
          <w:sz w:val="20"/>
          <w:szCs w:val="20"/>
          <w:color w:val="auto"/>
        </w:rPr>
      </w:pPr>
    </w:p>
    <w:p>
      <w:pPr>
        <w:jc w:val="both"/>
        <w:ind w:firstLine="1304"/>
        <w:spacing w:after="0" w:line="253" w:lineRule="auto"/>
        <w:tabs>
          <w:tab w:leader="none" w:pos="1939"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Borrower shall cause the Servicer to deposit all Collections to the Collection Account no later than two (2) Business Days after receipt. The Servicer agrees to deposit all Collections to the Collection Account no later than two (2) Business Days after receipt.</w:t>
      </w:r>
    </w:p>
    <w:p>
      <w:pPr>
        <w:spacing w:after="0" w:line="185" w:lineRule="exact"/>
        <w:rPr>
          <w:rFonts w:ascii="Arial" w:cs="Arial" w:eastAsia="Arial" w:hAnsi="Arial"/>
          <w:sz w:val="22"/>
          <w:szCs w:val="22"/>
          <w:color w:val="auto"/>
        </w:rPr>
      </w:pPr>
    </w:p>
    <w:p>
      <w:pPr>
        <w:jc w:val="both"/>
        <w:ind w:firstLine="1304"/>
        <w:spacing w:after="0" w:line="287" w:lineRule="auto"/>
        <w:tabs>
          <w:tab w:leader="none" w:pos="1941" w:val="left"/>
        </w:tabs>
        <w:numPr>
          <w:ilvl w:val="0"/>
          <w:numId w:val="96"/>
        </w:numPr>
        <w:rPr>
          <w:rFonts w:ascii="Arial" w:cs="Arial" w:eastAsia="Arial" w:hAnsi="Arial"/>
          <w:sz w:val="19"/>
          <w:szCs w:val="19"/>
          <w:color w:val="auto"/>
        </w:rPr>
      </w:pPr>
      <w:r>
        <w:rPr>
          <w:rFonts w:ascii="Arial" w:cs="Arial" w:eastAsia="Arial" w:hAnsi="Arial"/>
          <w:sz w:val="19"/>
          <w:szCs w:val="19"/>
          <w:color w:val="auto"/>
        </w:rPr>
        <w:t>On or before 120 days after the end of each fiscal year of the Servicer, beginning with the fiscal year ending December 31, 2021, the Servicer shall cause a firm of independent public accountants (who may also render other services to the Servicer or the Borrower) to furnish a report to the Collateral Agent, the Deal Agent and the Secured Parties to the effect that such firm (i) compared the information contained in the Monthly Reports delivered during such fiscal year, based on a sample size provided by the Deal Agent, with the information contained in the Loans, the Contracts and the Servicer's records and computer systems for such period, and that, on the basis of such agreed-upon procedures, such firm is of the opinion that the information contained in the Monthly Reports reconciles with the information contained in the Loans and the Contracts and the Servicer's records and computer system and that the servicing of the Loans and the Contracts has been conducted in compliance with this Agreement, and (ii) verified the Aggregate Outstanding Eligible Loan Balance as of the end of each Collection Period during such fiscal year, except, in each case, for (a) such exceptions as such firm shall believe to be immaterial (which exceptions need not be enumerated) and (b) such other exceptions as shall be set forth in such statement. In the event such independent public accountants require the Collateral Agent to agree to the procedures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2" w:name="page83"/>
    <w:bookmarkEnd w:id="82"/>
    <w:p>
      <w:pPr>
        <w:jc w:val="both"/>
        <w:spacing w:after="0" w:line="246" w:lineRule="auto"/>
        <w:rPr>
          <w:sz w:val="20"/>
          <w:szCs w:val="20"/>
          <w:color w:val="auto"/>
        </w:rPr>
      </w:pPr>
      <w:r>
        <w:rPr>
          <w:rFonts w:ascii="Arial" w:cs="Arial" w:eastAsia="Arial" w:hAnsi="Arial"/>
          <w:sz w:val="22"/>
          <w:szCs w:val="22"/>
          <w:color w:val="auto"/>
        </w:rPr>
        <w:t xml:space="preserve">performed by such firm in any of the reports required to be prepared pursuant to this </w:t>
      </w:r>
      <w:r>
        <w:rPr>
          <w:rFonts w:ascii="Arial" w:cs="Arial" w:eastAsia="Arial" w:hAnsi="Arial"/>
          <w:sz w:val="22"/>
          <w:szCs w:val="22"/>
          <w:u w:val="single" w:color="auto"/>
          <w:color w:val="auto"/>
        </w:rPr>
        <w:t>Section 6.1(c)</w:t>
      </w:r>
      <w:r>
        <w:rPr>
          <w:rFonts w:ascii="Arial" w:cs="Arial" w:eastAsia="Arial" w:hAnsi="Arial"/>
          <w:sz w:val="22"/>
          <w:szCs w:val="22"/>
          <w:color w:val="auto"/>
        </w:rPr>
        <w:t>,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 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Duties of the Servicer and Custodian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4" w:lineRule="auto"/>
        <w:tabs>
          <w:tab w:leader="none" w:pos="1941"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The Servicer shall take or cause to be taken all such action as may be necessary or advisable to collect all amounts due under the Loans and Contracts from time to time, all in material accordance with applicable laws, rules and regulations, with reasonable care and diligence, and in material accordance with the Collection Guidelines and Credit Guidelines, it being understood that there shall be no recourse to the Servicer with regard to the Loans and Contracts except as otherwise provided herein and in the other Transaction Documents. In performing its duties as initial Servicer, the initial Servicer shall use the same degree of care and attention it employs with respect to similar contracts and loans which it services for itself or others. Each of the Borrower, the Deal Agent, the Collateral Agent and the Secured Parties hereby appoints as its agent the Servicer, from time to time designated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to enforce its respective rights and interests in and under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Collateral Agent shall have no liability with respect to such appointment. If the Servicer shall commence a legal proceeding to enforce a Loan or a Contract (for purposes of collection or otherwise), or if in any enforcement or other legal proceeding it shall be held that the Servicer may not enforce a Loan or a Contract, on the grounds that it shall not be a real party in interest or a holder entitled to enforce the Loan or Contract or on similar grounds, the Collateral Agent shall thereupon be deemed to have automatically assigned to the Servicer, solely for the purpose of enforcement, such Loan or Contract. Without limiting the foregoing, the Collateral Agent (and each Lender, if applicable) shall furnish the Servicer with an affidavit prepared by the Servicer that the Servicer may use in any such legal proceedings confirming the Servicer's power and authority to sue and otherwise enforce the Loans and Contracts in its own name, consistent with this </w:t>
      </w:r>
      <w:r>
        <w:rPr>
          <w:rFonts w:ascii="Arial" w:cs="Arial" w:eastAsia="Arial" w:hAnsi="Arial"/>
          <w:sz w:val="19"/>
          <w:szCs w:val="19"/>
          <w:u w:val="single" w:color="auto"/>
          <w:color w:val="auto"/>
        </w:rPr>
        <w:t>Section 6.2</w:t>
      </w:r>
      <w:r>
        <w:rPr>
          <w:rFonts w:ascii="Arial" w:cs="Arial" w:eastAsia="Arial" w:hAnsi="Arial"/>
          <w:sz w:val="19"/>
          <w:szCs w:val="19"/>
          <w:color w:val="auto"/>
        </w:rPr>
        <w:t>, and any powers of attorney or other documents prepared by the Servicer reasonably necessary or appropriate to enable the Servicer to carry out its servicing and administrative duties hereunder. The Servicer shall hold in trust for the Secured Parties all Records and any amounts it receives in respect of the Collateral. In the event that a Successor Servicer is appointed, the outgoing Servicer shall deliver to the Successor Servicer and the Successor Servicer shall hold in trust for the Borrower and the Secured Parties all records which evidence or relate to all or any part of the Collateral.</w:t>
      </w:r>
    </w:p>
    <w:p>
      <w:pPr>
        <w:spacing w:after="0" w:line="173" w:lineRule="exact"/>
        <w:rPr>
          <w:rFonts w:ascii="Arial" w:cs="Arial" w:eastAsia="Arial" w:hAnsi="Arial"/>
          <w:sz w:val="19"/>
          <w:szCs w:val="19"/>
          <w:color w:val="auto"/>
        </w:rPr>
      </w:pPr>
    </w:p>
    <w:p>
      <w:pPr>
        <w:ind w:firstLine="1304"/>
        <w:spacing w:after="0" w:line="343" w:lineRule="auto"/>
        <w:tabs>
          <w:tab w:leader="none" w:pos="1939"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Servicer, if other than Credit Acceptance, shall as soon as practicable upon demand, deliver to the Borrower all records in its possession which evidence or relate to indebtedness of an Obligor which is not a Loan or a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3" w:name="page84"/>
    <w:bookmarkEnd w:id="83"/>
    <w:p>
      <w:pPr>
        <w:jc w:val="both"/>
        <w:ind w:firstLine="1304"/>
        <w:spacing w:after="0" w:line="290" w:lineRule="auto"/>
        <w:tabs>
          <w:tab w:leader="none" w:pos="1941" w:val="left"/>
        </w:tabs>
        <w:numPr>
          <w:ilvl w:val="0"/>
          <w:numId w:val="98"/>
        </w:numPr>
        <w:rPr>
          <w:rFonts w:ascii="Arial" w:cs="Arial" w:eastAsia="Arial" w:hAnsi="Arial"/>
          <w:sz w:val="19"/>
          <w:szCs w:val="19"/>
          <w:color w:val="auto"/>
        </w:rPr>
      </w:pPr>
      <w:r>
        <w:rPr>
          <w:rFonts w:ascii="Arial" w:cs="Arial" w:eastAsia="Arial" w:hAnsi="Arial"/>
          <w:sz w:val="19"/>
          <w:szCs w:val="19"/>
          <w:color w:val="auto"/>
        </w:rPr>
        <w:t>(i) The Borrower, the Deal Agent and the Collateral Agent hereby revocably appoint Credit Acceptance as custodian, and Credit Acceptance hereby accepts such appointment, to hold and maintain physical possession of the Contract Files and all Records (or with respect to any Contract constituting electronic chattel paper, to maintain “control” (within the meaning of Section 9-105 of the UCC) of the Authoritative Electronic Copy thereof) (in such capacity together with its successors in such capacity, the “</w:t>
      </w:r>
      <w:r>
        <w:rPr>
          <w:rFonts w:ascii="Arial" w:cs="Arial" w:eastAsia="Arial" w:hAnsi="Arial"/>
          <w:sz w:val="19"/>
          <w:szCs w:val="19"/>
          <w:u w:val="single" w:color="auto"/>
          <w:color w:val="auto"/>
        </w:rPr>
        <w:t>Custodian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Collateral Agent shall have no liability with respect to such appointment. The Contract Files and Records are to be delivered to the Custodian or its designated bailee by or on behalf of the Borrower, the Deal Agent and Collateral Agent within two (2) Business Days preceding the Closing Date or within two (2) Business Days after each Addition Date, as the case may be, with respect to each Loan acquired on the Addition Date.</w:t>
      </w:r>
    </w:p>
    <w:p>
      <w:pPr>
        <w:spacing w:after="0" w:line="155" w:lineRule="exact"/>
        <w:rPr>
          <w:rFonts w:ascii="Arial" w:cs="Arial" w:eastAsia="Arial" w:hAnsi="Arial"/>
          <w:sz w:val="19"/>
          <w:szCs w:val="19"/>
          <w:color w:val="auto"/>
        </w:rPr>
      </w:pPr>
    </w:p>
    <w:p>
      <w:pPr>
        <w:jc w:val="both"/>
        <w:ind w:left="660" w:firstLine="974"/>
        <w:spacing w:after="0" w:line="286" w:lineRule="auto"/>
        <w:tabs>
          <w:tab w:leader="none" w:pos="1983"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The Custodian shall within 180 days after the Closing Date or an Addition Date, as applicable, review 100% of the Contract Files to verify the presence of the original retail installment contract and security agreement and/or installment loans with respect to each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Certificate of Title or other evidence of lien with respect to a Contract need not be verified. If the number of Contracts for which any of the foregoing documents have not been delivered to the Custodian within 180 days of the Closing Date or relevant Addition Date, as the case may be (each such Contract, a “</w:t>
      </w:r>
      <w:r>
        <w:rPr>
          <w:rFonts w:ascii="Arial" w:cs="Arial" w:eastAsia="Arial" w:hAnsi="Arial"/>
          <w:sz w:val="19"/>
          <w:szCs w:val="19"/>
          <w:u w:val="single" w:color="auto"/>
          <w:color w:val="auto"/>
        </w:rPr>
        <w:t>Nonconforming Contract</w:t>
      </w:r>
      <w:r>
        <w:rPr>
          <w:rFonts w:ascii="Arial" w:cs="Arial" w:eastAsia="Arial" w:hAnsi="Arial"/>
          <w:sz w:val="19"/>
          <w:szCs w:val="19"/>
          <w:color w:val="auto"/>
        </w:rPr>
        <w:t xml:space="preserve">”), exceeds 2% of the aggregate number of Contract Files required to be reviewed pursuant to this </w:t>
      </w:r>
      <w:r>
        <w:rPr>
          <w:rFonts w:ascii="Arial" w:cs="Arial" w:eastAsia="Arial" w:hAnsi="Arial"/>
          <w:sz w:val="19"/>
          <w:szCs w:val="19"/>
          <w:u w:val="single" w:color="auto"/>
          <w:color w:val="auto"/>
        </w:rPr>
        <w:t>Section 6.2(c)(ii)</w:t>
      </w:r>
      <w:r>
        <w:rPr>
          <w:rFonts w:ascii="Arial" w:cs="Arial" w:eastAsia="Arial" w:hAnsi="Arial"/>
          <w:sz w:val="19"/>
          <w:szCs w:val="19"/>
          <w:color w:val="auto"/>
        </w:rPr>
        <w:t xml:space="preserve">, the Borrower shall make a deposit to the Reserve Account only with respect to the excess number of Nonconforming Contracts, in an amount equal to the related Release Price. Once per month, the amount on deposit in the Reserve Account in respect of Nonconforming Contracts shall be adjusted to account for increases or decreases in the excess number of Nonconforming Contracts and for changes in the Outstanding Balance of such Nonconforming Contracts. The Borrower shall, in the case of an increase, promptly deposit to the Reserve Account the amount of any such increase. In the case of a decrease, the amount of any such decrease shall be deemed to be part of the Excess Reserve Amount. Payments otherwise required under this </w:t>
      </w:r>
      <w:r>
        <w:rPr>
          <w:rFonts w:ascii="Arial" w:cs="Arial" w:eastAsia="Arial" w:hAnsi="Arial"/>
          <w:sz w:val="19"/>
          <w:szCs w:val="19"/>
          <w:u w:val="single" w:color="auto"/>
          <w:color w:val="auto"/>
        </w:rPr>
        <w:t>Section 6.2(c)(ii)</w:t>
      </w:r>
      <w:r>
        <w:rPr>
          <w:rFonts w:ascii="Arial" w:cs="Arial" w:eastAsia="Arial" w:hAnsi="Arial"/>
          <w:sz w:val="19"/>
          <w:szCs w:val="19"/>
          <w:color w:val="auto"/>
        </w:rPr>
        <w:t xml:space="preserve"> shall not be required under the circumstances set forth in </w:t>
      </w:r>
      <w:r>
        <w:rPr>
          <w:rFonts w:ascii="Arial" w:cs="Arial" w:eastAsia="Arial" w:hAnsi="Arial"/>
          <w:sz w:val="19"/>
          <w:szCs w:val="19"/>
          <w:u w:val="single" w:color="auto"/>
          <w:color w:val="auto"/>
        </w:rPr>
        <w:t>Section 4.5(f)</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left="660" w:firstLine="914"/>
        <w:spacing w:after="0" w:line="247" w:lineRule="auto"/>
        <w:tabs>
          <w:tab w:leader="none" w:pos="1962"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Custodian agrees to maintain the Contract Files and Records which are delivered to it at the offices of the Custodian as shall from time to time be identified to the Deal Agent by written notice. Subject to the foregoing, Credit Acceptance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spacing w:after="0" w:line="192" w:lineRule="exact"/>
        <w:rPr>
          <w:rFonts w:ascii="Arial" w:cs="Arial" w:eastAsia="Arial" w:hAnsi="Arial"/>
          <w:sz w:val="22"/>
          <w:szCs w:val="22"/>
          <w:color w:val="auto"/>
        </w:rPr>
      </w:pPr>
    </w:p>
    <w:p>
      <w:pPr>
        <w:ind w:left="1960" w:hanging="374"/>
        <w:spacing w:after="0"/>
        <w:tabs>
          <w:tab w:leader="none" w:pos="19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The Custodian shall have the following powers and perform the following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4" w:name="page85"/>
    <w:bookmarkEnd w:id="84"/>
    <w:p>
      <w:pPr>
        <w:ind w:left="2580" w:hanging="628"/>
        <w:spacing w:after="0"/>
        <w:tabs>
          <w:tab w:leader="none" w:pos="25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hold the Contract Files and Records for the benefit of the Secured Parties and maintain a current</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inventory thereof; and</w:t>
      </w:r>
    </w:p>
    <w:p>
      <w:pPr>
        <w:spacing w:after="0" w:line="201" w:lineRule="exact"/>
        <w:rPr>
          <w:rFonts w:ascii="Arial" w:cs="Arial" w:eastAsia="Arial" w:hAnsi="Arial"/>
          <w:sz w:val="19"/>
          <w:szCs w:val="19"/>
          <w:color w:val="auto"/>
        </w:rPr>
      </w:pPr>
    </w:p>
    <w:p>
      <w:pPr>
        <w:jc w:val="both"/>
        <w:ind w:left="1300" w:firstLine="1300"/>
        <w:spacing w:after="0" w:line="248" w:lineRule="auto"/>
        <w:tabs>
          <w:tab w:leader="none" w:pos="3235" w:val="left"/>
        </w:tabs>
        <w:numPr>
          <w:ilvl w:val="1"/>
          <w:numId w:val="99"/>
        </w:numPr>
        <w:rPr>
          <w:rFonts w:ascii="Arial" w:cs="Arial" w:eastAsia="Arial" w:hAnsi="Arial"/>
          <w:sz w:val="22"/>
          <w:szCs w:val="22"/>
          <w:color w:val="auto"/>
        </w:rPr>
      </w:pPr>
      <w:r>
        <w:rPr>
          <w:rFonts w:ascii="Arial" w:cs="Arial" w:eastAsia="Arial" w:hAnsi="Arial"/>
          <w:sz w:val="22"/>
          <w:szCs w:val="22"/>
          <w:color w:val="auto"/>
        </w:rPr>
        <w:t>carry out such policies and procedures in accordance with its customary actions with respect to the handling and custody of the Contract Files and Records so that the integrity and physical possession of the Contract Files and Records (or with respect to any Contract constituting electronic chattel paper, the integrity and “control” (within the meaning of Section 9-105 of the UCC) of the Authoritative Electronic Copy thereof) will be maintained.</w:t>
      </w:r>
    </w:p>
    <w:p>
      <w:pPr>
        <w:spacing w:after="0" w:line="192"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In performing its duties as custodian, the Custodian agrees to act with reasonable care, using that degree of skill and care that it exercises with respect to similar Contracts or Loans owned or held by it for its own account or for any other Person.</w:t>
      </w:r>
    </w:p>
    <w:p>
      <w:pPr>
        <w:spacing w:after="0" w:line="104" w:lineRule="exact"/>
        <w:rPr>
          <w:sz w:val="20"/>
          <w:szCs w:val="20"/>
          <w:color w:val="auto"/>
        </w:rPr>
      </w:pPr>
    </w:p>
    <w:p>
      <w:pPr>
        <w:jc w:val="both"/>
        <w:ind w:left="660" w:firstLine="986"/>
        <w:spacing w:after="0" w:line="285" w:lineRule="auto"/>
        <w:tabs>
          <w:tab w:leader="none" w:pos="1957" w:val="left"/>
        </w:tabs>
        <w:numPr>
          <w:ilvl w:val="2"/>
          <w:numId w:val="100"/>
        </w:numPr>
        <w:rPr>
          <w:rFonts w:ascii="Arial" w:cs="Arial" w:eastAsia="Arial" w:hAnsi="Arial"/>
          <w:sz w:val="19"/>
          <w:szCs w:val="19"/>
          <w:color w:val="auto"/>
        </w:rPr>
      </w:pPr>
      <w:r>
        <w:rPr>
          <w:rFonts w:ascii="Arial" w:cs="Arial" w:eastAsia="Arial" w:hAnsi="Arial"/>
          <w:sz w:val="19"/>
          <w:szCs w:val="19"/>
          <w:color w:val="auto"/>
        </w:rPr>
        <w:t>Credit Acceptance shall have the obligation to (i) physically segregate the Contract Files (to the extent held in physical form) from the other custodial files it is holding for its own account or on behalf of any other Person, (ii) physically mark the Contract folders (to the extent held in physical form) to demonstrate the transfer of Contract Files and the Collateral Agent's security interest hereunder, (iii) mark its computer records indicating the transfer of any Contract Files relating to Contracts constituting electronic chattel paper and the Collateral Agent's security interest hereunder, and</w:t>
      </w:r>
    </w:p>
    <w:p>
      <w:pPr>
        <w:spacing w:after="0" w:line="3" w:lineRule="exact"/>
        <w:rPr>
          <w:rFonts w:ascii="Arial" w:cs="Arial" w:eastAsia="Arial" w:hAnsi="Arial"/>
          <w:sz w:val="19"/>
          <w:szCs w:val="19"/>
          <w:color w:val="auto"/>
        </w:rPr>
      </w:pPr>
    </w:p>
    <w:p>
      <w:pPr>
        <w:jc w:val="both"/>
        <w:ind w:left="660" w:hanging="4"/>
        <w:spacing w:after="0" w:line="245" w:lineRule="auto"/>
        <w:tabs>
          <w:tab w:leader="none" w:pos="104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with respect to each Contract constituting electronic chattel paper, cause the single “authoritative copy” (within the meaning of Section 9-105 of the UCC) to be communicated to and maintained at all times by Credit Acceptance such that the “authoritative copy” constitutes an Authoritative Electronic Copy at all times.</w:t>
      </w:r>
    </w:p>
    <w:p>
      <w:pPr>
        <w:spacing w:after="0" w:line="192" w:lineRule="exact"/>
        <w:rPr>
          <w:rFonts w:ascii="Arial" w:cs="Arial" w:eastAsia="Arial" w:hAnsi="Arial"/>
          <w:sz w:val="22"/>
          <w:szCs w:val="22"/>
          <w:color w:val="auto"/>
        </w:rPr>
      </w:pPr>
    </w:p>
    <w:p>
      <w:pPr>
        <w:jc w:val="both"/>
        <w:ind w:firstLine="1304"/>
        <w:spacing w:after="0" w:line="294" w:lineRule="auto"/>
        <w:tabs>
          <w:tab w:leader="none" w:pos="1939"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 If (A) an Unsatisfactory Audit occurs or (B) a Servicer Termination Event or potential Servicer Termination Event occurs, the Deal Agent shall have the right to terminate Credit Acceptance as the Custodian hereunder and the Deal Agent shall have the right to appoint a successor Custodian hereunder who shall assume all the rights and obligations of the “</w:t>
      </w:r>
      <w:r>
        <w:rPr>
          <w:rFonts w:ascii="Arial" w:cs="Arial" w:eastAsia="Arial" w:hAnsi="Arial"/>
          <w:sz w:val="19"/>
          <w:szCs w:val="19"/>
          <w:u w:val="single" w:color="auto"/>
          <w:color w:val="auto"/>
        </w:rPr>
        <w:t>Custodian</w:t>
      </w:r>
      <w:r>
        <w:rPr>
          <w:rFonts w:ascii="Arial" w:cs="Arial" w:eastAsia="Arial" w:hAnsi="Arial"/>
          <w:sz w:val="19"/>
          <w:szCs w:val="19"/>
          <w:color w:val="auto"/>
        </w:rPr>
        <w:t>” hereunder. On the effective date of the termination of Credit Acceptance as Servicer, Credit Acceptance shall be released of all of its obligations as Custodian arising on or after such date. The Contract Files and Records shall be delivered by Credit Acceptance to the successor Custodian, on or before the date which is two (2) Business Days prior to such date.</w:t>
      </w:r>
    </w:p>
    <w:p>
      <w:pPr>
        <w:spacing w:after="0" w:line="149" w:lineRule="exact"/>
        <w:rPr>
          <w:rFonts w:ascii="Arial" w:cs="Arial" w:eastAsia="Arial" w:hAnsi="Arial"/>
          <w:sz w:val="19"/>
          <w:szCs w:val="19"/>
          <w:color w:val="auto"/>
        </w:rPr>
      </w:pPr>
    </w:p>
    <w:p>
      <w:pPr>
        <w:ind w:left="1960" w:hanging="326"/>
        <w:spacing w:after="0"/>
        <w:tabs>
          <w:tab w:leader="none" w:pos="196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660" w:firstLine="914"/>
        <w:spacing w:after="0" w:line="302" w:lineRule="auto"/>
        <w:tabs>
          <w:tab w:leader="none" w:pos="1989" w:val="left"/>
        </w:tabs>
        <w:numPr>
          <w:ilvl w:val="2"/>
          <w:numId w:val="101"/>
        </w:numPr>
        <w:rPr>
          <w:rFonts w:ascii="Arial" w:cs="Arial" w:eastAsia="Arial" w:hAnsi="Arial"/>
          <w:sz w:val="19"/>
          <w:szCs w:val="19"/>
          <w:color w:val="auto"/>
        </w:rPr>
      </w:pPr>
      <w:r>
        <w:rPr>
          <w:rFonts w:ascii="Arial" w:cs="Arial" w:eastAsia="Arial" w:hAnsi="Arial"/>
          <w:sz w:val="19"/>
          <w:szCs w:val="19"/>
          <w:color w:val="auto"/>
        </w:rPr>
        <w:t>The Custodian shall provide to the Deal Agent access to the Contract Files and Records and all other documentation regarding the Contracts, Dealer Agreements and the Loans and the related Financed Vehicles in such cases where the Collateral Agent is required in connection with the enforcement of the rights or interests of the Secured Parties, or by applicable statutes or regulations to review such documentation, such access being afforded without charge.</w:t>
      </w:r>
    </w:p>
    <w:p>
      <w:pPr>
        <w:spacing w:after="0" w:line="142" w:lineRule="exact"/>
        <w:rPr>
          <w:rFonts w:ascii="Arial" w:cs="Arial" w:eastAsia="Arial" w:hAnsi="Arial"/>
          <w:sz w:val="19"/>
          <w:szCs w:val="19"/>
          <w:color w:val="auto"/>
        </w:rPr>
      </w:pPr>
    </w:p>
    <w:p>
      <w:pPr>
        <w:ind w:firstLine="1304"/>
        <w:spacing w:after="0" w:line="263" w:lineRule="auto"/>
        <w:tabs>
          <w:tab w:leader="none" w:pos="1941" w:val="left"/>
        </w:tabs>
        <w:numPr>
          <w:ilvl w:val="1"/>
          <w:numId w:val="101"/>
        </w:numPr>
        <w:rPr>
          <w:rFonts w:ascii="Arial" w:cs="Arial" w:eastAsia="Arial" w:hAnsi="Arial"/>
          <w:sz w:val="22"/>
          <w:szCs w:val="22"/>
          <w:color w:val="auto"/>
        </w:rPr>
      </w:pPr>
      <w:r>
        <w:rPr>
          <w:rFonts w:ascii="Arial" w:cs="Arial" w:eastAsia="Arial" w:hAnsi="Arial"/>
          <w:sz w:val="22"/>
          <w:szCs w:val="22"/>
          <w:color w:val="auto"/>
        </w:rPr>
        <w:t>Two times per calendar year, at the expense of the Servicer, the Deal Agent and the Lenders, acting in concert, may review the Servicer's collection and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21"/>
          <w:szCs w:val="21"/>
          <w:color w:val="auto"/>
        </w:rPr>
        <w:t>of the Loans, Dealer Agreements and Contracts in order to assess compliance by the Servicer with the Servicer's written policies and procedures, as well as with this Agreement, at the expense of the Servicer in an amount not to exceed $15,000 per annum, and may conduct an audit of the Loans, Dealer Agreements and Contracts and Contract Files in conjunction with such a review. On and after the occurrence of a Termination Event or Servicer Termination Event, the Deal Agent or any Lender may conduct such reviews and audits without limitation, at the Servicer's expense.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Rights After Designation of Successor Servicer</w:t>
      </w:r>
      <w:r>
        <w:rPr>
          <w:rFonts w:ascii="Arial" w:cs="Arial" w:eastAsia="Arial" w:hAnsi="Arial"/>
          <w:sz w:val="22"/>
          <w:szCs w:val="22"/>
          <w:color w:val="auto"/>
        </w:rPr>
        <w:t xml:space="preserve">. At any time following the designation of a Successor Servicer pursuant to </w:t>
      </w:r>
      <w:r>
        <w:rPr>
          <w:rFonts w:ascii="Arial" w:cs="Arial" w:eastAsia="Arial" w:hAnsi="Arial"/>
          <w:sz w:val="22"/>
          <w:szCs w:val="22"/>
          <w:u w:val="single" w:color="auto"/>
          <w:color w:val="auto"/>
        </w:rPr>
        <w:t>Section 6.12(a)</w:t>
      </w:r>
      <w:r>
        <w:rPr>
          <w:rFonts w:ascii="Arial" w:cs="Arial" w:eastAsia="Arial" w:hAnsi="Arial"/>
          <w:sz w:val="22"/>
          <w:szCs w:val="22"/>
          <w:color w:val="auto"/>
        </w:rPr>
        <w:t>:</w:t>
      </w:r>
    </w:p>
    <w:p>
      <w:pPr>
        <w:spacing w:after="0" w:line="175" w:lineRule="exact"/>
        <w:rPr>
          <w:sz w:val="20"/>
          <w:szCs w:val="20"/>
          <w:color w:val="auto"/>
        </w:rPr>
      </w:pPr>
    </w:p>
    <w:p>
      <w:pPr>
        <w:jc w:val="both"/>
        <w:ind w:left="660" w:firstLine="1034"/>
        <w:spacing w:after="0" w:line="263" w:lineRule="auto"/>
        <w:tabs>
          <w:tab w:leader="none" w:pos="196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The Successor Servicer or Collateral Agent may intercept payments made by or on behalf of Obligors and direct that payment of all amounts payable under any Loan or Contract be made directly to the Successor Servicer or Collateral Agent or its designee;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Collateral Agent shall pay to any Dealer, to the extent to which such Dealer is entitled, all related Dealer Collections, pursuant to the written direction of the Successor Servicer, in consultation with Credit Acceptance and the Borrower, set forth in the Monthly Report.</w:t>
      </w:r>
    </w:p>
    <w:p>
      <w:pPr>
        <w:spacing w:after="0" w:line="175" w:lineRule="exact"/>
        <w:rPr>
          <w:rFonts w:ascii="Arial" w:cs="Arial" w:eastAsia="Arial" w:hAnsi="Arial"/>
          <w:sz w:val="21"/>
          <w:szCs w:val="21"/>
          <w:color w:val="auto"/>
        </w:rPr>
      </w:pPr>
    </w:p>
    <w:p>
      <w:pPr>
        <w:jc w:val="both"/>
        <w:ind w:left="660" w:firstLine="974"/>
        <w:spacing w:after="0" w:line="253" w:lineRule="auto"/>
        <w:tabs>
          <w:tab w:leader="none" w:pos="195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Successor Servicer shall, at the Borrower's expense, give notice of the Collateral Agent's interest in the Loans and Contracts to each Obligor and direct that payments be made directly to the Successor Servicer or the Collateral Agent or its designee.</w:t>
      </w:r>
    </w:p>
    <w:p>
      <w:pPr>
        <w:spacing w:after="0" w:line="185" w:lineRule="exact"/>
        <w:rPr>
          <w:rFonts w:ascii="Arial" w:cs="Arial" w:eastAsia="Arial" w:hAnsi="Arial"/>
          <w:sz w:val="22"/>
          <w:szCs w:val="22"/>
          <w:color w:val="auto"/>
        </w:rPr>
      </w:pPr>
    </w:p>
    <w:p>
      <w:pPr>
        <w:jc w:val="both"/>
        <w:ind w:left="660" w:firstLine="914"/>
        <w:spacing w:after="0" w:line="246" w:lineRule="auto"/>
        <w:tabs>
          <w:tab w:leader="none" w:pos="199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The Borrower shall, at the Successor Servicer's or Collateral Agent's request, (A) assemble all of the records relating to the Collateral, including all Records with respect to the Loans and Contracts, and shall make the same available to the Successor Servicer or Collateral Agent at a place selected by the Successor Servicer or Collateral Agent or its designee, and (B) segregate all cash, checks and other instruments received by it from time to time constituting collections of Collateral and shall, promptly upon receipt but in any event within two (2) Business Days, remit all such cash, checks and instruments, duly endorsed or with duly executed instruments of transfer, to the Successor Servicer or Collateral Agent.</w:t>
      </w:r>
    </w:p>
    <w:p>
      <w:pPr>
        <w:spacing w:after="0" w:line="196" w:lineRule="exact"/>
        <w:rPr>
          <w:rFonts w:ascii="Arial" w:cs="Arial" w:eastAsia="Arial" w:hAnsi="Arial"/>
          <w:sz w:val="22"/>
          <w:szCs w:val="22"/>
          <w:color w:val="auto"/>
        </w:rPr>
      </w:pPr>
    </w:p>
    <w:p>
      <w:pPr>
        <w:jc w:val="both"/>
        <w:ind w:left="660" w:firstLine="926"/>
        <w:spacing w:after="0" w:line="265" w:lineRule="auto"/>
        <w:tabs>
          <w:tab w:leader="none" w:pos="196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Borrower hereby authorizes the Collateral Agent and the Successor Servicer to take any and all steps in the Borrower's name and on behalf of the Borrower necessary or desirable to collect all amounts due under any and all of the Collateral with respect thereto, including, without limitation, endorsing the Borrower's name on checks and other instruments representing Collections and enforcing the Loans and Contracts.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Responsibilities of the Borrower</w:t>
      </w:r>
      <w:r>
        <w:rPr>
          <w:rFonts w:ascii="Arial" w:cs="Arial" w:eastAsia="Arial" w:hAnsi="Arial"/>
          <w:sz w:val="22"/>
          <w:szCs w:val="22"/>
          <w:color w:val="auto"/>
        </w:rPr>
        <w:t>. Anything herein to the contrary notwithstanding, the Borrower shall (i) perform all of its obligations under the Loans and Contracts to the same extent as if a security interest in such Loans and Contracts had not been granted hereunder and the exercise by the Collateral Agent of its rights hereunder shall not relieve the Borrower from such obligations and (ii) pay when due any taxes, including without limitation, any sales taxes payable in connection with the Loans or Contracts and their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22"/>
          <w:szCs w:val="22"/>
          <w:color w:val="auto"/>
        </w:rPr>
        <w:t>and satisfaction. None of the Collateral Agent, the Backup Servicer, the Deal Agent or any Secured Party shall have any obligation or liability with respect to any Loan, nor shall any of them be obligated to perform any of the obligations of the Borrower thereunder.</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0" w:lineRule="auto"/>
        <w:tabs>
          <w:tab w:leader="none" w:pos="1941"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Monthly Report</w:t>
      </w:r>
      <w:r>
        <w:rPr>
          <w:rFonts w:ascii="Arial" w:cs="Arial" w:eastAsia="Arial" w:hAnsi="Arial"/>
          <w:sz w:val="21"/>
          <w:szCs w:val="21"/>
          <w:color w:val="auto"/>
        </w:rPr>
        <w:t xml:space="preserve">. On each Determination Date, the Servicer shall deliver to the Deal Agent, each Lender, the Collateral Agent and the Backup Servicer a report in substantially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Monthly</w:t>
      </w:r>
      <w:r>
        <w:rPr>
          <w:rFonts w:ascii="Arial" w:cs="Arial" w:eastAsia="Arial" w:hAnsi="Arial"/>
          <w:sz w:val="21"/>
          <w:szCs w:val="21"/>
          <w:color w:val="auto"/>
        </w:rPr>
        <w:t xml:space="preserve"> </w:t>
      </w:r>
      <w:r>
        <w:rPr>
          <w:rFonts w:ascii="Arial" w:cs="Arial" w:eastAsia="Arial" w:hAnsi="Arial"/>
          <w:sz w:val="21"/>
          <w:szCs w:val="21"/>
          <w:u w:val="single" w:color="auto"/>
          <w:color w:val="auto"/>
        </w:rPr>
        <w:t>Report</w:t>
      </w:r>
      <w:r>
        <w:rPr>
          <w:rFonts w:ascii="Arial" w:cs="Arial" w:eastAsia="Arial" w:hAnsi="Arial"/>
          <w:sz w:val="21"/>
          <w:szCs w:val="21"/>
          <w:color w:val="auto"/>
        </w:rPr>
        <w:t>”) for the related Collection Period. Each Lender shall provide to the Borrower, the Servicer and the Backup Servicer by the fifth (5</w:t>
      </w:r>
      <w:r>
        <w:rPr>
          <w:rFonts w:ascii="Arial" w:cs="Arial" w:eastAsia="Arial" w:hAnsi="Arial"/>
          <w:sz w:val="27"/>
          <w:szCs w:val="27"/>
          <w:color w:val="auto"/>
          <w:vertAlign w:val="superscript"/>
        </w:rPr>
        <w:t>th</w:t>
      </w:r>
      <w:r>
        <w:rPr>
          <w:rFonts w:ascii="Arial" w:cs="Arial" w:eastAsia="Arial" w:hAnsi="Arial"/>
          <w:sz w:val="21"/>
          <w:szCs w:val="21"/>
          <w:color w:val="auto"/>
        </w:rPr>
        <w:t>) Business Day prior to each Payment Date, information relating to the amount of each obligation which comprises Carrying Costs, Increased Costs, Indemnified Amounts and Additional Amounts for such Collection Period. The Monthly Report shall specify whether an Amortization Event, Termination Event or Unmatured Termination Event has occurred with respect to the Collection Period preceding such Determination Date. Upon receipt of the Monthly Report, the Deal Agent and the Collateral Agent shall rely (and shall be fully protected in so relying) on the information contained therein for the purposes of making distributions and allocations as provided for herein. Each Monthly Report shall be certified by a Responsible Officer of the Servicer.</w:t>
      </w:r>
    </w:p>
    <w:p>
      <w:pPr>
        <w:spacing w:after="0" w:line="193" w:lineRule="exact"/>
        <w:rPr>
          <w:rFonts w:ascii="Arial" w:cs="Arial" w:eastAsia="Arial" w:hAnsi="Arial"/>
          <w:sz w:val="21"/>
          <w:szCs w:val="21"/>
          <w:color w:val="auto"/>
        </w:rPr>
      </w:pPr>
    </w:p>
    <w:p>
      <w:pPr>
        <w:ind w:firstLine="1304"/>
        <w:spacing w:after="0" w:line="263" w:lineRule="auto"/>
        <w:tabs>
          <w:tab w:leader="none" w:pos="1939"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The Servicer shall deliver to the Deal Agent and each Lender all reports or certificates required to be delivered under Section 7.3 of the Credit Agreement at the times set forth therein.</w:t>
      </w:r>
    </w:p>
    <w:p>
      <w:pPr>
        <w:spacing w:after="0" w:line="174" w:lineRule="exact"/>
        <w:rPr>
          <w:rFonts w:ascii="Arial" w:cs="Arial" w:eastAsia="Arial" w:hAnsi="Arial"/>
          <w:sz w:val="22"/>
          <w:szCs w:val="22"/>
          <w:color w:val="auto"/>
        </w:rPr>
      </w:pPr>
    </w:p>
    <w:p>
      <w:pPr>
        <w:jc w:val="both"/>
        <w:ind w:firstLine="1304"/>
        <w:spacing w:after="0" w:line="285" w:lineRule="auto"/>
        <w:tabs>
          <w:tab w:leader="none" w:pos="1941"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In the event the Servicer is no longer subject to the periodic and current reporting requirements of Section 13 or 15(d) of the Securities Exchange Act, the Servicer will submit to the Deal Agent, the Collateral Agent, each Lender and the Backup Servicer, within 60 days of the end of each of its fiscal quarters (or upon prior notice from Credit Acceptance to the Deal Agent, such longer time period after the close of Credit Acceptance's fiscal year as may be temporarily permitted by the SEC or under the Securities Exchange Act for the benefit of a class or classes of persons (collectively and not individually) for Credit Acceptance to file its Quarterly Report on 10-Q for such fiscal quarter with the SEC if Credit Acceptance were subject to such reporting requirements other than as an accelerated filer or large accelerated filer, but excluding any longer time periods resulting from (i) relief provided specifically by the SEC to Credit Acceptance or (ii) Credit Acceptance's notification to the SEC of its inability to file pursuant to Securities Exchange Act Rule 12b-25), commencing March 31, 2021, unaudited financial statements as of the end of each such fiscal quarter. The Servicer will submit to the Deal Agent, each Lender, the Backup Servicer and the Collateral Agent, within 120 days of the end of each of its fiscal years (or upon prior notice from Credit Acceptance to the Deal Agent, such longer time period after the close of Credit Acceptance's fiscal year as may be temporarily permitted by the SEC or under the Securities Exchange Act for the benefit of a class or classes of persons (collectively and not individually) for Credit Acceptance to file its Annual Report on 10-K for such fiscal year with the SEC if Credit Acceptance were subject to such reporting requirements other than as an accelerated filer or large accelerated filer, but excluding any longer time periods resulting from (i) relief provided specifically by the SEC to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7" w:name="page88"/>
    <w:bookmarkEnd w:id="87"/>
    <w:p>
      <w:pPr>
        <w:jc w:val="both"/>
        <w:spacing w:after="0" w:line="302" w:lineRule="auto"/>
        <w:rPr>
          <w:sz w:val="20"/>
          <w:szCs w:val="20"/>
          <w:color w:val="auto"/>
        </w:rPr>
      </w:pPr>
      <w:r>
        <w:rPr>
          <w:rFonts w:ascii="Arial" w:cs="Arial" w:eastAsia="Arial" w:hAnsi="Arial"/>
          <w:sz w:val="19"/>
          <w:szCs w:val="19"/>
          <w:color w:val="auto"/>
        </w:rPr>
        <w:t>Acceptance or (ii) Credit Acceptance's notification to the SEC of its inability to file pursuant to Securities Exchange Act Rule 12b-25), commencing with the fiscal year ending December 31, 2020, audited financial statements as of the end of each such fiscal year. The Servicer will submit to the Deal Agent, the Collateral Agent, each Lender and the Backup Servicer an analysis of the static pool performance of Credit Acceptance for each fiscal quarter within 60 days of the end of such fiscal quarter.</w:t>
      </w:r>
    </w:p>
    <w:p>
      <w:pPr>
        <w:spacing w:after="0" w:line="142" w:lineRule="exact"/>
        <w:rPr>
          <w:sz w:val="20"/>
          <w:szCs w:val="20"/>
          <w:color w:val="auto"/>
        </w:rPr>
      </w:pPr>
    </w:p>
    <w:p>
      <w:pPr>
        <w:jc w:val="both"/>
        <w:ind w:firstLine="1304"/>
        <w:spacing w:after="0" w:line="287" w:lineRule="auto"/>
        <w:tabs>
          <w:tab w:leader="none" w:pos="1939"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Annual Statement as to Compliance</w:t>
      </w:r>
      <w:r>
        <w:rPr>
          <w:rFonts w:ascii="Arial" w:cs="Arial" w:eastAsia="Arial" w:hAnsi="Arial"/>
          <w:sz w:val="19"/>
          <w:szCs w:val="19"/>
          <w:color w:val="auto"/>
        </w:rPr>
        <w:t>. The Servicer will provide to the Deal Agent, each Lender, the Backup Servicer and the Collateral Agent, within 120 days following the end of each fiscal year of the Servicer, commencing with the fiscal year ending on December 31, 2021, an annual report signed by a Responsible Officer of the Servicer certifying that (a) a review of the activities of the Servicer, and the Servicer's performance pursuant to this Agreement, for the period ending on the last day of such fiscal year has been made under such Person's supervision and (b) the Servicer has performed or has caused to be performed in all material respects all of its obligations under this Agreement throughout such year (or in the case of a Successor Servicer which has been Servicer for less than one year, for so long as such Successor Servicer has been Servicer) and no Servicer Termination Event or potential Servicer Termination Event has occurred and is continuing (or if a Servicer Termination Event has so occurred and is continuing, specifying each such event, the nature and status thereof and the steps necessary to remedy such event, and, if a Servicer Termination Event or potential Servicer Termination Event occurred during such year and no notice thereof has been given to the Deal Agent, the Backup Servicer and the Collateral Agent, specifying such Servicer Termination Event or potential Servicer Termination Event and the steps taken to remedy such event).</w:t>
      </w:r>
    </w:p>
    <w:p>
      <w:pPr>
        <w:spacing w:after="0" w:line="15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Additional Representations and Warranties of Credit Acceptance as Servicer</w:t>
      </w:r>
      <w:r>
        <w:rPr>
          <w:rFonts w:ascii="Arial" w:cs="Arial" w:eastAsia="Arial" w:hAnsi="Arial"/>
          <w:sz w:val="19"/>
          <w:szCs w:val="19"/>
          <w:color w:val="auto"/>
        </w:rPr>
        <w:t>. Credit Acceptance, in its capacity as Servicer, represents and warrants to the Collateral Agent, the Backup Servicer, the Deal Agent and each Lender as of the Closing Date and as of each Addition Date, that the only material servicing computer systems and related software utilized by the Servicer to service the Loans and Contracts are: (i) provided by Ontario Systems Corporation under an existing licensing agreement and related resource agreement, each of which may be amended from time to time, and (ii) the “loan servicing system” software licensed by Credit Acceptance from Oracle Corporation, which may be updated or replaced from time to time. Should the Servicer or any of its Affiliates develop or implement computer software for servicing that is owned by or exclusively licensed to the Servicer or an Affiliate and utilize such software in the servicing of the Loans and Contracts, the Servicer shall give prompt written notice thereof to the Backup Servicer and the Collateral Agent, and the Collateral Agent shall be entitled to compel a license or sublicense for the benefit of the Collateral Agent or its designee of any such rights to the extent the Collateral Agent deems reasonably necessary and appropriate to assure that it or a duly appointed Successor Servicer would be able to continue to service the Loans and Contracts should that be required in accordance with the terms hereof.</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Establishment of the Accounts</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1941"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Establishment of the Collection Account, Principal Collection Account and Reserve Account</w:t>
      </w:r>
      <w:r>
        <w:rPr>
          <w:rFonts w:ascii="Arial" w:cs="Arial" w:eastAsia="Arial" w:hAnsi="Arial"/>
          <w:sz w:val="22"/>
          <w:szCs w:val="22"/>
          <w:color w:val="auto"/>
        </w:rPr>
        <w:t>. The Servicer shall cause to be established, on or before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8" w:name="page89"/>
    <w:bookmarkEnd w:id="88"/>
    <w:p>
      <w:pPr>
        <w:jc w:val="both"/>
        <w:spacing w:after="0" w:line="257" w:lineRule="auto"/>
        <w:rPr>
          <w:sz w:val="20"/>
          <w:szCs w:val="20"/>
          <w:color w:val="auto"/>
        </w:rPr>
      </w:pPr>
      <w:r>
        <w:rPr>
          <w:rFonts w:ascii="Arial" w:cs="Arial" w:eastAsia="Arial" w:hAnsi="Arial"/>
          <w:sz w:val="21"/>
          <w:szCs w:val="21"/>
          <w:color w:val="auto"/>
        </w:rPr>
        <w:t>and maintained in the name of the Collateral Agent as agent for the Secured Parties, with an office or branch of a depository institution or trust company (i) a segregated corporate trust account entitled “Collection Account for Fifth Third Bank, National Association, as agent for the Secured Parties” (the “</w:t>
      </w:r>
      <w:r>
        <w:rPr>
          <w:rFonts w:ascii="Arial" w:cs="Arial" w:eastAsia="Arial" w:hAnsi="Arial"/>
          <w:sz w:val="21"/>
          <w:szCs w:val="21"/>
          <w:u w:val="single" w:color="auto"/>
          <w:color w:val="auto"/>
        </w:rPr>
        <w:t>Collection Account</w:t>
      </w:r>
      <w:r>
        <w:rPr>
          <w:rFonts w:ascii="Arial" w:cs="Arial" w:eastAsia="Arial" w:hAnsi="Arial"/>
          <w:sz w:val="21"/>
          <w:szCs w:val="21"/>
          <w:color w:val="auto"/>
        </w:rPr>
        <w:t>”); (ii) a segregated corporate trust account entitled “Principal Collection Account for Fifth Third Bank, National Association, as agent for the Secured Parties” (the “</w:t>
      </w:r>
      <w:r>
        <w:rPr>
          <w:rFonts w:ascii="Arial" w:cs="Arial" w:eastAsia="Arial" w:hAnsi="Arial"/>
          <w:sz w:val="21"/>
          <w:szCs w:val="21"/>
          <w:u w:val="single" w:color="auto"/>
          <w:color w:val="auto"/>
        </w:rPr>
        <w:t>Principal</w:t>
      </w:r>
      <w:r>
        <w:rPr>
          <w:rFonts w:ascii="Arial" w:cs="Arial" w:eastAsia="Arial" w:hAnsi="Arial"/>
          <w:sz w:val="21"/>
          <w:szCs w:val="21"/>
          <w:color w:val="auto"/>
        </w:rPr>
        <w:t xml:space="preserve"> </w:t>
      </w:r>
      <w:r>
        <w:rPr>
          <w:rFonts w:ascii="Arial" w:cs="Arial" w:eastAsia="Arial" w:hAnsi="Arial"/>
          <w:sz w:val="21"/>
          <w:szCs w:val="21"/>
          <w:u w:val="single" w:color="auto"/>
          <w:color w:val="auto"/>
        </w:rPr>
        <w:t>Collection Account</w:t>
      </w:r>
      <w:r>
        <w:rPr>
          <w:rFonts w:ascii="Arial" w:cs="Arial" w:eastAsia="Arial" w:hAnsi="Arial"/>
          <w:sz w:val="21"/>
          <w:szCs w:val="21"/>
          <w:color w:val="auto"/>
        </w:rPr>
        <w:t>”) and (iii) a segregated corporate trust account entitled “Reserve Account for Fifth Third Bank, National Association” as agent for the Secured Parties (the “</w:t>
      </w:r>
      <w:r>
        <w:rPr>
          <w:rFonts w:ascii="Arial" w:cs="Arial" w:eastAsia="Arial" w:hAnsi="Arial"/>
          <w:sz w:val="21"/>
          <w:szCs w:val="21"/>
          <w:u w:val="single" w:color="auto"/>
          <w:color w:val="auto"/>
        </w:rPr>
        <w:t>Reserve Account</w:t>
      </w:r>
      <w:r>
        <w:rPr>
          <w:rFonts w:ascii="Arial" w:cs="Arial" w:eastAsia="Arial" w:hAnsi="Arial"/>
          <w:sz w:val="21"/>
          <w:szCs w:val="21"/>
          <w:color w:val="auto"/>
        </w:rPr>
        <w:t xml:space="preserve">”), in each case, over which the Collateral Agent as agent for the Secured Parties shall have sole dominion and control and from which neither the Originator, the Servicer nor the Borrower shall have any right of withdrawal;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at all times such depository institution or trust company shall be a depository institution or trust company organized under the laws of the United States of America or any one of the States thereof or the District of Columbia (or any domestic branch of a foreign bank), (i) (A) that has either (1) a long-term unsecured debt rating of at least investment grade by S&amp;P and Moody's or (2) a short-term unsecured debt rating or certificate of deposit rating of at least investment grade by S&amp;P and Moody's, (B) the parent corporation which has either (1) a long-term unsecured debt rating of at least investment grade by S&amp;P and Moody's or (2) a short-term unsecured debt rating or certificate of deposit rating of at least investment grade by S&amp;P and Moody's or (C) that is otherwise acceptable to the Deal Agent and (ii) whose deposits are insured by the Federal Deposit Insurance Corporation (any such depository institution or trust company, a “</w:t>
      </w:r>
      <w:r>
        <w:rPr>
          <w:rFonts w:ascii="Arial" w:cs="Arial" w:eastAsia="Arial" w:hAnsi="Arial"/>
          <w:sz w:val="21"/>
          <w:szCs w:val="21"/>
          <w:u w:val="single" w:color="auto"/>
          <w:color w:val="auto"/>
        </w:rPr>
        <w:t>Qualified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Institution</w:t>
      </w:r>
      <w:r>
        <w:rPr>
          <w:rFonts w:ascii="Arial" w:cs="Arial" w:eastAsia="Arial" w:hAnsi="Arial"/>
          <w:sz w:val="21"/>
          <w:szCs w:val="21"/>
          <w:color w:val="auto"/>
        </w:rPr>
        <w:t>”).</w:t>
      </w:r>
    </w:p>
    <w:p>
      <w:pPr>
        <w:spacing w:after="0" w:line="183" w:lineRule="exact"/>
        <w:rPr>
          <w:sz w:val="20"/>
          <w:szCs w:val="20"/>
          <w:color w:val="auto"/>
        </w:rPr>
      </w:pPr>
    </w:p>
    <w:p>
      <w:pPr>
        <w:jc w:val="both"/>
        <w:ind w:firstLine="1304"/>
        <w:spacing w:after="0" w:line="294" w:lineRule="auto"/>
        <w:tabs>
          <w:tab w:leader="none" w:pos="1939"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If (i) the Servicer makes a deposit into the Collection Account in respect of a Collection of a Loan and such Collection was received by the Servicer in the form of a check or other form of payment that is not honored for any reason or (ii) the Servicer makes a mistake with respect to the amount of any Collection and deposits an amount that is less than or more than the actual amount of such Collection, the Servicer shall appropriately adjust the amount subsequently deposited into the Collection Account to reflect such dishonored check or mistake. Any payment in respect of which a dishonored check or other form of payment is received shall be deemed not to have been paid.</w:t>
      </w:r>
    </w:p>
    <w:p>
      <w:pPr>
        <w:spacing w:after="0" w:line="149" w:lineRule="exact"/>
        <w:rPr>
          <w:rFonts w:ascii="Arial" w:cs="Arial" w:eastAsia="Arial" w:hAnsi="Arial"/>
          <w:sz w:val="19"/>
          <w:szCs w:val="19"/>
          <w:color w:val="auto"/>
        </w:rPr>
      </w:pPr>
    </w:p>
    <w:p>
      <w:pPr>
        <w:jc w:val="both"/>
        <w:ind w:firstLine="1304"/>
        <w:spacing w:after="0" w:line="258" w:lineRule="auto"/>
        <w:tabs>
          <w:tab w:leader="none" w:pos="1941"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Permitted Investments</w:t>
      </w:r>
      <w:r>
        <w:rPr>
          <w:rFonts w:ascii="Arial" w:cs="Arial" w:eastAsia="Arial" w:hAnsi="Arial"/>
          <w:sz w:val="21"/>
          <w:szCs w:val="21"/>
          <w:color w:val="auto"/>
        </w:rPr>
        <w:t xml:space="preserve">. Funds on deposit in the Collection Account, the Principal Collection Account and the Reserve Account shall be invested in Permitted Investments by or at the written direction of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 Termination Event or Unmatured Termination Event shall have occurred, such amounts shall continue to be invested in Permitted Investments according to the last written direction received from the Borrower. Absent written direction from the Borrower, then any funds in such accounts shall remain uninvested (without any requirement or liability to pay for interest or earnings). Any such written directions shall specify the particular investment to be made and shall certify that such investment is a Permitted Investment and is permitted to be made under this Agreement. Funds on deposit in the Collection Account, the Principal Collection Account and the Reserve Account shall be invested in Permitted Investments that will mature so that such funds will be available no later than the Business Day prior to the next Payment Date, except that in the case of funds representing Collections with respect to a succeeding Collection Period, such Permitted Investments may mature so that such funds will be available no later than the Business Day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89" w:name="page90"/>
    <w:bookmarkEnd w:id="89"/>
    <w:p>
      <w:pPr>
        <w:jc w:val="both"/>
        <w:spacing w:after="0" w:line="286" w:lineRule="auto"/>
        <w:rPr>
          <w:sz w:val="20"/>
          <w:szCs w:val="20"/>
          <w:color w:val="auto"/>
        </w:rPr>
      </w:pPr>
      <w:r>
        <w:rPr>
          <w:rFonts w:ascii="Arial" w:cs="Arial" w:eastAsia="Arial" w:hAnsi="Arial"/>
          <w:sz w:val="19"/>
          <w:szCs w:val="19"/>
          <w:color w:val="auto"/>
        </w:rPr>
        <w:t>to the Payment Date for such Collection Period. No Permitted Investment may be liquidated or disposed of prior to its maturity. All proceeds of any Permitted Investment shall be deposited in the Collection Account, the Principal Collection Account or the Reserve Account, as applicable. Investments may be made in any account on any date (provided such investments mature in accordance herewith), only after giving effect to deposits to and withdrawals from such account on such date. Realized losses, if any, on amounts invested in Permitted Investments shall be charged against investment earnings on amounts on deposit in the Collection Account, the Principal Collection Account or the Reserve Account, as applicable. The Borrower acknowledges that upon its written request and at no additional cost, it has the right to receive notification after the completion of each purchase and sale of Permitted Investments or the Collateral Agent's receipt of a broker's confirmation. The Borrower agrees that such notifications shall not be provided by the Collateral Agent hereunder, and the Collateral Agent shall make available, upon request and in lieu of notifications, periodic account statements that reflect such investment activity. No statement need be made available for any account if no activity has occurred in such account during such period. The Collateral Agent shall not be liable for any loss, including without limitation any loss of principal or interest, or for any breakage fees or penalties in connection with the purchase or liquidation of any investment made in accordance with the written instructions of the Borrower.</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Payment of Certain Expenses by Servicer</w:t>
      </w:r>
      <w:r>
        <w:rPr>
          <w:rFonts w:ascii="Arial" w:cs="Arial" w:eastAsia="Arial" w:hAnsi="Arial"/>
          <w:sz w:val="22"/>
          <w:szCs w:val="22"/>
          <w:color w:val="auto"/>
        </w:rPr>
        <w:t>. The initial Servicer will be required to pay all expenses incurred by it in connection with its activities under this Agreement, including fees and disbursements of independent accountants, Taxes imposed on the Servicer, expenses incurred in connection with payments and reports pursuant to this Agreement, and all other fees and expenses not expressly stated under this Agreement for the account of the Borrower. The initial Servicer will be required to pay all reasonable fees and expenses owing to any bank or trust company in connection with the maintenance of the Collection Account, the Principal Collection Account, the Reserve Account and the Credit Acceptance Payment Account. The Servicer shall be required to pay such expenses for its own account and shall not be entitled to any payment therefor other than the Servicing Fee.</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Annual Independent Public Accountant's Servicing Reports</w:t>
      </w:r>
      <w:r>
        <w:rPr>
          <w:rFonts w:ascii="Arial" w:cs="Arial" w:eastAsia="Arial" w:hAnsi="Arial"/>
          <w:sz w:val="19"/>
          <w:szCs w:val="19"/>
          <w:color w:val="auto"/>
        </w:rPr>
        <w:t xml:space="preserve">. The Servicer will cause a firm of nationally recognized independent public accountants (who may also render other services to the Servicer) to furnish to the Collateral Agent, the Deal Agent and each Lender, within 120 days following the end of each fiscal year of the Servicer, commencing with the fiscal year ending on December 31, 2021: (i) a report relating to such fiscal year to the effect that (A) such firm has reviewed certain documents and records relating to the servicing of the Loans and Contracts included in the Collateral, and (B) based on such examination, such firm is of the opinion that the Monthly Reports for such year were prepared in compliance with this Agreement, except for such exceptions as it believes to be immaterial and such other exceptions as will be set forth in such firm's report and (ii) a report covering such fiscal year to the effect that such accountants have applied certain agreed-upon procedures, as set forth in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(which procedures shall have been approved by the Deal Agent and each Lender) to certain documents and records relating to the Loans under any Transaction Document, compared the information contained in the Monthly Reports delivered during the period covered by such report with such documents and records and that no matters came to the attention of such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0" w:name="page91"/>
    <w:bookmarkEnd w:id="90"/>
    <w:p>
      <w:pPr>
        <w:jc w:val="both"/>
        <w:spacing w:after="0" w:line="258" w:lineRule="auto"/>
        <w:rPr>
          <w:sz w:val="20"/>
          <w:szCs w:val="20"/>
          <w:color w:val="auto"/>
        </w:rPr>
      </w:pPr>
      <w:r>
        <w:rPr>
          <w:rFonts w:ascii="Arial" w:cs="Arial" w:eastAsia="Arial" w:hAnsi="Arial"/>
          <w:sz w:val="21"/>
          <w:szCs w:val="21"/>
          <w:color w:val="auto"/>
        </w:rPr>
        <w:t xml:space="preserve">that caused them to believe that such servicing was not conducted in compliance with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of this Agreement, except for such exceptions as such accountants shall believe to be immaterial and such other exception as shall be set forth in such statement. In the event such independent public accountants require the Collateral Agent to agree to the procedures to be performed by such firm in any of the reports required to be prepared pursuant to this </w:t>
      </w:r>
      <w:r>
        <w:rPr>
          <w:rFonts w:ascii="Arial" w:cs="Arial" w:eastAsia="Arial" w:hAnsi="Arial"/>
          <w:sz w:val="21"/>
          <w:szCs w:val="21"/>
          <w:u w:val="single" w:color="auto"/>
          <w:color w:val="auto"/>
        </w:rPr>
        <w:t>Section 6.9</w:t>
      </w:r>
      <w:r>
        <w:rPr>
          <w:rFonts w:ascii="Arial" w:cs="Arial" w:eastAsia="Arial" w:hAnsi="Arial"/>
          <w:sz w:val="21"/>
          <w:szCs w:val="21"/>
          <w:color w:val="auto"/>
        </w:rPr>
        <w:t>,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 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The Servicer Not to Resign</w:t>
      </w:r>
      <w:r>
        <w:rPr>
          <w:rFonts w:ascii="Arial" w:cs="Arial" w:eastAsia="Arial" w:hAnsi="Arial"/>
          <w:sz w:val="19"/>
          <w:szCs w:val="19"/>
          <w:color w:val="auto"/>
        </w:rPr>
        <w:t xml:space="preserve">. The Servicer shall not resign from the obligations and duties hereby imposed on it hereunder except upon the Servicer's determination that (i) the performance of its duties hereunder is or becomes impermissible under Applicable Law and (ii) there is no reasonable action that the Servicer could take to make the performance of its duties hereunder permissible under Applicable Law. Any such determination permitting the resignation of the Servicer shall be evidenced as to clause (i) above by an Opinion of Counsel to such effect delivered to the Lenders, the Deal Agent, the Collateral Agent and the Backup Servicer. No such resignation shall become effective until a Successor Servicer shall have assumed the responsibilities and obligations of the Servicer in accordance with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Servicer Termination Events</w:t>
      </w:r>
      <w:r>
        <w:rPr>
          <w:rFonts w:ascii="Arial" w:cs="Arial" w:eastAsia="Arial" w:hAnsi="Arial"/>
          <w:sz w:val="22"/>
          <w:szCs w:val="22"/>
          <w:color w:val="auto"/>
        </w:rPr>
        <w:t>. If any one of the following events (a “</w:t>
      </w:r>
      <w:r>
        <w:rPr>
          <w:rFonts w:ascii="Arial" w:cs="Arial" w:eastAsia="Arial" w:hAnsi="Arial"/>
          <w:sz w:val="22"/>
          <w:szCs w:val="22"/>
          <w:u w:val="single" w:color="auto"/>
          <w:color w:val="auto"/>
        </w:rPr>
        <w:t>Servicer Termination Event</w:t>
      </w:r>
      <w:r>
        <w:rPr>
          <w:rFonts w:ascii="Arial" w:cs="Arial" w:eastAsia="Arial" w:hAnsi="Arial"/>
          <w:sz w:val="22"/>
          <w:szCs w:val="22"/>
          <w:color w:val="auto"/>
        </w:rPr>
        <w:t>”) shall occur and be continuing:</w:t>
      </w:r>
    </w:p>
    <w:p>
      <w:pPr>
        <w:spacing w:after="0" w:line="175" w:lineRule="exact"/>
        <w:rPr>
          <w:sz w:val="20"/>
          <w:szCs w:val="20"/>
          <w:color w:val="auto"/>
        </w:rPr>
      </w:pPr>
    </w:p>
    <w:p>
      <w:pPr>
        <w:jc w:val="both"/>
        <w:ind w:firstLine="1304"/>
        <w:spacing w:after="0" w:line="261" w:lineRule="auto"/>
        <w:tabs>
          <w:tab w:leader="none" w:pos="1941"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any failure by the Servicer: (x) to deposit to the Collection Account (A) any amount required to be deposited therein by the Servicer (other than any such failure resulting from an administrative or technical error of the Servicer in the amount so deposited); or (B) within one (1) Business Day after the Servicer becomes aware that, as a result of an administrative or technical error of the Servicer, any amount previously deposited by the Servicer to the Collection Account was less than the amount required to be deposited therein by the Servicer, the amount of such shortfall; or (y) to deliver to the Collateral Agent the Monthly Report on the related Determination Date;</w:t>
      </w:r>
    </w:p>
    <w:p>
      <w:pPr>
        <w:spacing w:after="0" w:line="179" w:lineRule="exact"/>
        <w:rPr>
          <w:rFonts w:ascii="Arial" w:cs="Arial" w:eastAsia="Arial" w:hAnsi="Arial"/>
          <w:sz w:val="21"/>
          <w:szCs w:val="21"/>
          <w:color w:val="auto"/>
        </w:rPr>
      </w:pPr>
    </w:p>
    <w:p>
      <w:pPr>
        <w:jc w:val="both"/>
        <w:ind w:firstLine="1304"/>
        <w:spacing w:after="0" w:line="292" w:lineRule="auto"/>
        <w:tabs>
          <w:tab w:leader="none" w:pos="193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failure on the part of the Servicer duly to observe or to perform in any material respect any covenants or agreements of the Servicer set forth in the Transaction Documents or any representation or warranty of the Servicer made in any Transaction Document or in any certificate or other writing delivered pursuant to any Transaction Document proving to have been incorrect in any material respect as of the time when the same shall have been made, which default, if capable of cure, shall continue unremedied for a period of 30 days (or a longer period, not in excess of 60 days as may be reasonably necessary to remedy such default, if the default is capable of remedy within 60 days or less, and the Servicer delivers an Officer's Certificate to the Deal Agent, the Backup Servicer and the Collateral Agent to the effect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1" w:name="page92"/>
    <w:bookmarkEnd w:id="91"/>
    <w:p>
      <w:pPr>
        <w:jc w:val="both"/>
        <w:spacing w:after="0" w:line="250" w:lineRule="auto"/>
        <w:rPr>
          <w:sz w:val="20"/>
          <w:szCs w:val="20"/>
          <w:color w:val="auto"/>
        </w:rPr>
      </w:pPr>
      <w:r>
        <w:rPr>
          <w:rFonts w:ascii="Arial" w:cs="Arial" w:eastAsia="Arial" w:hAnsi="Arial"/>
          <w:sz w:val="22"/>
          <w:szCs w:val="22"/>
          <w:color w:val="auto"/>
        </w:rPr>
        <w:t>has commenced, or will promptly commence and diligently pursue, all reasonable efforts to remedy the default) after (x) there shall have been given written notice of such failure, requiring the same to be remedied, (1) to the Servicer, by the Collateral Agent or the Deal Agent, or (2) to the Servicer by the Collateral Agent at the direction of the Deal Agent or (y) discovery of such failure by an officer of the Servicer;</w:t>
      </w:r>
    </w:p>
    <w:p>
      <w:pPr>
        <w:spacing w:after="0" w:line="188" w:lineRule="exact"/>
        <w:rPr>
          <w:sz w:val="20"/>
          <w:szCs w:val="20"/>
          <w:color w:val="auto"/>
        </w:rPr>
      </w:pPr>
    </w:p>
    <w:p>
      <w:pPr>
        <w:jc w:val="both"/>
        <w:ind w:firstLine="1304"/>
        <w:spacing w:after="0" w:line="292" w:lineRule="auto"/>
        <w:tabs>
          <w:tab w:leader="none" w:pos="194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entry of a decree or order by a court or agency or supervisory authority having jurisdiction in the premises for the appointment of a conservator, receiver, or liquidator for the Servicer or any of its subsidiaries in any insolvency, readjustment of debt, marshalling of assets and liabilities, or similar proceedings, or for the winding up or liquidation of its respective affairs, and the continuance of any such decree or order unstayed and in effect for a period of 60 consecutive days or the entry of any decree or order for relief in respect of the Servicer or any of its subsidiaries under any bankruptcy, reorganization, compromise, arrangement, insolvency, readjustment of debt, or similar law, whether now or hereafter in effect, which decree or order for relief continues unstayed and in effect for a period of 60 consecutive days;</w:t>
      </w:r>
    </w:p>
    <w:p>
      <w:pPr>
        <w:spacing w:after="0" w:line="150" w:lineRule="exact"/>
        <w:rPr>
          <w:rFonts w:ascii="Arial" w:cs="Arial" w:eastAsia="Arial" w:hAnsi="Arial"/>
          <w:sz w:val="19"/>
          <w:szCs w:val="19"/>
          <w:color w:val="auto"/>
        </w:rPr>
      </w:pPr>
    </w:p>
    <w:p>
      <w:pPr>
        <w:jc w:val="both"/>
        <w:ind w:firstLine="1304"/>
        <w:spacing w:after="0" w:line="260" w:lineRule="auto"/>
        <w:tabs>
          <w:tab w:leader="none" w:pos="193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consent by the Servicer or any of its subsidiaries to the appointment of a conservator or receiver or liquidator in any insolvency, readjustment of debt, marshalling of assets and liabilities, or similar proceedings of or relating to the Servicer or any of its subsidiaries or relating to substantially all of its property; or the admission by the Servicer or any of its subsidiaries in writing of its inability to pay its debts generally as they become due, the filing by the Servicer or any of its subsidiaries of a petition to take advantage of any applicable insolvency or reorganization statute, the making by the Servicer or any of its subsidiaries of an assignment for the benefit of its creditors, or the voluntary suspension by the Servicer or any of its subsidiaries of payment of its obligations;</w:t>
      </w:r>
    </w:p>
    <w:p>
      <w:pPr>
        <w:spacing w:after="0" w:line="180" w:lineRule="exact"/>
        <w:rPr>
          <w:rFonts w:ascii="Arial" w:cs="Arial" w:eastAsia="Arial" w:hAnsi="Arial"/>
          <w:sz w:val="21"/>
          <w:szCs w:val="21"/>
          <w:color w:val="auto"/>
        </w:rPr>
      </w:pPr>
    </w:p>
    <w:p>
      <w:pPr>
        <w:ind w:left="1940" w:hanging="636"/>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any delegation of the Servicer's duties that is not permitted by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firstLine="1304"/>
        <w:spacing w:after="0" w:line="263" w:lineRule="auto"/>
        <w:tabs>
          <w:tab w:leader="none" w:pos="19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financial information related to the Collateral reasonably requested by the Deal Agent, the Collateral Agent or any Lender as provided herein is not reasonably provided as requested;</w:t>
      </w:r>
    </w:p>
    <w:p>
      <w:pPr>
        <w:spacing w:after="0" w:line="174" w:lineRule="exact"/>
        <w:rPr>
          <w:rFonts w:ascii="Arial" w:cs="Arial" w:eastAsia="Arial" w:hAnsi="Arial"/>
          <w:sz w:val="22"/>
          <w:szCs w:val="22"/>
          <w:color w:val="auto"/>
        </w:rPr>
      </w:pPr>
    </w:p>
    <w:p>
      <w:pPr>
        <w:jc w:val="both"/>
        <w:ind w:firstLine="1304"/>
        <w:spacing w:after="0" w:line="271" w:lineRule="auto"/>
        <w:tabs>
          <w:tab w:leader="none" w:pos="1939"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rendering against the Servicer of one or more final judgments, decrees or orders for the payment of money in excess of United States $15,000,000 in the aggregate, and the continuance of such judgment, decree or order unsatisfied and in effect for any period of more than 60 consecutive days without a stay of execution;</w:t>
      </w:r>
    </w:p>
    <w:p>
      <w:pPr>
        <w:spacing w:after="0" w:line="167" w:lineRule="exact"/>
        <w:rPr>
          <w:rFonts w:ascii="Arial" w:cs="Arial" w:eastAsia="Arial" w:hAnsi="Arial"/>
          <w:sz w:val="21"/>
          <w:szCs w:val="21"/>
          <w:color w:val="auto"/>
        </w:rPr>
      </w:pPr>
    </w:p>
    <w:p>
      <w:pPr>
        <w:jc w:val="both"/>
        <w:ind w:firstLine="1304"/>
        <w:spacing w:after="0" w:line="292" w:lineRule="auto"/>
        <w:tabs>
          <w:tab w:leader="none" w:pos="1939"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Servicer shall fail to pay any principal of or premium or interest on any indebtedness in an aggregate outstanding principal amount of $15,000,000 or more (“</w:t>
      </w:r>
      <w:r>
        <w:rPr>
          <w:rFonts w:ascii="Arial" w:cs="Arial" w:eastAsia="Arial" w:hAnsi="Arial"/>
          <w:sz w:val="19"/>
          <w:szCs w:val="19"/>
          <w:u w:val="single" w:color="auto"/>
          <w:color w:val="auto"/>
        </w:rPr>
        <w:t>Material Debt</w:t>
      </w:r>
      <w:r>
        <w:rPr>
          <w:rFonts w:ascii="Arial" w:cs="Arial" w:eastAsia="Arial" w:hAnsi="Arial"/>
          <w:sz w:val="19"/>
          <w:szCs w:val="19"/>
          <w:color w:val="auto"/>
        </w:rPr>
        <w: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2" w:name="page93"/>
    <w:bookmarkEnd w:id="92"/>
    <w:p>
      <w:pPr>
        <w:spacing w:after="0" w:line="263" w:lineRule="auto"/>
        <w:rPr>
          <w:sz w:val="20"/>
          <w:szCs w:val="20"/>
          <w:color w:val="auto"/>
        </w:rPr>
      </w:pPr>
      <w:r>
        <w:rPr>
          <w:rFonts w:ascii="Arial" w:cs="Arial" w:eastAsia="Arial" w:hAnsi="Arial"/>
          <w:sz w:val="22"/>
          <w:szCs w:val="22"/>
          <w:color w:val="auto"/>
        </w:rPr>
        <w:t>declared to be due and payable or required to be prepaid (other than by a regularly scheduled required prepayment) prior to the stated maturity thereof;</w:t>
      </w:r>
    </w:p>
    <w:p>
      <w:pPr>
        <w:spacing w:after="0" w:line="175" w:lineRule="exact"/>
        <w:rPr>
          <w:sz w:val="20"/>
          <w:szCs w:val="20"/>
          <w:color w:val="auto"/>
        </w:rPr>
      </w:pPr>
    </w:p>
    <w:p>
      <w:pPr>
        <w:ind w:left="1940" w:hanging="636"/>
        <w:spacing w:after="0"/>
        <w:tabs>
          <w:tab w:leader="none" w:pos="19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 Termination Event shall have occurred and such Termination Event has not been waived by the Deal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02" w:lineRule="exact"/>
        <w:rPr>
          <w:sz w:val="20"/>
          <w:szCs w:val="20"/>
          <w:color w:val="auto"/>
        </w:rPr>
      </w:pPr>
    </w:p>
    <w:p>
      <w:pPr>
        <w:jc w:val="both"/>
        <w:ind w:firstLine="1304"/>
        <w:spacing w:after="0" w:line="253" w:lineRule="auto"/>
        <w:tabs>
          <w:tab w:leader="none" w:pos="193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occurrence of the thirtieth (30th) day after the end of the fiscal quarter in which a breach of any covenant set forth in Sections 7.5, 7.6 and 7.7 of the Credit Agreement shall occur unless prior to such date, such breach is cured or waived by the Deal Agent in the Deal Agent's sole discretion; or</w:t>
      </w:r>
    </w:p>
    <w:p>
      <w:pPr>
        <w:spacing w:after="0" w:line="185" w:lineRule="exact"/>
        <w:rPr>
          <w:rFonts w:ascii="Arial" w:cs="Arial" w:eastAsia="Arial" w:hAnsi="Arial"/>
          <w:sz w:val="22"/>
          <w:szCs w:val="22"/>
          <w:color w:val="auto"/>
        </w:rPr>
      </w:pPr>
    </w:p>
    <w:p>
      <w:pPr>
        <w:ind w:right="20" w:firstLine="1304"/>
        <w:spacing w:after="0" w:line="343" w:lineRule="auto"/>
        <w:tabs>
          <w:tab w:leader="none" w:pos="1939"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Originator or Servicer, if Credit Acceptance is the Servicer, fails to pay when due (or no later than the next Payment Date after the Servicer becomes aware that such payment was not made) the Release Price in excess of $100,000;</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then notwithstanding anything herein to the contrary, so long as any such Servicer Termination Event shall not have been remedied, within any applicable cure period prior to the date of the Servicer Termination Notice (defined below), the Deal Agent may, or at the direction of the Required Lenders, by written notice to the Servicer (with a copy to the Backup Servicer and the Collateral Agent) (a “</w:t>
      </w:r>
      <w:r>
        <w:rPr>
          <w:rFonts w:ascii="Arial" w:cs="Arial" w:eastAsia="Arial" w:hAnsi="Arial"/>
          <w:sz w:val="22"/>
          <w:szCs w:val="22"/>
          <w:u w:val="single" w:color="auto"/>
          <w:color w:val="auto"/>
        </w:rPr>
        <w:t>Servicer Termination Notice</w:t>
      </w:r>
      <w:r>
        <w:rPr>
          <w:rFonts w:ascii="Arial" w:cs="Arial" w:eastAsia="Arial" w:hAnsi="Arial"/>
          <w:sz w:val="22"/>
          <w:szCs w:val="22"/>
          <w:color w:val="auto"/>
        </w:rPr>
        <w:t>”) shall, terminate all of the rights and obligations of the Servicer as Servicer under this Agreement.</w:t>
      </w:r>
    </w:p>
    <w:p>
      <w:pPr>
        <w:spacing w:after="0" w:line="19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Appointment of Successor Servicer</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6" w:lineRule="auto"/>
        <w:tabs>
          <w:tab w:leader="none" w:pos="194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On and after the receipt by the Servicer of a Servicer Termination Notice pursuant to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w:t>
      </w:r>
      <w:r>
        <w:rPr>
          <w:rFonts w:ascii="Arial" w:cs="Arial" w:eastAsia="Arial" w:hAnsi="Arial"/>
          <w:sz w:val="19"/>
          <w:szCs w:val="19"/>
          <w:color w:val="auto"/>
        </w:rPr>
        <w:t>, the Servicer shall continue to perform all servicing functions under this Agreement until the date specified in the Servicer Termination Notice or otherwise specified by the Deal Agent in writing or, if no such date is specified in such Servicer Termination Notice or otherwise specified by the Deal Agent, until a date mutually agreed upon by the Servicer, the Backup Servicer and the Deal Agent. The Deal Agent may at the time described in the immediately preceding sentence at the direction of the Required Lenders appoint the Backup Servicer by written notice as the Servicer hereunder, and the Backup Servicer shall on such date assume all obligations of the Servicer hereunder from and after such date (except as specifically set forth herein or in the Backup Servicing Agreement), and all authority and power of the Servicer under this Agreement shall pass to and be vested in the Backup Servicer. In the event that the Deal Agent does not so appoint the Backup Servicer, there is no Backup Servicer or the Backup Servicer is unable to assume such obligations on such date, the Deal Agent shall as promptly as possible appoint another successor servicer (the Backup Servicer or such other successor Servicer, “</w:t>
      </w:r>
      <w:r>
        <w:rPr>
          <w:rFonts w:ascii="Arial" w:cs="Arial" w:eastAsia="Arial" w:hAnsi="Arial"/>
          <w:sz w:val="19"/>
          <w:szCs w:val="19"/>
          <w:u w:val="single" w:color="auto"/>
          <w:color w:val="auto"/>
        </w:rPr>
        <w:t>Successor Servicer</w:t>
      </w:r>
      <w:r>
        <w:rPr>
          <w:rFonts w:ascii="Arial" w:cs="Arial" w:eastAsia="Arial" w:hAnsi="Arial"/>
          <w:sz w:val="19"/>
          <w:szCs w:val="19"/>
          <w:color w:val="auto"/>
        </w:rPr>
        <w:t>”) who shall be acceptable to the Required Lenders, and such Successor Servicer shall accept its appointment by a written assumption in a form acceptable to the Deal Agent. In the event that a Successor Servicer has not accepted its appointment at the time when the Servicer ceases to act as Servicer, the Deal Agent shall petition a court of competent jurisdiction to appoint any established financial institution having a net worth of not less than United States $50,000,000 and whose regular business includes the servicing of Loans as the Successor Servicer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3" w:name="page94"/>
    <w:bookmarkEnd w:id="93"/>
    <w:p>
      <w:pPr>
        <w:jc w:val="both"/>
        <w:ind w:firstLine="1304"/>
        <w:spacing w:after="0" w:line="260" w:lineRule="auto"/>
        <w:tabs>
          <w:tab w:leader="none" w:pos="1939"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Upon its assumption as Successor Servicer, the Backup Servicer (except as specifically set forth herein or in the Backup Servicing Agreement and subject to </w:t>
      </w:r>
      <w:r>
        <w:rPr>
          <w:rFonts w:ascii="Arial" w:cs="Arial" w:eastAsia="Arial" w:hAnsi="Arial"/>
          <w:sz w:val="21"/>
          <w:szCs w:val="21"/>
          <w:u w:val="single" w:color="auto"/>
          <w:color w:val="auto"/>
        </w:rPr>
        <w:t>Section 6.12(a)</w:t>
      </w:r>
      <w:r>
        <w:rPr>
          <w:rFonts w:ascii="Arial" w:cs="Arial" w:eastAsia="Arial" w:hAnsi="Arial"/>
          <w:sz w:val="21"/>
          <w:szCs w:val="21"/>
          <w:color w:val="auto"/>
        </w:rPr>
        <w:t>) or any other Successor Servicer, as applicable,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and the other Transaction Documents to the Servicer shall be deemed to refer to the Backup Servicer or the Successor Servicer, as applicable. In no event shall the Backup Servicer be liable for any actions or omissions of any predecessor Servicer.</w:t>
      </w:r>
    </w:p>
    <w:p>
      <w:pPr>
        <w:spacing w:after="0" w:line="180" w:lineRule="exact"/>
        <w:rPr>
          <w:rFonts w:ascii="Arial" w:cs="Arial" w:eastAsia="Arial" w:hAnsi="Arial"/>
          <w:sz w:val="21"/>
          <w:szCs w:val="21"/>
          <w:color w:val="auto"/>
        </w:rPr>
      </w:pPr>
    </w:p>
    <w:p>
      <w:pPr>
        <w:jc w:val="both"/>
        <w:ind w:firstLine="1304"/>
        <w:spacing w:after="0" w:line="294" w:lineRule="auto"/>
        <w:tabs>
          <w:tab w:leader="none" w:pos="1941"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All authority and power granted to the Servicer under this Agreement shall automatically cease and terminate upon termination of this Agreement and shall pass to and be vested in the Borrower and, without limitation,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on the Loans and the Contracts.</w:t>
      </w:r>
    </w:p>
    <w:p>
      <w:pPr>
        <w:spacing w:after="0" w:line="149" w:lineRule="exact"/>
        <w:rPr>
          <w:rFonts w:ascii="Arial" w:cs="Arial" w:eastAsia="Arial" w:hAnsi="Arial"/>
          <w:sz w:val="19"/>
          <w:szCs w:val="19"/>
          <w:color w:val="auto"/>
        </w:rPr>
      </w:pPr>
    </w:p>
    <w:p>
      <w:pPr>
        <w:ind w:firstLine="1304"/>
        <w:spacing w:after="0" w:line="343" w:lineRule="auto"/>
        <w:tabs>
          <w:tab w:leader="none" w:pos="193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Within 30 days of receiving notice that the Backup Servicer is required to serve as the Servicer hereunder pursuant to the foregoing provisions of this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the Backup Servicer will begin the transition to its role as Servicer.</w:t>
      </w:r>
    </w:p>
    <w:p>
      <w:pPr>
        <w:spacing w:after="0" w:line="10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Segregated Payment Account</w:t>
      </w:r>
      <w:r>
        <w:rPr>
          <w:rFonts w:ascii="Arial" w:cs="Arial" w:eastAsia="Arial" w:hAnsi="Arial"/>
          <w:sz w:val="22"/>
          <w:szCs w:val="22"/>
          <w:color w:val="auto"/>
        </w:rPr>
        <w:t>. Upon the occurrence of a Servicer Termination Event, a potential Servicer Termination Event or an Unsatisfactory Audit, the Deal Agent shall have the right to require the Borrower and the Servicer (i) to establish a segregated payment trust account in the name of the Collateral Agent for Collections related to the Collateral and (ii) to direct all Obligors to make payments into such account.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Dealer Collections Repurchase; Replacement of Dealer Loan with Related Purchased Loans</w:t>
      </w:r>
      <w:r>
        <w:rPr>
          <w:rFonts w:ascii="Arial" w:cs="Arial" w:eastAsia="Arial" w:hAnsi="Arial"/>
          <w:sz w:val="22"/>
          <w:szCs w:val="22"/>
          <w:color w:val="auto"/>
        </w:rPr>
        <w:t>. The parties hereto acknowledge the following:</w:t>
      </w:r>
    </w:p>
    <w:p>
      <w:pPr>
        <w:spacing w:after="0" w:line="175" w:lineRule="exact"/>
        <w:rPr>
          <w:sz w:val="20"/>
          <w:szCs w:val="20"/>
          <w:color w:val="auto"/>
        </w:rPr>
      </w:pPr>
    </w:p>
    <w:p>
      <w:pPr>
        <w:jc w:val="both"/>
        <w:ind w:firstLine="1304"/>
        <w:spacing w:after="0" w:line="247" w:lineRule="auto"/>
        <w:tabs>
          <w:tab w:leader="none" w:pos="194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During its ordinary course of business in managing its serviced portfolio of Dealer Loans (and not based on poor credit quality of the Dealer Loan Contracts), Credit Acceptance may from time to time agree to enter into an agreement (a “</w:t>
      </w:r>
      <w:r>
        <w:rPr>
          <w:rFonts w:ascii="Arial" w:cs="Arial" w:eastAsia="Arial" w:hAnsi="Arial"/>
          <w:sz w:val="22"/>
          <w:szCs w:val="22"/>
          <w:u w:val="single" w:color="auto"/>
          <w:color w:val="auto"/>
        </w:rPr>
        <w:t>Dealer Collections Purchase Agreement</w:t>
      </w:r>
      <w:r>
        <w:rPr>
          <w:rFonts w:ascii="Arial" w:cs="Arial" w:eastAsia="Arial" w:hAnsi="Arial"/>
          <w:sz w:val="22"/>
          <w:szCs w:val="22"/>
          <w:color w:val="auto"/>
        </w:rPr>
        <w:t>”) with a Dealer, pursuant to which the Dealer agrees to sell and assign to Credit Acceptance all of its rights, interests and entitlement in and to one or more Pools of Dealer Loan Contracts securing the related Dealer Loans, including such Dealer's ownership interest in such Dealer Loan Contracts and rights to receive the related Dealer Collections (a “</w:t>
      </w:r>
      <w:r>
        <w:rPr>
          <w:rFonts w:ascii="Arial" w:cs="Arial" w:eastAsia="Arial" w:hAnsi="Arial"/>
          <w:sz w:val="22"/>
          <w:szCs w:val="22"/>
          <w:u w:val="single" w:color="auto"/>
          <w:color w:val="auto"/>
        </w:rPr>
        <w:t>Dealer Collections Purchase</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Credit Acceptance has assigned all of its rights under any Dealer Collections Purchase Agreements to the Borrower pursuant to the Contribution Agreement. Upon the payment by Credit Acceptance to the applicable Dealer under a Dealer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97" w:lineRule="auto"/>
        <w:rPr>
          <w:sz w:val="20"/>
          <w:szCs w:val="20"/>
          <w:color w:val="auto"/>
        </w:rPr>
      </w:pPr>
      <w:r>
        <w:rPr>
          <w:rFonts w:ascii="Arial" w:cs="Arial" w:eastAsia="Arial" w:hAnsi="Arial"/>
          <w:sz w:val="19"/>
          <w:szCs w:val="19"/>
          <w:color w:val="auto"/>
        </w:rPr>
        <w:t>Purchase Agreement of the purchase price thereunder (the “</w:t>
      </w:r>
      <w:r>
        <w:rPr>
          <w:rFonts w:ascii="Arial" w:cs="Arial" w:eastAsia="Arial" w:hAnsi="Arial"/>
          <w:sz w:val="19"/>
          <w:szCs w:val="19"/>
          <w:u w:val="single" w:color="auto"/>
          <w:color w:val="auto"/>
        </w:rPr>
        <w:t>Dealer Collections Purchase Price</w:t>
      </w:r>
      <w:r>
        <w:rPr>
          <w:rFonts w:ascii="Arial" w:cs="Arial" w:eastAsia="Arial" w:hAnsi="Arial"/>
          <w:sz w:val="19"/>
          <w:szCs w:val="19"/>
          <w:color w:val="auto"/>
        </w:rPr>
        <w:t>”), the related Dealer Loans (including the rights to the related Dealer Loan Collections thereunder) shall be deemed to be extinguished and pursuant to the Contribution Agreement the Dealer Loan Contracts securing such Dealer Loans shall be assigned by Credit Acceptance to the Borrower as Purchased Loan Contracts and the loans thereunder shall be deemed Purchased Loans. For the avoidance of doubt, all Collections on such Purchased Loan Contracts shall be included in Available Funds.</w:t>
      </w:r>
    </w:p>
    <w:p>
      <w:pPr>
        <w:spacing w:after="0" w:line="147" w:lineRule="exact"/>
        <w:rPr>
          <w:sz w:val="20"/>
          <w:szCs w:val="20"/>
          <w:color w:val="auto"/>
        </w:rPr>
      </w:pPr>
    </w:p>
    <w:p>
      <w:pPr>
        <w:jc w:val="both"/>
        <w:ind w:firstLine="1304"/>
        <w:spacing w:after="0" w:line="261" w:lineRule="auto"/>
        <w:tabs>
          <w:tab w:leader="none" w:pos="1941"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On the date of each Dealer Collections Purchase, Credit Acceptance shall deliver to the Collateral Agent a list identifying (A) all Dealer Loans extinguished as a result of such Dealer Collections Purchase, (B) each Dealer Loan Contract previously securing such Dealer Loans and (C) the Purchased Loans and Purchased Loan Contracts evidencing such Purchased Loans resulting from such Dealer Collections Purchase, in each case, identified by account number, dealer number and pool number, as applicable. Such list shall be deemed to supplement Exhibit A to the Contribution Agreement and </w:t>
      </w: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hereto as of the date of such Dealer Collections Purchase.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BACKUP SERVICER</w:t>
      </w:r>
    </w:p>
    <w:p>
      <w:pPr>
        <w:spacing w:after="0" w:line="21"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u w:val="single" w:color="auto"/>
          <w:color w:val="auto"/>
        </w:rPr>
        <w:t>Designation of the Backup Servicer</w:t>
      </w:r>
      <w:r>
        <w:rPr>
          <w:rFonts w:ascii="Arial" w:cs="Arial" w:eastAsia="Arial" w:hAnsi="Arial"/>
          <w:sz w:val="19"/>
          <w:szCs w:val="19"/>
          <w:color w:val="auto"/>
        </w:rPr>
        <w:t>. The backup servicing role with respect to the Collateral shall be conducted by the Person designated as Backup Servicer under the Backup Servicing Agreement, which shall initially be SST.</w:t>
      </w:r>
    </w:p>
    <w:p>
      <w:pPr>
        <w:spacing w:after="0" w:line="12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Duties of the Backup Servicer</w:t>
      </w:r>
      <w:r>
        <w:rPr>
          <w:rFonts w:ascii="Arial" w:cs="Arial" w:eastAsia="Arial" w:hAnsi="Arial"/>
          <w:sz w:val="19"/>
          <w:szCs w:val="19"/>
          <w:color w:val="auto"/>
        </w:rPr>
        <w:t>. On or before the Closing Date, and until its removal pursuant to the Backup Servicing Agreement, the Backup Servicer shall perform, on behalf of the Servicer, the Borrower, the Deal Agent, the Collateral Agent and the Secured Parties, the duties and obligations set forth in the Backup Servicing Agreement.</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Backup Servicing Compensation</w:t>
      </w:r>
      <w:r>
        <w:rPr>
          <w:rFonts w:ascii="Arial" w:cs="Arial" w:eastAsia="Arial" w:hAnsi="Arial"/>
          <w:sz w:val="19"/>
          <w:szCs w:val="19"/>
          <w:color w:val="auto"/>
        </w:rPr>
        <w:t xml:space="preserve">. As compensation for its backup servicing activities hereunder and under the Backup Servicing Agreement, the Backup Servicer shall be entitled to receive the Backup Servicing Fee pursuant to the provisions of </w:t>
      </w:r>
      <w:r>
        <w:rPr>
          <w:rFonts w:ascii="Arial" w:cs="Arial" w:eastAsia="Arial" w:hAnsi="Arial"/>
          <w:sz w:val="19"/>
          <w:szCs w:val="19"/>
          <w:u w:val="single" w:color="auto"/>
          <w:color w:val="auto"/>
        </w:rPr>
        <w:t>Section 2.7(a)</w:t>
      </w:r>
      <w:r>
        <w:rPr>
          <w:rFonts w:ascii="Arial" w:cs="Arial" w:eastAsia="Arial" w:hAnsi="Arial"/>
          <w:sz w:val="19"/>
          <w:szCs w:val="19"/>
          <w:color w:val="auto"/>
        </w:rPr>
        <w:t>. The Backup Servicer's entitlement to receive the Backup Servicing Fee shall cease on the earliest to occur of: (i) it becoming the Successor Servicer; (ii) its resignation or removal as Backup Servicer pursuant to the terms of the Backup Servicing Agreement; or (iii) the termination of this Agreement or the Backup Servicing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5" w:name="page96"/>
    <w:bookmarkEnd w:id="95"/>
    <w:p>
      <w:pPr>
        <w:ind w:firstLine="648"/>
        <w:spacing w:after="0" w:line="287" w:lineRule="auto"/>
        <w:rPr>
          <w:sz w:val="20"/>
          <w:szCs w:val="20"/>
          <w:color w:val="auto"/>
        </w:rPr>
      </w:pPr>
      <w:r>
        <w:rPr>
          <w:rFonts w:ascii="Arial" w:cs="Arial" w:eastAsia="Arial" w:hAnsi="Arial"/>
          <w:sz w:val="21"/>
          <w:szCs w:val="21"/>
          <w:color w:val="auto"/>
        </w:rPr>
        <w:t xml:space="preserve">Section 9.1 </w:t>
      </w:r>
      <w:r>
        <w:rPr>
          <w:rFonts w:ascii="Arial" w:cs="Arial" w:eastAsia="Arial" w:hAnsi="Arial"/>
          <w:sz w:val="21"/>
          <w:szCs w:val="21"/>
          <w:u w:val="single" w:color="auto"/>
          <w:color w:val="auto"/>
        </w:rPr>
        <w:t>Security Agreement</w:t>
      </w:r>
      <w:r>
        <w:rPr>
          <w:rFonts w:ascii="Arial" w:cs="Arial" w:eastAsia="Arial" w:hAnsi="Arial"/>
          <w:sz w:val="21"/>
          <w:szCs w:val="21"/>
          <w:color w:val="auto"/>
        </w:rPr>
        <w:t>. (a) The parties hereto intend that this Agreement constitute a security agreement and the transactions effected hereby constitute secured loans by the Lenders to the Borrower under Applicable Law.</w:t>
      </w:r>
    </w:p>
    <w:p>
      <w:pPr>
        <w:spacing w:after="0" w:line="151" w:lineRule="exact"/>
        <w:rPr>
          <w:sz w:val="20"/>
          <w:szCs w:val="20"/>
          <w:color w:val="auto"/>
        </w:rPr>
      </w:pPr>
    </w:p>
    <w:p>
      <w:pPr>
        <w:jc w:val="both"/>
        <w:ind w:firstLine="1304"/>
        <w:spacing w:after="0" w:line="258" w:lineRule="auto"/>
        <w:tabs>
          <w:tab w:leader="none" w:pos="1939" w:val="left"/>
        </w:tabs>
        <w:numPr>
          <w:ilvl w:val="0"/>
          <w:numId w:val="115"/>
        </w:numPr>
        <w:rPr>
          <w:rFonts w:ascii="Arial" w:cs="Arial" w:eastAsia="Arial" w:hAnsi="Arial"/>
          <w:sz w:val="21"/>
          <w:szCs w:val="21"/>
          <w:color w:val="auto"/>
        </w:rPr>
      </w:pPr>
      <w:r>
        <w:rPr>
          <w:rFonts w:ascii="Arial" w:cs="Arial" w:eastAsia="Arial" w:hAnsi="Arial"/>
          <w:sz w:val="21"/>
          <w:szCs w:val="21"/>
          <w:color w:val="auto"/>
        </w:rPr>
        <w:t xml:space="preserve">The Borrower hereby authorizes the Collateral Agent to file one or more financing or continuation statements, and amendments thereto, relating to all or any part of the Collateral and Proceeds thereof without the signature of the Borrower in such form and in such offices as the Deal Agent determines, in its sole discretion, are necessary or advisable to perfect the security interests of the Collateral Agent under this Agreement. The Borrower also authorizes the Collateral Agent to use the collateral description “all personal property of the debtor” or “all assets of the debtor,” in each case “whether now owned or hereafter acquired or arising” or words of similar meaning in any such financing statements;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Collateral Agent shall have no liability or obligation to act unless directed to do so in writing by the Deal Agent. A photographic or other reproduction of this Agreement or any financing statement covering the Collateral or any part thereof shall be sufficient as a financing statement where permitted by law;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Collateral Agent shall not be obligated to file such financing statement instruments.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u w:val="single" w:color="auto"/>
          <w:color w:val="auto"/>
        </w:rPr>
        <w:t>Release of Lien</w:t>
      </w:r>
      <w:r>
        <w:rPr>
          <w:rFonts w:ascii="Arial" w:cs="Arial" w:eastAsia="Arial" w:hAnsi="Arial"/>
          <w:sz w:val="21"/>
          <w:szCs w:val="21"/>
          <w:color w:val="auto"/>
        </w:rPr>
        <w:t xml:space="preserve">. At the same time as any Loan by its terms and all amounts in respect thereof has been paid by the related Obligor and deposited in the Collection Account, the Collateral Agent as agent for the Secured Parties will, to the extent requested by the Servicer, release its interest in such Loan and Related Security. The Collateral Agent as agent for the Secured Parties will after the deposit by the Servicer of such payment into the Collection Account, at the sole expense of the Servicer, execute and deliver to the Servicer any assignments, termination statements and any other releases and instruments as the Servicer may reasonably request in order to effect such release and transfer;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Collateral Agent as agent for the Secured Parties will make no representation or warranty, express or implied, with respect to any such Loan and Related Security in connection with such sale or transfer and assignment.</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14.12</w:t>
      </w:r>
      <w:r>
        <w:rPr>
          <w:rFonts w:ascii="Arial" w:cs="Arial" w:eastAsia="Arial" w:hAnsi="Arial"/>
          <w:sz w:val="22"/>
          <w:szCs w:val="22"/>
          <w:color w:val="auto"/>
        </w:rPr>
        <w:t xml:space="preserve"> shall apply to the security interest granted under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9.4 </w:t>
      </w:r>
      <w:r>
        <w:rPr>
          <w:rFonts w:ascii="Arial" w:cs="Arial" w:eastAsia="Arial" w:hAnsi="Arial"/>
          <w:sz w:val="22"/>
          <w:szCs w:val="22"/>
          <w:u w:val="single" w:color="auto"/>
          <w:color w:val="auto"/>
        </w:rPr>
        <w:t>Remedies</w:t>
      </w:r>
      <w:r>
        <w:rPr>
          <w:rFonts w:ascii="Arial" w:cs="Arial" w:eastAsia="Arial" w:hAnsi="Arial"/>
          <w:sz w:val="22"/>
          <w:szCs w:val="22"/>
          <w:color w:val="auto"/>
        </w:rPr>
        <w:t xml:space="preserve">. Upon the occurrence of a Termination Event, the Deal Agent, the Collateral Agent and Secured Parties shall have, with respect to the Collateral granted pursuant to </w:t>
      </w:r>
      <w:r>
        <w:rPr>
          <w:rFonts w:ascii="Arial" w:cs="Arial" w:eastAsia="Arial" w:hAnsi="Arial"/>
          <w:sz w:val="22"/>
          <w:szCs w:val="22"/>
          <w:u w:val="single" w:color="auto"/>
          <w:color w:val="auto"/>
        </w:rPr>
        <w:t>Section 2.2(a)</w:t>
      </w:r>
      <w:r>
        <w:rPr>
          <w:rFonts w:ascii="Arial" w:cs="Arial" w:eastAsia="Arial" w:hAnsi="Arial"/>
          <w:sz w:val="22"/>
          <w:szCs w:val="22"/>
          <w:color w:val="auto"/>
        </w:rPr>
        <w:t>, and in addition to all other rights and remedies available to the Deal Agent, the Collateral Agent and Secured Parties under this Agreement or other Applicable Law, all rights and remedies of a secured party upon default under the UCC.</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9.5 </w:t>
      </w:r>
      <w:r>
        <w:rPr>
          <w:rFonts w:ascii="Arial" w:cs="Arial" w:eastAsia="Arial" w:hAnsi="Arial"/>
          <w:sz w:val="22"/>
          <w:szCs w:val="22"/>
          <w:u w:val="single" w:color="auto"/>
          <w:color w:val="auto"/>
        </w:rPr>
        <w:t>Waiver of Certain Laws</w:t>
      </w:r>
      <w:r>
        <w:rPr>
          <w:rFonts w:ascii="Arial" w:cs="Arial" w:eastAsia="Arial" w:hAnsi="Arial"/>
          <w:sz w:val="22"/>
          <w:szCs w:val="22"/>
          <w:color w:val="auto"/>
        </w:rPr>
        <w:t>. Each of the Borrower and the Servicer agrees, to the full extent that it may lawfully so agree, that neither it nor anyone claiming through or under it will set up, claim or seek to take advantage of any appraisement, valuation, stay, extension or redemption law now or hereafter in force in any locality where all or any portion of the Collateral may be situated in order to prevent, hinder or delay the enforcement or foreclosure of this Agreement, or the absolute sale of all or any portion of the Collateral, or the final and absolute putting into possession thereof, immediately after such sale, of the purchasers thereof, and each of the Borrower and the Servicer, for itself and all who may at any time claim through or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6" w:name="page97"/>
    <w:bookmarkEnd w:id="96"/>
    <w:p>
      <w:pPr>
        <w:jc w:val="both"/>
        <w:spacing w:after="0" w:line="265" w:lineRule="auto"/>
        <w:rPr>
          <w:sz w:val="20"/>
          <w:szCs w:val="20"/>
          <w:color w:val="auto"/>
        </w:rPr>
      </w:pPr>
      <w:r>
        <w:rPr>
          <w:rFonts w:ascii="Arial" w:cs="Arial" w:eastAsia="Arial" w:hAnsi="Arial"/>
          <w:sz w:val="21"/>
          <w:szCs w:val="21"/>
          <w:color w:val="auto"/>
        </w:rPr>
        <w:t>it, hereby waives, to the full extent that it may be lawful so to do, the benefit of all such laws, and any and all right to have any of the properties or assets constituting the Collateral marshaled upon any such sale, and agrees that the Deal Agent, the Collateral Agent or any court having jurisdiction to foreclosure the security interests granted in this Agreement may sell the Collateral as an entirety or in such parcels as the Deal Agent, the Collateral Agent or such court may determine.</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9.6 </w:t>
      </w:r>
      <w:r>
        <w:rPr>
          <w:rFonts w:ascii="Arial" w:cs="Arial" w:eastAsia="Arial" w:hAnsi="Arial"/>
          <w:sz w:val="19"/>
          <w:szCs w:val="19"/>
          <w:u w:val="single" w:color="auto"/>
          <w:color w:val="auto"/>
        </w:rPr>
        <w:t>Power of Attorney</w:t>
      </w:r>
      <w:r>
        <w:rPr>
          <w:rFonts w:ascii="Arial" w:cs="Arial" w:eastAsia="Arial" w:hAnsi="Arial"/>
          <w:sz w:val="19"/>
          <w:szCs w:val="19"/>
          <w:color w:val="auto"/>
        </w:rPr>
        <w:t>. The Borrower hereby irrevocably appoints the Deal Agent and the Servicer and any Successor Servicer as its true and lawful attorney (with full power of substitution) in its name, place and stead and at its expense, in connection with the enforcement of the rights and remedies provided for in this Agreement, including without limitation the following powers: (a) to give any necessary receipts or acquittance for amounts collected or received hereunder, (b) to make all necessary transfers of the Collateral in connection with any such sale or other disposition made pursuant hereto, (c) 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and (d) to sign any agreements, orders or other documents in connection with or pursuant to any Transaction Document. Nevertheless, if so requested by the Deal Agent, the Servicer or any Successor Servicer, the Collateral Agent or a purchaser of the Collateral, the Borrower shall ratify and confirm any such sale or other disposition by executing and delivering to the Deal Agent, the Collateral Agent or such purchaser all proper bills of sale, assignments, releases and other instruments as may be designated in any such request.</w:t>
      </w:r>
    </w:p>
    <w:p>
      <w:pPr>
        <w:spacing w:after="0" w:line="159"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ARTICLE X</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TERMINATION EVENTS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Termination Events</w:t>
      </w:r>
      <w:r>
        <w:rPr>
          <w:rFonts w:ascii="Arial" w:cs="Arial" w:eastAsia="Arial" w:hAnsi="Arial"/>
          <w:sz w:val="19"/>
          <w:szCs w:val="19"/>
          <w:color w:val="auto"/>
        </w:rPr>
        <w:t>. The following events shall be termination events (“</w:t>
      </w:r>
      <w:r>
        <w:rPr>
          <w:rFonts w:ascii="Arial" w:cs="Arial" w:eastAsia="Arial" w:hAnsi="Arial"/>
          <w:sz w:val="19"/>
          <w:szCs w:val="19"/>
          <w:u w:val="single" w:color="auto"/>
          <w:color w:val="auto"/>
        </w:rPr>
        <w:t>Termination Events</w:t>
      </w:r>
      <w:r>
        <w:rPr>
          <w:rFonts w:ascii="Arial" w:cs="Arial" w:eastAsia="Arial" w:hAnsi="Arial"/>
          <w:sz w:val="19"/>
          <w:szCs w:val="19"/>
          <w:color w:val="auto"/>
        </w:rPr>
        <w:t>”) hereunder:</w:t>
      </w:r>
    </w:p>
    <w:p>
      <w:pPr>
        <w:spacing w:after="0" w:line="202" w:lineRule="exact"/>
        <w:rPr>
          <w:sz w:val="20"/>
          <w:szCs w:val="20"/>
          <w:color w:val="auto"/>
        </w:rPr>
      </w:pPr>
    </w:p>
    <w:p>
      <w:pPr>
        <w:ind w:firstLine="1304"/>
        <w:spacing w:after="0" w:line="263"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default by the Borrower in the payment of any amount due and payable pursuant to </w:t>
      </w:r>
      <w:r>
        <w:rPr>
          <w:rFonts w:ascii="Arial" w:cs="Arial" w:eastAsia="Arial" w:hAnsi="Arial"/>
          <w:sz w:val="22"/>
          <w:szCs w:val="22"/>
          <w:u w:val="single" w:color="auto"/>
          <w:color w:val="auto"/>
        </w:rPr>
        <w:t>Section 2.7(a)(iii)</w:t>
      </w:r>
      <w:r>
        <w:rPr>
          <w:rFonts w:ascii="Arial" w:cs="Arial" w:eastAsia="Arial" w:hAnsi="Arial"/>
          <w:sz w:val="22"/>
          <w:szCs w:val="22"/>
          <w:color w:val="auto"/>
        </w:rPr>
        <w:t>, and such default shall continue for a period of five (5) days or more; or</w:t>
      </w:r>
    </w:p>
    <w:p>
      <w:pPr>
        <w:spacing w:after="0" w:line="174" w:lineRule="exact"/>
        <w:rPr>
          <w:rFonts w:ascii="Arial" w:cs="Arial" w:eastAsia="Arial" w:hAnsi="Arial"/>
          <w:sz w:val="22"/>
          <w:szCs w:val="22"/>
          <w:color w:val="auto"/>
        </w:rPr>
      </w:pPr>
    </w:p>
    <w:p>
      <w:pPr>
        <w:ind w:firstLine="1304"/>
        <w:spacing w:after="0" w:line="263" w:lineRule="auto"/>
        <w:tabs>
          <w:tab w:leader="none" w:pos="193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default by the Borrower in the payment of the principal of or any installment of the principal when it becomes due and payable on the Final Scheduled Payment Date; or</w:t>
      </w:r>
    </w:p>
    <w:p>
      <w:pPr>
        <w:spacing w:after="0" w:line="174" w:lineRule="exact"/>
        <w:rPr>
          <w:rFonts w:ascii="Arial" w:cs="Arial" w:eastAsia="Arial" w:hAnsi="Arial"/>
          <w:sz w:val="22"/>
          <w:szCs w:val="22"/>
          <w:color w:val="auto"/>
        </w:rPr>
      </w:pPr>
    </w:p>
    <w:p>
      <w:pPr>
        <w:ind w:firstLine="1304"/>
        <w:spacing w:after="0" w:line="263"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aggregate amount of Capital exceeds, for a period of two (2) Business Days or more, the product of the Net Advance Rate and the Collateral Amount; or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Servicer Termination Event occurs and is continuing; or</w:t>
      </w:r>
    </w:p>
    <w:p>
      <w:pPr>
        <w:spacing w:after="0" w:line="219" w:lineRule="exact"/>
        <w:rPr>
          <w:rFonts w:ascii="Arial" w:cs="Arial" w:eastAsia="Arial" w:hAnsi="Arial"/>
          <w:sz w:val="22"/>
          <w:szCs w:val="22"/>
          <w:color w:val="auto"/>
        </w:rPr>
      </w:pPr>
    </w:p>
    <w:p>
      <w:pPr>
        <w:ind w:firstLine="1304"/>
        <w:spacing w:after="0" w:line="263"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failure on the part of the Borrower or the Originator to make any payment or deposit required by the terms of any Transaction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7" w:name="page98"/>
    <w:bookmarkEnd w:id="97"/>
    <w:p>
      <w:pPr>
        <w:jc w:val="both"/>
        <w:ind w:firstLine="1304"/>
        <w:spacing w:after="0" w:line="250" w:lineRule="auto"/>
        <w:tabs>
          <w:tab w:leader="none" w:pos="1944" w:val="left"/>
        </w:tabs>
        <w:numPr>
          <w:ilvl w:val="1"/>
          <w:numId w:val="117"/>
        </w:numPr>
        <w:rPr>
          <w:rFonts w:ascii="Arial" w:cs="Arial" w:eastAsia="Arial" w:hAnsi="Arial"/>
          <w:sz w:val="22"/>
          <w:szCs w:val="22"/>
          <w:color w:val="auto"/>
        </w:rPr>
      </w:pPr>
      <w:r>
        <w:rPr>
          <w:rFonts w:ascii="Arial" w:cs="Arial" w:eastAsia="Arial" w:hAnsi="Arial"/>
          <w:sz w:val="22"/>
          <w:szCs w:val="22"/>
          <w:color w:val="auto"/>
        </w:rPr>
        <w:t>failure on the part of the Borrower or the Originator in any material respect to observe or perform any of its covenants or agreements set forth in this Agreement or any other Transaction Document and such failure continues unremedied for more than 30 Business Days after written notice to the Borrower or the Originator (or 60 days if necessary to remedy such default); or</w:t>
      </w:r>
    </w:p>
    <w:p>
      <w:pPr>
        <w:spacing w:after="0" w:line="187" w:lineRule="exact"/>
        <w:rPr>
          <w:rFonts w:ascii="Arial" w:cs="Arial" w:eastAsia="Arial" w:hAnsi="Arial"/>
          <w:sz w:val="22"/>
          <w:szCs w:val="22"/>
          <w:color w:val="auto"/>
        </w:rPr>
      </w:pPr>
    </w:p>
    <w:p>
      <w:pPr>
        <w:jc w:val="both"/>
        <w:ind w:firstLine="1304"/>
        <w:spacing w:after="0" w:line="286" w:lineRule="auto"/>
        <w:tabs>
          <w:tab w:leader="none" w:pos="1939"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any representation or warranty made or deemed to be made by the Borrower or the Originator under or in connection with any of the Transaction Documents or any information required to be given by the Borrower or the Originator to identify Loans or Contracts pursuant to any Transaction Document, shall prove to have been false or incorrect in any material respect when made, deemed made or delivered, and such failure continues unremedied for more than 30 days after the earlier of</w:t>
      </w:r>
    </w:p>
    <w:p>
      <w:pPr>
        <w:spacing w:after="0" w:line="2" w:lineRule="exact"/>
        <w:rPr>
          <w:rFonts w:ascii="Arial" w:cs="Arial" w:eastAsia="Arial" w:hAnsi="Arial"/>
          <w:sz w:val="19"/>
          <w:szCs w:val="19"/>
          <w:color w:val="auto"/>
        </w:rPr>
      </w:pPr>
    </w:p>
    <w:p>
      <w:pPr>
        <w:ind w:firstLine="8"/>
        <w:spacing w:after="0" w:line="246" w:lineRule="auto"/>
        <w:tabs>
          <w:tab w:leader="none" w:pos="31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date on which the Borrower or Credit Acceptance discovers such breach or (y) the date on which the Borrower or Credit Acceptance receives written notice of such breach; or</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1"/>
          <w:numId w:val="118"/>
        </w:numPr>
        <w:rPr>
          <w:rFonts w:ascii="Arial" w:cs="Arial" w:eastAsia="Arial" w:hAnsi="Arial"/>
          <w:sz w:val="21"/>
          <w:szCs w:val="21"/>
          <w:color w:val="auto"/>
        </w:rPr>
      </w:pPr>
      <w:r>
        <w:rPr>
          <w:rFonts w:ascii="Arial" w:cs="Arial" w:eastAsia="Arial" w:hAnsi="Arial"/>
          <w:sz w:val="21"/>
          <w:szCs w:val="21"/>
          <w:color w:val="auto"/>
        </w:rPr>
        <w:t>the occurrence of an Insolvency Event relating to the Originator, the Borrower or the Servicer; or</w:t>
      </w:r>
    </w:p>
    <w:p>
      <w:pPr>
        <w:spacing w:after="0" w:line="231" w:lineRule="exact"/>
        <w:rPr>
          <w:rFonts w:ascii="Arial" w:cs="Arial" w:eastAsia="Arial" w:hAnsi="Arial"/>
          <w:sz w:val="21"/>
          <w:szCs w:val="21"/>
          <w:color w:val="auto"/>
        </w:rPr>
      </w:pPr>
    </w:p>
    <w:p>
      <w:pPr>
        <w:ind w:right="20" w:firstLine="1304"/>
        <w:spacing w:after="0" w:line="263" w:lineRule="auto"/>
        <w:tabs>
          <w:tab w:leader="none" w:pos="193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Borrower shall become an “investment company” or require registration as an “investment company” within the meaning of the Investment Company Act; or</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 regulatory, tax or accounting body has ordered that the activities of the Borrower or any Affiliate of the Borrower contemplated hereby be terminated or may reasonably be expected to cause the Borrower or any Affiliate to suffer materially adverse regulatory, accounting or tax consequences; or</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there shall exist any event or occurrence that has a reasonable possibility of causing a Material Adverse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 or</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93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Borrower, the Servicer or Credit Acceptance shall enter into any merger, consolidation or conveyance transaction, unless in the case of Credit Acceptance or the Servicer, the Servicer or Credit Acceptance, as applicable, is the surviving entity; or</w:t>
      </w:r>
    </w:p>
    <w:p>
      <w:pPr>
        <w:spacing w:after="0" w:line="185" w:lineRule="exact"/>
        <w:rPr>
          <w:rFonts w:ascii="Arial" w:cs="Arial" w:eastAsia="Arial" w:hAnsi="Arial"/>
          <w:sz w:val="22"/>
          <w:szCs w:val="22"/>
          <w:color w:val="auto"/>
        </w:rPr>
      </w:pPr>
    </w:p>
    <w:p>
      <w:pPr>
        <w:jc w:val="both"/>
        <w:ind w:firstLine="1304"/>
        <w:spacing w:after="0" w:line="248" w:lineRule="auto"/>
        <w:tabs>
          <w:tab w:leader="none" w:pos="193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 xml:space="preserve">the Collateral Agent ceases to have a valid and perfected first priority security interest in a material portion of the Collateral and such failure has not been remedied within ten (10) Business Days;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portion of the Collateral in which the Collateral Agent does not have a valid and perfected first priority security interest will be material if the outstanding balance of the related Contracts exceeds 3% of the Aggregate Outstanding Eligible Loan Balance of all Eligible Contracts; or</w:t>
      </w:r>
    </w:p>
    <w:p>
      <w:pPr>
        <w:spacing w:after="0" w:line="191" w:lineRule="exact"/>
        <w:rPr>
          <w:rFonts w:ascii="Arial" w:cs="Arial" w:eastAsia="Arial" w:hAnsi="Arial"/>
          <w:sz w:val="22"/>
          <w:szCs w:val="22"/>
          <w:color w:val="auto"/>
        </w:rPr>
      </w:pPr>
    </w:p>
    <w:p>
      <w:pPr>
        <w:ind w:left="1940" w:hanging="636"/>
        <w:spacing w:after="0"/>
        <w:tabs>
          <w:tab w:leader="none" w:pos="194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any Change-in-Control shall occur; or</w:t>
      </w:r>
    </w:p>
    <w:p>
      <w:pPr>
        <w:spacing w:after="0" w:line="219" w:lineRule="exact"/>
        <w:rPr>
          <w:rFonts w:ascii="Arial" w:cs="Arial" w:eastAsia="Arial" w:hAnsi="Arial"/>
          <w:sz w:val="22"/>
          <w:szCs w:val="22"/>
          <w:color w:val="auto"/>
        </w:rPr>
      </w:pPr>
    </w:p>
    <w:p>
      <w:pPr>
        <w:ind w:firstLine="1304"/>
        <w:spacing w:after="0" w:line="263" w:lineRule="auto"/>
        <w:tabs>
          <w:tab w:leader="none" w:pos="1939" w:val="left"/>
        </w:tabs>
        <w:numPr>
          <w:ilvl w:val="1"/>
          <w:numId w:val="118"/>
        </w:numPr>
        <w:rPr>
          <w:rFonts w:ascii="Arial" w:cs="Arial" w:eastAsia="Arial" w:hAnsi="Arial"/>
          <w:sz w:val="22"/>
          <w:szCs w:val="22"/>
          <w:color w:val="auto"/>
        </w:rPr>
      </w:pPr>
      <w:r>
        <w:rPr>
          <w:rFonts w:ascii="Arial" w:cs="Arial" w:eastAsia="Arial" w:hAnsi="Arial"/>
          <w:sz w:val="22"/>
          <w:szCs w:val="22"/>
          <w:color w:val="auto"/>
        </w:rPr>
        <w:t>cumulative Collections are less than 65% of Credit Acceptance's cumulative Forecasted Collections for any three consecutive Collection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8" w:name="page99"/>
    <w:bookmarkEnd w:id="98"/>
    <w:p>
      <w:pPr>
        <w:ind w:left="660"/>
        <w:spacing w:after="0"/>
        <w:tabs>
          <w:tab w:leader="none" w:pos="19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0" w:lineRule="exact"/>
        <w:rPr>
          <w:sz w:val="20"/>
          <w:szCs w:val="20"/>
          <w:color w:val="auto"/>
        </w:rPr>
      </w:pPr>
    </w:p>
    <w:p>
      <w:pPr>
        <w:jc w:val="both"/>
        <w:ind w:firstLine="1304"/>
        <w:spacing w:after="0" w:line="253" w:lineRule="auto"/>
        <w:tabs>
          <w:tab w:leader="none" w:pos="1941"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Upon the occurrence of a Termination Event (other than a Termination Event described in </w:t>
      </w:r>
      <w:r>
        <w:rPr>
          <w:rFonts w:ascii="Arial" w:cs="Arial" w:eastAsia="Arial" w:hAnsi="Arial"/>
          <w:sz w:val="22"/>
          <w:szCs w:val="22"/>
          <w:u w:val="single" w:color="auto"/>
          <w:color w:val="auto"/>
        </w:rPr>
        <w:t>Section 10.1(h)</w:t>
      </w:r>
      <w:r>
        <w:rPr>
          <w:rFonts w:ascii="Arial" w:cs="Arial" w:eastAsia="Arial" w:hAnsi="Arial"/>
          <w:sz w:val="22"/>
          <w:szCs w:val="22"/>
          <w:color w:val="auto"/>
        </w:rPr>
        <w:t>), the Deal Agent may, or at the direction of the Required Lenders, shall by notice to the Borrower declare the Termination Date to have occurred.</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Upon the occurrence of a Termination Event described in </w:t>
      </w:r>
      <w:r>
        <w:rPr>
          <w:rFonts w:ascii="Arial" w:cs="Arial" w:eastAsia="Arial" w:hAnsi="Arial"/>
          <w:sz w:val="19"/>
          <w:szCs w:val="19"/>
          <w:u w:val="single" w:color="auto"/>
          <w:color w:val="auto"/>
        </w:rPr>
        <w:t>Section 10.1(h)</w:t>
      </w:r>
      <w:r>
        <w:rPr>
          <w:rFonts w:ascii="Arial" w:cs="Arial" w:eastAsia="Arial" w:hAnsi="Arial"/>
          <w:sz w:val="19"/>
          <w:szCs w:val="19"/>
          <w:color w:val="auto"/>
        </w:rPr>
        <w:t>, the Termination Date shall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automatically occur.</w:t>
      </w:r>
    </w:p>
    <w:p>
      <w:pPr>
        <w:spacing w:after="0" w:line="201" w:lineRule="exact"/>
        <w:rPr>
          <w:rFonts w:ascii="Arial" w:cs="Arial" w:eastAsia="Arial" w:hAnsi="Arial"/>
          <w:sz w:val="19"/>
          <w:szCs w:val="19"/>
          <w:color w:val="auto"/>
        </w:rPr>
      </w:pPr>
    </w:p>
    <w:p>
      <w:pPr>
        <w:jc w:val="both"/>
        <w:ind w:firstLine="1304"/>
        <w:spacing w:after="0" w:line="294" w:lineRule="auto"/>
        <w:tabs>
          <w:tab w:leader="none" w:pos="1941"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Upon any Termination Date that occurs following a Termination Event pursuant to this </w:t>
      </w:r>
      <w:r>
        <w:rPr>
          <w:rFonts w:ascii="Arial" w:cs="Arial" w:eastAsia="Arial" w:hAnsi="Arial"/>
          <w:sz w:val="19"/>
          <w:szCs w:val="19"/>
          <w:u w:val="single" w:color="auto"/>
          <w:color w:val="auto"/>
        </w:rPr>
        <w:t>Section 10.2</w:t>
      </w:r>
      <w:r>
        <w:rPr>
          <w:rFonts w:ascii="Arial" w:cs="Arial" w:eastAsia="Arial" w:hAnsi="Arial"/>
          <w:sz w:val="19"/>
          <w:szCs w:val="19"/>
          <w:color w:val="auto"/>
        </w:rPr>
        <w:t>: (i) the Deal Agent may, and shall at the direction of the Required Lenders by delivery of a Servicer Termination Notice, terminate the Servicer; and (ii) the Deal Agent, may, and at the direction of the Required Lenders, shall declare the entire outstanding amount of Capital immediately due and payable. The Deal Agent, the Collateral Agent and the Secured Parties shall have, in addition to all other rights and remedies under this Agreement or otherwise, all other rights and remedies provided of a secured party under the UCC of each applicable jurisdiction and other applicable laws, which rights shall be cumulative.</w:t>
      </w:r>
    </w:p>
    <w:p>
      <w:pPr>
        <w:spacing w:after="0" w:line="149" w:lineRule="exact"/>
        <w:rPr>
          <w:rFonts w:ascii="Arial" w:cs="Arial" w:eastAsia="Arial" w:hAnsi="Arial"/>
          <w:sz w:val="19"/>
          <w:szCs w:val="19"/>
          <w:color w:val="auto"/>
        </w:rPr>
      </w:pPr>
    </w:p>
    <w:p>
      <w:pPr>
        <w:jc w:val="both"/>
        <w:ind w:firstLine="1304"/>
        <w:spacing w:after="0" w:line="265" w:lineRule="auto"/>
        <w:tabs>
          <w:tab w:leader="none" w:pos="1939" w:val="left"/>
        </w:tabs>
        <w:numPr>
          <w:ilvl w:val="0"/>
          <w:numId w:val="119"/>
        </w:numPr>
        <w:rPr>
          <w:rFonts w:ascii="Arial" w:cs="Arial" w:eastAsia="Arial" w:hAnsi="Arial"/>
          <w:sz w:val="21"/>
          <w:szCs w:val="21"/>
          <w:color w:val="auto"/>
        </w:rPr>
      </w:pPr>
      <w:r>
        <w:rPr>
          <w:rFonts w:ascii="Arial" w:cs="Arial" w:eastAsia="Arial" w:hAnsi="Arial"/>
          <w:sz w:val="21"/>
          <w:szCs w:val="21"/>
          <w:color w:val="auto"/>
        </w:rPr>
        <w:t xml:space="preserve">If the outstanding Capital has been declared due and payable pursuant to </w:t>
      </w:r>
      <w:r>
        <w:rPr>
          <w:rFonts w:ascii="Arial" w:cs="Arial" w:eastAsia="Arial" w:hAnsi="Arial"/>
          <w:sz w:val="21"/>
          <w:szCs w:val="21"/>
          <w:u w:val="single" w:color="auto"/>
          <w:color w:val="auto"/>
        </w:rPr>
        <w:t>Section 10.2(c)</w:t>
      </w:r>
      <w:r>
        <w:rPr>
          <w:rFonts w:ascii="Arial" w:cs="Arial" w:eastAsia="Arial" w:hAnsi="Arial"/>
          <w:sz w:val="21"/>
          <w:szCs w:val="21"/>
          <w:color w:val="auto"/>
        </w:rPr>
        <w:t>, the Deal Agent or the Collateral Agent (acting at the written direction of the Deal Agent) may institute proceedings to collect amounts due, exercise remedies as a secured party (including foreclosure or sale of the Collateral) or elect to maintain the Collateral and continue to apply the proceeds from the Collateral as if there had been no declaration of acceleration.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w:t>
      </w:r>
    </w:p>
    <w:p>
      <w:pPr>
        <w:spacing w:after="0" w:line="2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Indemnities by the Borrower</w:t>
      </w:r>
      <w:r>
        <w:rPr>
          <w:rFonts w:ascii="Arial" w:cs="Arial" w:eastAsia="Arial" w:hAnsi="Arial"/>
          <w:sz w:val="19"/>
          <w:szCs w:val="19"/>
          <w:color w:val="auto"/>
        </w:rPr>
        <w:t>.</w:t>
      </w:r>
    </w:p>
    <w:p>
      <w:pPr>
        <w:spacing w:after="0" w:line="202" w:lineRule="exact"/>
        <w:rPr>
          <w:sz w:val="20"/>
          <w:szCs w:val="20"/>
          <w:color w:val="auto"/>
        </w:rPr>
      </w:pPr>
    </w:p>
    <w:p>
      <w:pPr>
        <w:jc w:val="both"/>
        <w:ind w:firstLine="1304"/>
        <w:spacing w:after="0" w:line="287" w:lineRule="auto"/>
        <w:tabs>
          <w:tab w:leader="none" w:pos="194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Without limiting any other rights that any such Person may have hereunder or under Applicable Law, the Borrower hereby agrees to indemnify the Deal Agent, the Backup Servicer, the Collateral Agent, the Successor Servicer, the Secured Parties, and each of their respective Affiliates and officers, directors, employees and agents thereof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forthwith on demand, from and against any and all damages, losses, claims, liabilities and related costs and expenses (including reasonable and documented attorneys' fees and disbursements and court costs) including those incurred in connection with any enforcement (including any action, claim or suit brought) by an Indemnified Party of any indemnification or other obligation of the Borrower or any other Person (all of the foregoing being collectively referred to as the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Amounts</w:t>
      </w:r>
      <w:r>
        <w:rPr>
          <w:rFonts w:ascii="Arial" w:cs="Arial" w:eastAsia="Arial" w:hAnsi="Arial"/>
          <w:sz w:val="19"/>
          <w:szCs w:val="19"/>
          <w:color w:val="auto"/>
        </w:rPr>
        <w:t xml:space="preserve">”) awarded against or incurred by such Indemnified Party or other non-monetary damages of any such Indemnified Party, any of them arising out of or as a result of this Agreement or the financing or maintenance of the Capital or in respect of any Loan or any Contract,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(a) Indemnified Amounts to the extent resulting from gross negligence or willful misconduct on the part of such Indemnified Party, as determined by a court of competent jurisdiction, or (b) Indemnified Amounts that have the effect of recourse for non-payment of the Loans due to credit problems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99" w:name="page100"/>
    <w:bookmarkEnd w:id="99"/>
    <w:p>
      <w:pPr>
        <w:jc w:val="both"/>
        <w:spacing w:after="0" w:line="259" w:lineRule="auto"/>
        <w:rPr>
          <w:sz w:val="20"/>
          <w:szCs w:val="20"/>
          <w:color w:val="auto"/>
        </w:rPr>
      </w:pPr>
      <w:r>
        <w:rPr>
          <w:rFonts w:ascii="Arial" w:cs="Arial" w:eastAsia="Arial" w:hAnsi="Arial"/>
          <w:sz w:val="21"/>
          <w:szCs w:val="21"/>
          <w:color w:val="auto"/>
        </w:rPr>
        <w:t xml:space="preserve">the Obligors (except as otherwise specifically provided in this Agreement). The indemnification provided for in this Section shall be paid to the Indemnified Parties until such time as such court enters a judgment as to the extent and effect of the alleged gross negligence or willful misconduct, at which time the Indemnified Parties, as applicable, shall, to the extent required pursuant to such court's determination, promptly return to the Borrower any such indemnification amounts so received but not owed as determined by such court. If the Borrower has made any indemnity payment pursuant to this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and such payment fully indemnified the recipient thereof and the recipient thereafter collects any payments from others in respect of such Indemnified Amounts then, the recipient shall repay to the Borrower an amount equal to the amount it has collected from others in respect of such Indemnified Amounts. Without limiting the foregoing, the Borrower shall indemnify each Indemnified Party for Indemnified Amounts relating to or resulting from:</w:t>
      </w:r>
    </w:p>
    <w:p>
      <w:pPr>
        <w:spacing w:after="0" w:line="179" w:lineRule="exact"/>
        <w:rPr>
          <w:sz w:val="20"/>
          <w:szCs w:val="20"/>
          <w:color w:val="auto"/>
        </w:rPr>
      </w:pPr>
    </w:p>
    <w:p>
      <w:pPr>
        <w:ind w:left="660" w:firstLine="1034"/>
        <w:spacing w:after="0" w:line="287" w:lineRule="auto"/>
        <w:tabs>
          <w:tab w:leader="none" w:pos="2001"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any Contract or Loan treated as or represented by Credit Acceptance to be an Eligible Dealer Loan Contract or Eligible Loan that is not at the applicable time an Eligible Dealer Loan Contract or Eligible Loan;</w:t>
      </w:r>
    </w:p>
    <w:p>
      <w:pPr>
        <w:spacing w:after="0" w:line="151" w:lineRule="exact"/>
        <w:rPr>
          <w:rFonts w:ascii="Arial" w:cs="Arial" w:eastAsia="Arial" w:hAnsi="Arial"/>
          <w:sz w:val="21"/>
          <w:szCs w:val="21"/>
          <w:color w:val="auto"/>
        </w:rPr>
      </w:pPr>
    </w:p>
    <w:p>
      <w:pPr>
        <w:jc w:val="both"/>
        <w:ind w:left="660" w:firstLine="974"/>
        <w:spacing w:after="0" w:line="253" w:lineRule="auto"/>
        <w:tabs>
          <w:tab w:leader="none" w:pos="197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reliance on any representation or warranty made or deemed made by the Borrower or any of its officers under or in connection with this Agreement, which shall have been false or incorrect in any material respect when made or deemed made or delivered;</w:t>
      </w:r>
    </w:p>
    <w:p>
      <w:pPr>
        <w:spacing w:after="0" w:line="185" w:lineRule="exact"/>
        <w:rPr>
          <w:rFonts w:ascii="Arial" w:cs="Arial" w:eastAsia="Arial" w:hAnsi="Arial"/>
          <w:sz w:val="22"/>
          <w:szCs w:val="22"/>
          <w:color w:val="auto"/>
        </w:rPr>
      </w:pPr>
    </w:p>
    <w:p>
      <w:pPr>
        <w:jc w:val="both"/>
        <w:ind w:left="660" w:firstLine="914"/>
        <w:spacing w:after="0" w:line="250" w:lineRule="auto"/>
        <w:tabs>
          <w:tab w:leader="none" w:pos="195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failure by the Borrower to comply with any term, provision or covenant contained in this Agreement or any agreement executed in connection with this Agreement, or with any Applicable Law, with respect to any Loan, Dealer Agreement, Purchase Agreement, any Contract, or the nonconformity of any Loan, Dealer Agreement, Purchase Agreement or Contract with any such Applicable Law;</w:t>
      </w:r>
    </w:p>
    <w:p>
      <w:pPr>
        <w:spacing w:after="0" w:line="187" w:lineRule="exact"/>
        <w:rPr>
          <w:rFonts w:ascii="Arial" w:cs="Arial" w:eastAsia="Arial" w:hAnsi="Arial"/>
          <w:sz w:val="22"/>
          <w:szCs w:val="22"/>
          <w:color w:val="auto"/>
        </w:rPr>
      </w:pPr>
    </w:p>
    <w:p>
      <w:pPr>
        <w:jc w:val="both"/>
        <w:ind w:left="660" w:firstLine="926"/>
        <w:spacing w:after="0" w:line="253" w:lineRule="auto"/>
        <w:tabs>
          <w:tab w:leader="none" w:pos="199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failure to vest and maintain vested in the Collateral Agent for the Secured Parties a first priority perfected security interest in the Collateral, together with all Collections, free and clear of any Lien whether existing at the time of any pledge of Loans or at any time thereafter;</w:t>
      </w:r>
    </w:p>
    <w:p>
      <w:pPr>
        <w:spacing w:after="0" w:line="185" w:lineRule="exact"/>
        <w:rPr>
          <w:rFonts w:ascii="Arial" w:cs="Arial" w:eastAsia="Arial" w:hAnsi="Arial"/>
          <w:sz w:val="22"/>
          <w:szCs w:val="22"/>
          <w:color w:val="auto"/>
        </w:rPr>
      </w:pPr>
    </w:p>
    <w:p>
      <w:pPr>
        <w:jc w:val="both"/>
        <w:ind w:left="660" w:firstLine="986"/>
        <w:spacing w:after="0" w:line="253" w:lineRule="auto"/>
        <w:tabs>
          <w:tab w:leader="none" w:pos="197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failure to file, or any delay in filing, financing statements or other similar instruments or documents under the UCC of any applicable jurisdiction or other Applicable Laws with respect to the Collateral, whether at the time of any pledge of Loans or at any subsequent time;</w:t>
      </w:r>
    </w:p>
    <w:p>
      <w:pPr>
        <w:spacing w:after="0" w:line="185" w:lineRule="exact"/>
        <w:rPr>
          <w:rFonts w:ascii="Arial" w:cs="Arial" w:eastAsia="Arial" w:hAnsi="Arial"/>
          <w:sz w:val="22"/>
          <w:szCs w:val="22"/>
          <w:color w:val="auto"/>
        </w:rPr>
      </w:pPr>
    </w:p>
    <w:p>
      <w:pPr>
        <w:jc w:val="both"/>
        <w:ind w:left="660" w:firstLine="926"/>
        <w:spacing w:after="0" w:line="312" w:lineRule="auto"/>
        <w:tabs>
          <w:tab w:leader="none" w:pos="196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any dispute, claim, offset or defense (other than the discharge in bankruptcy of the Obligor) of the Obligor to the payment of any Loan or Contract (including, without limitation, a defense based on such Loan or Contract not being a legal, valid and binding obligation of such Obligor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0" w:name="page101"/>
    <w:bookmarkEnd w:id="100"/>
    <w:p>
      <w:pPr>
        <w:spacing w:after="0" w:line="204" w:lineRule="exact"/>
        <w:rPr>
          <w:sz w:val="20"/>
          <w:szCs w:val="20"/>
          <w:color w:val="auto"/>
        </w:rPr>
      </w:pPr>
    </w:p>
    <w:p>
      <w:pPr>
        <w:ind w:left="660" w:firstLine="866"/>
        <w:spacing w:after="0" w:line="263" w:lineRule="auto"/>
        <w:tabs>
          <w:tab w:leader="none" w:pos="1973"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any failure of the Borrower to perform its duties or obligations in accordance with the provisions of this Agreement or any failure by the Borrower to perform its respective duties under the Loans;</w:t>
      </w:r>
    </w:p>
    <w:p>
      <w:pPr>
        <w:spacing w:after="0" w:line="174" w:lineRule="exact"/>
        <w:rPr>
          <w:rFonts w:ascii="Arial" w:cs="Arial" w:eastAsia="Arial" w:hAnsi="Arial"/>
          <w:sz w:val="22"/>
          <w:szCs w:val="22"/>
          <w:color w:val="auto"/>
        </w:rPr>
      </w:pPr>
    </w:p>
    <w:p>
      <w:pPr>
        <w:ind w:left="660" w:firstLine="806"/>
        <w:spacing w:after="0" w:line="263" w:lineRule="auto"/>
        <w:tabs>
          <w:tab w:leader="none" w:pos="1978"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failure by Borrower to pay when due any Taxes for which the Borrower is liable, including without limitation, sales, excise or personal property taxes payable in connection with the Collateral;</w:t>
      </w:r>
    </w:p>
    <w:p>
      <w:pPr>
        <w:spacing w:after="0" w:line="174" w:lineRule="exact"/>
        <w:rPr>
          <w:rFonts w:ascii="Arial" w:cs="Arial" w:eastAsia="Arial" w:hAnsi="Arial"/>
          <w:sz w:val="22"/>
          <w:szCs w:val="22"/>
          <w:color w:val="auto"/>
        </w:rPr>
      </w:pPr>
    </w:p>
    <w:p>
      <w:pPr>
        <w:jc w:val="both"/>
        <w:ind w:left="660" w:firstLine="926"/>
        <w:spacing w:after="0" w:line="312" w:lineRule="auto"/>
        <w:tabs>
          <w:tab w:leader="none" w:pos="1966"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any repayment by the Deal Agent, any Lender or a Secured Party of any amount previously distributed in reduction of Capital or payment of Interest or Yield or any other amount due hereunder or under any Hedging Agreement, in each case which amount the Deal Agent or a Secured Party believes in good faith is required to be repaid;</w:t>
      </w:r>
    </w:p>
    <w:p>
      <w:pPr>
        <w:spacing w:after="0" w:line="133" w:lineRule="exact"/>
        <w:rPr>
          <w:rFonts w:ascii="Arial" w:cs="Arial" w:eastAsia="Arial" w:hAnsi="Arial"/>
          <w:sz w:val="19"/>
          <w:szCs w:val="19"/>
          <w:color w:val="auto"/>
        </w:rPr>
      </w:pPr>
    </w:p>
    <w:p>
      <w:pPr>
        <w:ind w:left="1960" w:hanging="314"/>
        <w:spacing w:after="0"/>
        <w:tabs>
          <w:tab w:leader="none" w:pos="196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commingling of Collections of the Collateral at any time with other funds;</w:t>
      </w:r>
    </w:p>
    <w:p>
      <w:pPr>
        <w:spacing w:after="0" w:line="219" w:lineRule="exact"/>
        <w:rPr>
          <w:rFonts w:ascii="Arial" w:cs="Arial" w:eastAsia="Arial" w:hAnsi="Arial"/>
          <w:sz w:val="22"/>
          <w:szCs w:val="22"/>
          <w:color w:val="auto"/>
        </w:rPr>
      </w:pPr>
    </w:p>
    <w:p>
      <w:pPr>
        <w:ind w:left="660" w:firstLine="926"/>
        <w:spacing w:after="0" w:line="263" w:lineRule="auto"/>
        <w:tabs>
          <w:tab w:leader="none" w:pos="197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any investigation, litigation or proceeding related to this Agreement or the use of proceeds of the loan to the Borrower or the funding of or maintenance of Capital or in respect of any Loan or Contract;</w:t>
      </w:r>
    </w:p>
    <w:p>
      <w:pPr>
        <w:spacing w:after="0" w:line="174" w:lineRule="exact"/>
        <w:rPr>
          <w:rFonts w:ascii="Arial" w:cs="Arial" w:eastAsia="Arial" w:hAnsi="Arial"/>
          <w:sz w:val="22"/>
          <w:szCs w:val="22"/>
          <w:color w:val="auto"/>
        </w:rPr>
      </w:pPr>
    </w:p>
    <w:p>
      <w:pPr>
        <w:jc w:val="both"/>
        <w:ind w:left="660" w:firstLine="866"/>
        <w:spacing w:after="0" w:line="265" w:lineRule="auto"/>
        <w:tabs>
          <w:tab w:leader="none" w:pos="1969" w:val="left"/>
        </w:tabs>
        <w:numPr>
          <w:ilvl w:val="1"/>
          <w:numId w:val="122"/>
        </w:numPr>
        <w:rPr>
          <w:rFonts w:ascii="Arial" w:cs="Arial" w:eastAsia="Arial" w:hAnsi="Arial"/>
          <w:sz w:val="21"/>
          <w:szCs w:val="21"/>
          <w:color w:val="auto"/>
        </w:rPr>
      </w:pPr>
      <w:r>
        <w:rPr>
          <w:rFonts w:ascii="Arial" w:cs="Arial" w:eastAsia="Arial" w:hAnsi="Arial"/>
          <w:sz w:val="21"/>
          <w:szCs w:val="21"/>
          <w:color w:val="auto"/>
        </w:rPr>
        <w:t>any failure by the Borrower to give reasonably equivalent value to the Originator in consideration for the transfer by the Originator to the Borrower of the Loans, Related Security or any portion thereof or any attempt by any Person to void or otherwise avoid any such transfer under any statutory provision or common law or equitable action, including, without limitation, any provision of the Bankruptcy Code;</w:t>
      </w:r>
    </w:p>
    <w:p>
      <w:pPr>
        <w:spacing w:after="0" w:line="175" w:lineRule="exact"/>
        <w:rPr>
          <w:rFonts w:ascii="Arial" w:cs="Arial" w:eastAsia="Arial" w:hAnsi="Arial"/>
          <w:sz w:val="21"/>
          <w:szCs w:val="21"/>
          <w:color w:val="auto"/>
        </w:rPr>
      </w:pPr>
    </w:p>
    <w:p>
      <w:pPr>
        <w:ind w:left="660" w:right="20" w:firstLine="806"/>
        <w:spacing w:after="0" w:line="263" w:lineRule="auto"/>
        <w:tabs>
          <w:tab w:leader="none" w:pos="1967"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use of the Proceeds of the loan to the Borrower in a manner other than as provided in this Agreement and the Contribution Agreement; or</w:t>
      </w:r>
    </w:p>
    <w:p>
      <w:pPr>
        <w:spacing w:after="0" w:line="174" w:lineRule="exact"/>
        <w:rPr>
          <w:rFonts w:ascii="Arial" w:cs="Arial" w:eastAsia="Arial" w:hAnsi="Arial"/>
          <w:sz w:val="22"/>
          <w:szCs w:val="22"/>
          <w:color w:val="auto"/>
        </w:rPr>
      </w:pPr>
    </w:p>
    <w:p>
      <w:pPr>
        <w:jc w:val="both"/>
        <w:ind w:left="660" w:firstLine="818"/>
        <w:spacing w:after="0" w:line="253" w:lineRule="auto"/>
        <w:tabs>
          <w:tab w:leader="none" w:pos="1965"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the failure of the Borrower or any of its agents or representatives to remit to the Servicer, the Deal Agent, the Collateral Agent or any other Secured Party, any Collections of the Collateral remitted to the Borrower or any such agent or representative.</w:t>
      </w:r>
    </w:p>
    <w:p>
      <w:pPr>
        <w:spacing w:after="0" w:line="185" w:lineRule="exact"/>
        <w:rPr>
          <w:rFonts w:ascii="Arial" w:cs="Arial" w:eastAsia="Arial" w:hAnsi="Arial"/>
          <w:sz w:val="22"/>
          <w:szCs w:val="22"/>
          <w:color w:val="auto"/>
        </w:rPr>
      </w:pPr>
    </w:p>
    <w:p>
      <w:pPr>
        <w:ind w:firstLine="1304"/>
        <w:spacing w:after="0" w:line="263" w:lineRule="auto"/>
        <w:tabs>
          <w:tab w:leader="none" w:pos="1939"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Any amounts subject to the indemnification provisions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be paid by the Borrower to the relevant Indemnified Party on the next Payment Date pursuant to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The obligations of the Borrower under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survive the resignation or removal of the Deal Agent, the Collateral Agent, the Successor Servicer, any Lender or the Backup Servicer or the termination or assignment of this Agreement.</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11.2</w:t>
      </w:r>
      <w:r>
        <w:rPr>
          <w:sz w:val="20"/>
          <w:szCs w:val="20"/>
          <w:color w:val="auto"/>
        </w:rPr>
        <w:tab/>
      </w:r>
      <w:r>
        <w:rPr>
          <w:rFonts w:ascii="Arial" w:cs="Arial" w:eastAsia="Arial" w:hAnsi="Arial"/>
          <w:sz w:val="19"/>
          <w:szCs w:val="19"/>
          <w:u w:val="single" w:color="auto"/>
          <w:color w:val="auto"/>
        </w:rPr>
        <w:t>Indemnities by the Servicer</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Without limiting any other rights that any such Person may have hereunder or under Applicable Law, the Servicer hereby agrees to indemnify each Indemnified Party, forthwith on demand, from and against any and all Indemnified Amounts awarded against or incurred by any such Indemnified Party by reason of any acts, omissions or alleged acts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59" w:lineRule="auto"/>
        <w:rPr>
          <w:sz w:val="20"/>
          <w:szCs w:val="20"/>
          <w:color w:val="auto"/>
        </w:rPr>
      </w:pPr>
      <w:r>
        <w:rPr>
          <w:rFonts w:ascii="Arial" w:cs="Arial" w:eastAsia="Arial" w:hAnsi="Arial"/>
          <w:sz w:val="21"/>
          <w:szCs w:val="21"/>
          <w:color w:val="auto"/>
        </w:rPr>
        <w:t>omissions of the Servicer, including, but not limited to: (i) any representation or warranty made by the Servicer under or in connection with any Transaction Document, any Monthly Report or any other information or report delivered by or on behalf of the Servicer pursuant hereto, which shall have been false, incorrect or misleading in any material respect when made or deemed made; (ii) the failure by the Servicer to comply with any Applicable Law; (iii) the failure of the Servicer to comply with its duties or obligations in accordance with this Agreement or any other Transaction Document to which it is a party; (iv) any litigation, proceedings or investigation against the Servicer; (v) the commingling of Collections at any time with other funds; or (vi) the failure of the Servicer or any of its agents or representatives to remit to the Collection Account, Deal Agent or Collateral Agent any Collections or Proceeds of the Collateral. The provisions of this indemnity shall run directly to and be enforceable by an Indemnified Party subject to the limitations hereof.</w:t>
      </w:r>
    </w:p>
    <w:p>
      <w:pPr>
        <w:spacing w:after="0" w:line="179" w:lineRule="exact"/>
        <w:rPr>
          <w:sz w:val="20"/>
          <w:szCs w:val="20"/>
          <w:color w:val="auto"/>
        </w:rPr>
      </w:pPr>
    </w:p>
    <w:p>
      <w:pPr>
        <w:ind w:left="1940" w:hanging="636"/>
        <w:spacing w:after="0"/>
        <w:tabs>
          <w:tab w:leader="none" w:pos="19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Any amounts subject to the indemnification provisions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not be payable from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Collateral.</w:t>
      </w:r>
    </w:p>
    <w:p>
      <w:pPr>
        <w:spacing w:after="0" w:line="202" w:lineRule="exact"/>
        <w:rPr>
          <w:sz w:val="20"/>
          <w:szCs w:val="20"/>
          <w:color w:val="auto"/>
        </w:rPr>
      </w:pPr>
    </w:p>
    <w:p>
      <w:pPr>
        <w:ind w:firstLine="1304"/>
        <w:spacing w:after="0" w:line="263" w:lineRule="auto"/>
        <w:tabs>
          <w:tab w:leader="none" w:pos="194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Servicer shall have no liability for making indemnification hereunder to the extent any such indemnification constitutes recourse for uncollectible Contracts.</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The obligations of the Servicer under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shall survive the resignation or removal of the Servicer, the Deal Agent, the Collateral Agent, the Successor Servicer, any Lender or the Backup Servicer and the termination or assignment of this Agreement.</w:t>
      </w:r>
    </w:p>
    <w:p>
      <w:pPr>
        <w:spacing w:after="0" w:line="185" w:lineRule="exact"/>
        <w:rPr>
          <w:rFonts w:ascii="Arial" w:cs="Arial" w:eastAsia="Arial" w:hAnsi="Arial"/>
          <w:sz w:val="22"/>
          <w:szCs w:val="22"/>
          <w:color w:val="auto"/>
        </w:rPr>
      </w:pPr>
    </w:p>
    <w:p>
      <w:pPr>
        <w:ind w:firstLine="1304"/>
        <w:spacing w:after="0" w:line="263" w:lineRule="auto"/>
        <w:tabs>
          <w:tab w:leader="none" w:pos="194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Any indemnification pursuant to this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to the extent not paid by the Servicer, shall be paid to the relevant Indemnified Party on the next Payment Date pursuant to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After-Tax Basis</w:t>
      </w:r>
      <w:r>
        <w:rPr>
          <w:rFonts w:ascii="Arial" w:cs="Arial" w:eastAsia="Arial" w:hAnsi="Arial"/>
          <w:sz w:val="22"/>
          <w:szCs w:val="22"/>
          <w:color w:val="auto"/>
        </w:rPr>
        <w:t xml:space="preserve">. Indemnification under </w:t>
      </w:r>
      <w:r>
        <w:rPr>
          <w:rFonts w:ascii="Arial" w:cs="Arial" w:eastAsia="Arial" w:hAnsi="Arial"/>
          <w:sz w:val="22"/>
          <w:szCs w:val="22"/>
          <w:u w:val="single" w:color="auto"/>
          <w:color w:val="auto"/>
        </w:rPr>
        <w:t>Sections 11.1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11.2</w:t>
      </w:r>
      <w:r>
        <w:rPr>
          <w:rFonts w:ascii="Arial" w:cs="Arial" w:eastAsia="Arial" w:hAnsi="Arial"/>
          <w:sz w:val="22"/>
          <w:szCs w:val="22"/>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188"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ARTICLE XII</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THE DEAL AGENT AND THE COLLATERAL AGENT</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Authorization and Action</w:t>
      </w:r>
      <w:r>
        <w:rPr>
          <w:rFonts w:ascii="Arial" w:cs="Arial" w:eastAsia="Arial" w:hAnsi="Arial"/>
          <w:sz w:val="19"/>
          <w:szCs w:val="19"/>
          <w:color w:val="auto"/>
        </w:rPr>
        <w:t>.</w:t>
      </w:r>
    </w:p>
    <w:p>
      <w:pPr>
        <w:spacing w:after="0" w:line="202" w:lineRule="exact"/>
        <w:rPr>
          <w:sz w:val="20"/>
          <w:szCs w:val="20"/>
          <w:color w:val="auto"/>
        </w:rPr>
      </w:pPr>
    </w:p>
    <w:p>
      <w:pPr>
        <w:jc w:val="both"/>
        <w:ind w:firstLine="1304"/>
        <w:spacing w:after="0" w:line="247" w:lineRule="auto"/>
        <w:tabs>
          <w:tab w:leader="none" w:pos="194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Each Secured Party hereby designates and appoints Fifth Third Bank, National Association as Deal Agent hereunder, and authorizes the Deal Agent to take such actions as agent on its behalf and to exercise such powers as are delegated to the Deal Agent by the terms of this Agreement together with such powers as are reasonably incidental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Collateral Agent shall have no liability with respect to such appointment. The Deal Agent shall not have any duties or responsibilities, except those expressly set forth herein, or any fiduciary relationship with any Secured Party, and no implied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2" w:name="page103"/>
    <w:bookmarkEnd w:id="102"/>
    <w:p>
      <w:pPr>
        <w:jc w:val="both"/>
        <w:spacing w:after="0" w:line="294" w:lineRule="auto"/>
        <w:rPr>
          <w:sz w:val="20"/>
          <w:szCs w:val="20"/>
          <w:color w:val="auto"/>
        </w:rPr>
      </w:pPr>
      <w:r>
        <w:rPr>
          <w:rFonts w:ascii="Arial" w:cs="Arial" w:eastAsia="Arial" w:hAnsi="Arial"/>
          <w:sz w:val="19"/>
          <w:szCs w:val="19"/>
          <w:color w:val="auto"/>
        </w:rPr>
        <w:t>covenants, functions, responsibilities, duties, obligations or liabilities on the part of the Deal Agent shall be read into this Agreement or otherwise exist for the Deal Agent. In performing its functions and duties hereunder, the Deal Agent shall act solely as agent for the Secured Parties and does not assume nor shall be deemed to have assumed any obligation or relationship of trust or agency with or for the Borrower or any of its successors or assigns. The Deal Agent shall not be required to take any action that exposes the Deal Agent to personal liability or that is contrary to this Agreement or Applicable Law. The appointment and authority of the Deal Agent hereunder shall terminate upon the indefeasible payment in full of the Aggregate Unpaids.</w:t>
      </w:r>
    </w:p>
    <w:p>
      <w:pPr>
        <w:spacing w:after="0" w:line="149" w:lineRule="exact"/>
        <w:rPr>
          <w:sz w:val="20"/>
          <w:szCs w:val="20"/>
          <w:color w:val="auto"/>
        </w:rPr>
      </w:pPr>
    </w:p>
    <w:p>
      <w:pPr>
        <w:ind w:left="1940" w:hanging="636"/>
        <w:spacing w:after="0"/>
        <w:tabs>
          <w:tab w:leader="none" w:pos="19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87" w:lineRule="auto"/>
        <w:tabs>
          <w:tab w:leader="none" w:pos="193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Each Secured Party (other than the Collateral Agent) hereby designates and appoints Fifth Third as Collateral Agent hereunder, and authorizes the Collateral Agent to take such actions as agent on its behalf and to exercise such powers as are delegated to the Collateral Agent by the terms of this Agreement together with such powers as are reasonably incidental thereto. The Collateral Agent shall not have any duties or responsibilities, except those expressly set forth herein, or any fiduciary relationship with any Secured Party, and no implied covenants, functions, responsibilities, duties, obligations or liabilities on the part of the Collateral Agent shall be read into this Agreement or otherwise exist for the Collateral Agent. In performing its functions and duties hereunder, the Collateral Agent shall act solely as agent for the Secured Parties and does not assume nor shall be deemed to have assumed any obligation or relationship of trust or agency with or for the Borrower or any of its successors or assigns. The Collateral Agent shall not be required to take any action that exposes the Collateral Agent to personal liability or that is contrary to this Agreement or Applicable Law. The appointment and authority of the Collateral Agent hereunder shall terminate upon the indefeasible payment in full of the Aggregate Unpaids.</w:t>
      </w:r>
    </w:p>
    <w:p>
      <w:pPr>
        <w:spacing w:after="0" w:line="16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12.2</w:t>
      </w:r>
      <w:r>
        <w:rPr>
          <w:sz w:val="20"/>
          <w:szCs w:val="20"/>
          <w:color w:val="auto"/>
        </w:rPr>
        <w:tab/>
      </w:r>
      <w:r>
        <w:rPr>
          <w:rFonts w:ascii="Arial" w:cs="Arial" w:eastAsia="Arial" w:hAnsi="Arial"/>
          <w:sz w:val="19"/>
          <w:szCs w:val="19"/>
          <w:u w:val="single" w:color="auto"/>
          <w:color w:val="auto"/>
        </w:rPr>
        <w:t>Delegation of Duties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Deal Agent may execute any of its duties under this Agreement by or through agents or attorneys-in-fact and shall be entitled to advice of counsel concerning all matters pertaining to such duties. The Deal Agent shall not be responsible for the negligence or misconduct of any agents or attorneys-in-fact selected by it with reasonable care.</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312" w:lineRule="auto"/>
        <w:tabs>
          <w:tab w:leader="none" w:pos="194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Collateral Agent may execute any of its duties under this Agreement by or through agents or attorneys-in-fact and shall be entitled to advice of counsel concerning all matters pertaining to such duties. The Collateral Agent shall not be responsible for the negligence or misconduct of any agents or attorneys-in-fact selected by it with reasonable care.</w:t>
      </w:r>
    </w:p>
    <w:p>
      <w:pPr>
        <w:spacing w:after="0" w:line="13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Exculpatory Provisions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1304"/>
        <w:spacing w:after="0" w:line="257" w:lineRule="auto"/>
        <w:tabs>
          <w:tab w:leader="none" w:pos="1941"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Neither the Deal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Deal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w:t>
      </w:r>
      <w:r>
        <w:rPr>
          <w:rFonts w:ascii="Arial" w:cs="Arial" w:eastAsia="Arial" w:hAnsi="Arial"/>
          <w:sz w:val="21"/>
          <w:szCs w:val="21"/>
          <w:u w:val="single" w:color="auto"/>
          <w:color w:val="auto"/>
        </w:rPr>
        <w:t>Article III</w:t>
      </w:r>
      <w:r>
        <w:rPr>
          <w:rFonts w:ascii="Arial" w:cs="Arial" w:eastAsia="Arial" w:hAnsi="Arial"/>
          <w:sz w:val="21"/>
          <w:szCs w:val="21"/>
          <w:color w:val="auto"/>
        </w:rPr>
        <w:t>. The Deal Agent shall not be under any obligation to any Secured Party to ascertain or to inquire as to the observance or performance of any of the agreements or covenants contained in, or conditions of, this Agreement, or to inspect the properties, books or records of the Borrower. The Deal Agent shall not be deemed to have knowledge of any Amortization Event, Unmatured Termination Event, Termination Event or Servicer Termination Event unless the Deal Agent has received notice from the Borrower or a Secured Party.</w:t>
      </w:r>
    </w:p>
    <w:p>
      <w:pPr>
        <w:spacing w:after="0" w:line="188" w:lineRule="exact"/>
        <w:rPr>
          <w:rFonts w:ascii="Arial" w:cs="Arial" w:eastAsia="Arial" w:hAnsi="Arial"/>
          <w:sz w:val="21"/>
          <w:szCs w:val="21"/>
          <w:color w:val="auto"/>
        </w:rPr>
      </w:pPr>
    </w:p>
    <w:p>
      <w:pPr>
        <w:ind w:left="1940" w:hanging="636"/>
        <w:spacing w:after="0"/>
        <w:tabs>
          <w:tab w:leader="none" w:pos="19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85" w:lineRule="auto"/>
        <w:tabs>
          <w:tab w:leader="none" w:pos="194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Neither the Collateral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Collateral Agent, the breach of its obligations expressly set forth in this Agreement resulting from the gross negligence or willful misconduct of the Collateral Agent), or (ii) responsible in any manner to any of the Secured Parties for any recitals, statements, representations or warranties made by the Borrower, the Servicer, the Originator, the Custodian, the Deal Agent, any Lender or any other Person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the acts or omissions of any other party hereto or for any failure of the Borrower, the Servicer, the Originator, the Custodian, the Deal Agent, any Lender or any other Person to perform its obligations hereunder, or for the satisfaction of any condition specified in </w:t>
      </w:r>
      <w:r>
        <w:rPr>
          <w:rFonts w:ascii="Arial" w:cs="Arial" w:eastAsia="Arial" w:hAnsi="Arial"/>
          <w:sz w:val="19"/>
          <w:szCs w:val="19"/>
          <w:u w:val="single" w:color="auto"/>
          <w:color w:val="auto"/>
        </w:rPr>
        <w:t>Article III</w:t>
      </w:r>
      <w:r>
        <w:rPr>
          <w:rFonts w:ascii="Arial" w:cs="Arial" w:eastAsia="Arial" w:hAnsi="Arial"/>
          <w:sz w:val="19"/>
          <w:szCs w:val="19"/>
          <w:color w:val="auto"/>
        </w:rPr>
        <w:t>. The Collateral Agent shall not be under any obligation to any Secured Party to ascertain or to inquire as to the observance or performance of any of the agreements or covenants contained in, or conditions of, this Agreement, or to inspect the properties, books or records of the Servicer, the Originator, the Custodian, the Deal Agent, any Lender or any other Person, and may assume performance absent written notice or actual knowledge of a Responsible Officer to the contrary. The Collateral Agent shall not be deemed to have knowledge of any event, including any Amortization Event, Unmatured Termination Event, Termination Event or Servicer Termination Event, or information (including breaches of representations and warranties), unless a Responsible Officer of the Collateral Agent has received written notice or has actual knowledge thereof from the Borrower or a Secured Party, and shall have no duty to take any action to determine whether such event or information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288" w:lineRule="auto"/>
        <w:rPr>
          <w:sz w:val="20"/>
          <w:szCs w:val="20"/>
          <w:color w:val="auto"/>
        </w:rPr>
      </w:pPr>
      <w:r>
        <w:rPr>
          <w:rFonts w:ascii="Arial" w:cs="Arial" w:eastAsia="Arial" w:hAnsi="Arial"/>
          <w:sz w:val="19"/>
          <w:szCs w:val="19"/>
          <w:color w:val="auto"/>
        </w:rPr>
        <w:t>occurred. For purposes of determining the Collateral Agent's responsibility and liability hereunder (including the sending of any notice), whenever reference is made in this Agreement or any other Transaction Document to any event (including, but not limited to, any Amortization Event, Unmatured Termination Event, Termination Event or Servicer Termination Event) or information, such reference shall be construed to refer only to such event or information of which the Collateral Agent has received written notice or has actual knowledge as described in this Section. Information contained in monthly distribution reports (other than those reports that the Collateral Agent is contractually obligated to review) and other publicly-available information shall not constitute written notice, constructive knowledge or actual knowledge. The Collateral Agent shall not be liable for any action or inaction of the Borrower, the Deal Agent, any Lender or any other party (or agent thereof) to this Agreement or any related document and may assume compliance by such parties with their obligations under this Agreement or any related agreements, unless a Responsible Officer of the Collateral Agent shall have received written notice to the contrary.</w:t>
      </w:r>
    </w:p>
    <w:p>
      <w:pPr>
        <w:spacing w:after="0" w:line="159" w:lineRule="exact"/>
        <w:rPr>
          <w:sz w:val="20"/>
          <w:szCs w:val="20"/>
          <w:color w:val="auto"/>
        </w:rPr>
      </w:pPr>
    </w:p>
    <w:p>
      <w:pPr>
        <w:jc w:val="both"/>
        <w:ind w:firstLine="1304"/>
        <w:spacing w:after="0" w:line="297" w:lineRule="auto"/>
        <w:tabs>
          <w:tab w:leader="none" w:pos="193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Except as to actions expressly required to be taken by the Collateral Agent pursuant to this Agreement or any Transaction Document to which it is a party, before the Collateral Agent acts or refrains from acting, it may require an Officer's Certificate or an Opinion of Counsel (at the expense of the party requesting the Collateral Agent act or refrain from acting). The Collateral Agent shall not be liable for any action it takes or omits to take in good faith in reliance on an Officer's Certificate or Opinion of Counsel unless it is proved that the Collateral Agent was negligent in such reliance.</w:t>
      </w:r>
    </w:p>
    <w:p>
      <w:pPr>
        <w:spacing w:after="0" w:line="146" w:lineRule="exact"/>
        <w:rPr>
          <w:rFonts w:ascii="Arial" w:cs="Arial" w:eastAsia="Arial" w:hAnsi="Arial"/>
          <w:sz w:val="19"/>
          <w:szCs w:val="19"/>
          <w:color w:val="auto"/>
        </w:rPr>
      </w:pPr>
    </w:p>
    <w:p>
      <w:pPr>
        <w:jc w:val="both"/>
        <w:ind w:firstLine="1304"/>
        <w:spacing w:after="0" w:line="253" w:lineRule="auto"/>
        <w:tabs>
          <w:tab w:leader="none" w:pos="194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The Collateral Agent shall not be liable for any error of judgment or action it takes or omits to take in good faith which it believes to be authorized or within its rights or powers;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action or omission by the Collateral Agent does not constitute willful misconduct, negligence or bad faith.</w:t>
      </w:r>
    </w:p>
    <w:p>
      <w:pPr>
        <w:spacing w:after="0" w:line="185" w:lineRule="exact"/>
        <w:rPr>
          <w:rFonts w:ascii="Arial" w:cs="Arial" w:eastAsia="Arial" w:hAnsi="Arial"/>
          <w:sz w:val="22"/>
          <w:szCs w:val="22"/>
          <w:color w:val="auto"/>
        </w:rPr>
      </w:pPr>
    </w:p>
    <w:p>
      <w:pPr>
        <w:jc w:val="both"/>
        <w:ind w:firstLine="1304"/>
        <w:spacing w:after="0" w:line="289" w:lineRule="auto"/>
        <w:tabs>
          <w:tab w:leader="none" w:pos="194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Collateral Agent shall not be bound to make any investigation into the facts or matters stated in any resolution, certificate, statement, instrument, opinion, report, notice, request, direction, consent, order, bond, debenture or other paper or document, and the Collateral Agent shall be deemed not to have any actual or constructive knowledge of the facts or matters that such investigation could potentially reveal, unless such an investigation is requested in writing by Deal Agent. The Collateral Agent shall be entitled to recover the reasonable and documented costs, expenses and losses or liabilities incurred by it in the making of such investigation in accordance with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Collateral Agent reasonably determines that payment within a reasonable time of such costs, expenses and losses or liabilities is not assured to it from such provisions, the Collateral Agent may require indemnity or security reasonably satisfactory to it from the Deal Agent, against such costs, expenses and losses or liabilities as a condition to proceeding with such investigation.</w:t>
      </w:r>
    </w:p>
    <w:p>
      <w:pPr>
        <w:spacing w:after="0" w:line="156"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Collateral Agent shall not be imputed with any knowledge of, or information possessed or obtained by, any custodian, or any affiliate, line of business or other division of Fifth Third and vice versa (in each case other than instances where such roles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performed by the same group or division within Fifth Third or otherwise include common Responsible Officers).</w:t>
      </w:r>
    </w:p>
    <w:p>
      <w:pPr>
        <w:spacing w:after="0" w:line="220" w:lineRule="exact"/>
        <w:rPr>
          <w:sz w:val="20"/>
          <w:szCs w:val="20"/>
          <w:color w:val="auto"/>
        </w:rPr>
      </w:pPr>
    </w:p>
    <w:p>
      <w:pPr>
        <w:jc w:val="both"/>
        <w:ind w:firstLine="1304"/>
        <w:spacing w:after="0" w:line="297" w:lineRule="auto"/>
        <w:tabs>
          <w:tab w:leader="none" w:pos="193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In no event shall the Collateral Agent be liable for any damages in the nature of special, indirect, punitive or consequential losses or damages, however styled, including, without limitation, lost profits, or for any losses due to forces beyond the control of the Collateral Agent, including, without limitation, strikes, work stoppages, acts of war or terrorism, insurrection, revolution, nuclear or natural catastrophes or acts of God and interruptions, loss or malfunctions of utilities, communications or computer (software and hardware) services provided to the Collateral Agent by third parties.</w:t>
      </w:r>
    </w:p>
    <w:p>
      <w:pPr>
        <w:spacing w:after="0" w:line="146" w:lineRule="exact"/>
        <w:rPr>
          <w:rFonts w:ascii="Arial" w:cs="Arial" w:eastAsia="Arial" w:hAnsi="Arial"/>
          <w:sz w:val="19"/>
          <w:szCs w:val="19"/>
          <w:color w:val="auto"/>
        </w:rPr>
      </w:pPr>
    </w:p>
    <w:p>
      <w:pPr>
        <w:ind w:firstLine="1304"/>
        <w:spacing w:after="0" w:line="263" w:lineRule="auto"/>
        <w:tabs>
          <w:tab w:leader="none" w:pos="193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right of the Collateral Agent to perform any permissive or discretionary act enumerated in this Agreement or any related document shall not be construed as a duty.</w:t>
      </w:r>
    </w:p>
    <w:p>
      <w:pPr>
        <w:spacing w:after="0" w:line="174" w:lineRule="exact"/>
        <w:rPr>
          <w:rFonts w:ascii="Arial" w:cs="Arial" w:eastAsia="Arial" w:hAnsi="Arial"/>
          <w:sz w:val="22"/>
          <w:szCs w:val="22"/>
          <w:color w:val="auto"/>
        </w:rPr>
      </w:pPr>
    </w:p>
    <w:p>
      <w:pPr>
        <w:jc w:val="both"/>
        <w:ind w:firstLine="1304"/>
        <w:spacing w:after="0" w:line="259" w:lineRule="auto"/>
        <w:tabs>
          <w:tab w:leader="none" w:pos="1932" w:val="left"/>
        </w:tabs>
        <w:numPr>
          <w:ilvl w:val="0"/>
          <w:numId w:val="132"/>
        </w:numPr>
        <w:rPr>
          <w:rFonts w:ascii="Arial" w:cs="Arial" w:eastAsia="Arial" w:hAnsi="Arial"/>
          <w:sz w:val="21"/>
          <w:szCs w:val="21"/>
          <w:color w:val="auto"/>
        </w:rPr>
      </w:pPr>
      <w:r>
        <w:rPr>
          <w:rFonts w:ascii="Arial" w:cs="Arial" w:eastAsia="Arial" w:hAnsi="Arial"/>
          <w:sz w:val="21"/>
          <w:szCs w:val="21"/>
          <w:color w:val="auto"/>
        </w:rPr>
        <w:t>Neither the Collateral Agent nor any of its officers, directors, employees, attorneys or agents will be responsible or liable for the existence, genuineness, value or protection of any collateral securing the performance by the Borrower of its obligations hereunder, for the legality, enforceability, effectiveness or sufficiency of the Transaction Documents, for the creation, perfection, continuation, priority, sufficiency or protection of any of the liens, or for any defect or deficiency as to any such matters, or for monitoring the status of any lien or performance of the Collateral. The Collateral Agent shall not be responsible or personally liable for recording this Agreement or any other Transaction Document, for preparing or filing any financing or continuation statement or similar filings in any public office at any time or otherwise for perfecting or maintaining the perfection of any ownership or security interest or lien or for preparing or filing any tax (except as required by law), qualification to business or securities law filing or report.</w:t>
      </w:r>
    </w:p>
    <w:p>
      <w:pPr>
        <w:spacing w:after="0" w:line="179" w:lineRule="exact"/>
        <w:rPr>
          <w:rFonts w:ascii="Arial" w:cs="Arial" w:eastAsia="Arial" w:hAnsi="Arial"/>
          <w:sz w:val="21"/>
          <w:szCs w:val="21"/>
          <w:color w:val="auto"/>
        </w:rPr>
      </w:pPr>
    </w:p>
    <w:p>
      <w:pPr>
        <w:jc w:val="both"/>
        <w:ind w:firstLine="1304"/>
        <w:spacing w:after="0" w:line="253" w:lineRule="auto"/>
        <w:tabs>
          <w:tab w:leader="none" w:pos="193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No provision of this Agreement shall require the Collateral Agent to expend or risk its own funds or otherwise incur financial liability in the performance of any of its duties hereunder or in the exercise of any of its rights or powers hereunder.</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65" w:lineRule="auto"/>
        <w:tabs>
          <w:tab w:leader="none" w:pos="1932"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Collateral Agent shall be under no obligation to exercise any of the rights or powers vested in it by the Transaction Documents at the request or direction of the Deal Agent pursuant to the Transaction Documents, unless the Deal Agent shall have offered to the Collateral Agent security or indemnity reasonably satisfactory to it against the costs, expenses and liabilities which might be incurred by it in compliance with such request or direction.</w:t>
      </w:r>
    </w:p>
    <w:p>
      <w:pPr>
        <w:spacing w:after="0" w:line="17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12.4</w:t>
      </w:r>
      <w:r>
        <w:rPr>
          <w:sz w:val="20"/>
          <w:szCs w:val="20"/>
          <w:color w:val="auto"/>
        </w:rPr>
        <w:tab/>
      </w:r>
      <w:r>
        <w:rPr>
          <w:rFonts w:ascii="Arial" w:cs="Arial" w:eastAsia="Arial" w:hAnsi="Arial"/>
          <w:sz w:val="19"/>
          <w:szCs w:val="19"/>
          <w:u w:val="single" w:color="auto"/>
          <w:color w:val="auto"/>
        </w:rPr>
        <w:t>Reliance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312" w:lineRule="auto"/>
        <w:tabs>
          <w:tab w:leader="none" w:pos="1941"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Deal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6" w:name="page107"/>
    <w:bookmarkEnd w:id="106"/>
    <w:p>
      <w:pPr>
        <w:jc w:val="both"/>
        <w:spacing w:after="0" w:line="290" w:lineRule="auto"/>
        <w:rPr>
          <w:sz w:val="20"/>
          <w:szCs w:val="20"/>
          <w:color w:val="auto"/>
        </w:rPr>
      </w:pPr>
      <w:r>
        <w:rPr>
          <w:rFonts w:ascii="Arial" w:cs="Arial" w:eastAsia="Arial" w:hAnsi="Arial"/>
          <w:sz w:val="19"/>
          <w:szCs w:val="19"/>
          <w:color w:val="auto"/>
        </w:rPr>
        <w:t xml:space="preserve">accountants and other experts selected by the Deal Agent. The Deal Agent shall in all cases be fully justified in failing or refusing to take any action under this Agreement or any other document furnished in connection herewith unless it shall first receive such advice or concurrence of the Required Lenders or all of the Secured Parties, as applicable, as it deems appropriate or it shall first be indemnified to its satisfaction by the Secured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Deal Agent shall have received such advice, the Deal Agent may take or refrain from taking any action, as the Deal Agent shall deem advisable and in the best interests of the Secured Parties. The Deal Agent shall in all cases be fully protected in acting, or in refraining from acting, in accordance with a request of the Required Lenders or all of the Secured Parties, as applicable, and such request and any action taken or failure to act pursuant thereto shall be binding upon all the Secured Parties.</w:t>
      </w:r>
    </w:p>
    <w:p>
      <w:pPr>
        <w:spacing w:after="0" w:line="156" w:lineRule="exact"/>
        <w:rPr>
          <w:sz w:val="20"/>
          <w:szCs w:val="20"/>
          <w:color w:val="auto"/>
        </w:rPr>
      </w:pPr>
    </w:p>
    <w:p>
      <w:pPr>
        <w:ind w:left="1940" w:hanging="636"/>
        <w:spacing w:after="0"/>
        <w:tabs>
          <w:tab w:leader="none" w:pos="19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85" w:lineRule="auto"/>
        <w:tabs>
          <w:tab w:leader="none" w:pos="194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The Collateral Agent shall in all cases be entitled to conclusively rely, and shall be fully protected in relying, upon any document, certificate, opinion of counsel, officer's certificate, report or conversation believed by it to be genuine and correct and to have been signed, sent or made by the proper Person or Persons and upon advice and statements and opinions of legal counsel of its choice (including, without limitation, counsel to the Borrower), independent accountants and other experts selected by the Collateral Agent. The Collateral Agent need not investigate or re-calculate, evaluate, verify or independently determine the accuracy of any report, certificate, information, statement, representation or warranty or any fact or matter stated in any such document. The Collateral Agent shall in all cases be fully justified in failing or refusing to take any action under this Agreement or any other document furnished in connection herewith unless it shall first receive such advice or concurrence of the Deal Agent, the Required Lenders or all of the Secured Parties, as applicable, as it deems appropriate or it shall first be indemnified to its satisfaction by the Deal Agent, Required Lenders or Secured Parties,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Collateral Agent shall have received such advice, the Collateral Agent may take or refrain from taking any action, as the Collateral Agent shall deem advisable and in the best interests of the Secured Parties, and shall not be liable for taking of refraining from taking any such action. The Collateral Agent shall in all cases be fully protected in acting, or in refraining from acting, in accordance with a request of the Deal Agent, the Required Lenders or all of the Secured Parties, as applicable, and such request and any action taken or failure to act pursuant thereto shall be binding upon all the Secured Parties. The Collateral Agent may consult with counsel of its choice, and the advice or opinion of such counsel shall be full and complete authorization in respect of any action taken, omitted or suffered by hereunder in good faith and in accordance with the advice or opinion of such counsel.</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12.5 </w:t>
      </w:r>
      <w:r>
        <w:rPr>
          <w:rFonts w:ascii="Arial" w:cs="Arial" w:eastAsia="Arial" w:hAnsi="Arial"/>
          <w:sz w:val="21"/>
          <w:szCs w:val="21"/>
          <w:u w:val="single" w:color="auto"/>
          <w:color w:val="auto"/>
        </w:rPr>
        <w:t>Non-Reliance on Deal Agent, Collateral Agent and Other Lenders</w:t>
      </w:r>
      <w:r>
        <w:rPr>
          <w:rFonts w:ascii="Arial" w:cs="Arial" w:eastAsia="Arial" w:hAnsi="Arial"/>
          <w:sz w:val="21"/>
          <w:szCs w:val="21"/>
          <w:color w:val="auto"/>
        </w:rPr>
        <w:t>. Each Secured Party expressly acknowledges that neither the Deal Agent, the Collateral Agent nor any of their respective officers, directors, employees, agents, attorneys-in-fact or affiliates has made any representations or warranties to it and that no act by the Deal Agent or the Collateral Agent hereafter taken, including, without limitation, any review of the affairs of the Borrower, shall be deemed to constitute any representation or warranty by the Deal Agent, any Lender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263" w:lineRule="auto"/>
        <w:rPr>
          <w:sz w:val="20"/>
          <w:szCs w:val="20"/>
          <w:color w:val="auto"/>
        </w:rPr>
      </w:pPr>
      <w:r>
        <w:rPr>
          <w:rFonts w:ascii="Arial" w:cs="Arial" w:eastAsia="Arial" w:hAnsi="Arial"/>
          <w:sz w:val="21"/>
          <w:szCs w:val="21"/>
          <w:color w:val="auto"/>
        </w:rPr>
        <w:t>Collateral Agent. Each Secured Party represents and warrants to the Deal Agent and the Collateral Agent that it has and will, independently and without reliance upon the Deal Agent, the Collateral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 or any Hedging Agreement, as the case may be.</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u w:val="single" w:color="auto"/>
          <w:color w:val="auto"/>
        </w:rPr>
        <w:t>Reimbursement and Indemnification</w:t>
      </w:r>
      <w:r>
        <w:rPr>
          <w:rFonts w:ascii="Arial" w:cs="Arial" w:eastAsia="Arial" w:hAnsi="Arial"/>
          <w:sz w:val="22"/>
          <w:szCs w:val="22"/>
          <w:color w:val="auto"/>
        </w:rPr>
        <w:t>. The Lenders agree to reimburse and indemnify the Deal Agent, the Collateral Agent and each of their respective officers, directors, employees, representatives and agents ratably according to their pro rata shares, to the extent not paid or reimbursed by the Borrower (i) for any amounts for which the Deal Agent, acting in its capacity as Deal Agent, or the Collateral Agent, acting in its capacity as Collateral Agent is entitled to reimbursement by the Borrower hereunder and (ii) for any other expenses incurred by the Deal Agent, in its capacity as Deal Agent, or the Collateral Agent, acting in its capacity as Collateral Agent and acting on behalf of the Secured Parties, in connection with the administration and enforcement of this Agreement.</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u w:val="single" w:color="auto"/>
          <w:color w:val="auto"/>
        </w:rPr>
        <w:t>Deal Agent and Collateral Agent in their Individual Capacities</w:t>
      </w:r>
      <w:r>
        <w:rPr>
          <w:rFonts w:ascii="Arial" w:cs="Arial" w:eastAsia="Arial" w:hAnsi="Arial"/>
          <w:sz w:val="22"/>
          <w:szCs w:val="22"/>
          <w:color w:val="auto"/>
        </w:rPr>
        <w:t>. The Deal Agent, the Collateral Agent and each of their respective Affiliates may make loans to, accept deposits from and generally engage in any kind of business with the Borrower or any Affiliate of the Borrower as though the Deal Agent or the Collateral Agent, as the case may be, were not the Deal Agent or the Collateral Agent, as the case may be, hereunder.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12.8</w:t>
      </w:r>
      <w:r>
        <w:rPr>
          <w:sz w:val="20"/>
          <w:szCs w:val="20"/>
          <w:color w:val="auto"/>
        </w:rPr>
        <w:tab/>
      </w:r>
      <w:r>
        <w:rPr>
          <w:rFonts w:ascii="Arial" w:cs="Arial" w:eastAsia="Arial" w:hAnsi="Arial"/>
          <w:sz w:val="19"/>
          <w:szCs w:val="19"/>
          <w:u w:val="single" w:color="auto"/>
          <w:color w:val="auto"/>
        </w:rPr>
        <w:t>Successor Deal Agent or Collateral Agent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9" w:lineRule="auto"/>
        <w:tabs>
          <w:tab w:leader="none" w:pos="1941" w:val="left"/>
        </w:tabs>
        <w:numPr>
          <w:ilvl w:val="0"/>
          <w:numId w:val="135"/>
        </w:numPr>
        <w:rPr>
          <w:rFonts w:ascii="Arial" w:cs="Arial" w:eastAsia="Arial" w:hAnsi="Arial"/>
          <w:sz w:val="21"/>
          <w:szCs w:val="21"/>
          <w:color w:val="auto"/>
        </w:rPr>
      </w:pPr>
      <w:r>
        <w:rPr>
          <w:rFonts w:ascii="Arial" w:cs="Arial" w:eastAsia="Arial" w:hAnsi="Arial"/>
          <w:sz w:val="21"/>
          <w:szCs w:val="21"/>
          <w:color w:val="auto"/>
        </w:rPr>
        <w:t xml:space="preserve">The Deal Agent may, upon 5 days' written notice to the Borrower and the Secured Parties, and the Deal Agent will, upon the written direction of the Required Lenders resign as Deal Agent. If the Deal Agent shall resign, then the Required Lenders during such 5-day period shall appoint a successor agent. If for any reason no successor Deal Agent is appointed by the Required Lenders during such 5-day period, then effective upon the expiration of such 5-day period, the Secured Parties shall perform all of the duties of the Deal Agent hereunder and the Borrower shall make all payments in respect of the Aggregate Unpaids or under any fee letter delivered in connection herewith directly to the applicable Secured Party and for all purposes shall deal directly with each Secured Party. After any retiring Deal Agent's resignation hereunder as Deal Agent, the provisions of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shall inure to its benefit as to any actions taken or omitted to be taken by it while it was Deal Agent under this Agreement.</w:t>
      </w:r>
    </w:p>
    <w:p>
      <w:pPr>
        <w:spacing w:after="0" w:line="179" w:lineRule="exact"/>
        <w:rPr>
          <w:rFonts w:ascii="Arial" w:cs="Arial" w:eastAsia="Arial" w:hAnsi="Arial"/>
          <w:sz w:val="21"/>
          <w:szCs w:val="21"/>
          <w:color w:val="auto"/>
        </w:rPr>
      </w:pPr>
    </w:p>
    <w:p>
      <w:pPr>
        <w:ind w:left="1940" w:hanging="636"/>
        <w:spacing w:after="0"/>
        <w:tabs>
          <w:tab w:leader="none" w:pos="19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65" w:lineRule="auto"/>
        <w:tabs>
          <w:tab w:leader="none" w:pos="1941"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Collateral Agent may, upon 5 days' written notice to the Borrower and the Secured Parties, and the Collateral Agent will, upon the written direction of all of the Secured Parties upon at least 30 days' prior notice, resign as Collateral Agent. If the Collateral Agent shall resign, then the Secured Parties, during such 5-day or 30-day period, as applicable, shall appoint a successor agent. If for any reason no successor Collateral Agent is appointed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8" w:name="page109"/>
    <w:bookmarkEnd w:id="108"/>
    <w:p>
      <w:pPr>
        <w:jc w:val="both"/>
        <w:spacing w:after="0" w:line="259" w:lineRule="auto"/>
        <w:rPr>
          <w:sz w:val="20"/>
          <w:szCs w:val="20"/>
          <w:color w:val="auto"/>
        </w:rPr>
      </w:pPr>
      <w:r>
        <w:rPr>
          <w:rFonts w:ascii="Arial" w:cs="Arial" w:eastAsia="Arial" w:hAnsi="Arial"/>
          <w:sz w:val="21"/>
          <w:szCs w:val="21"/>
          <w:color w:val="auto"/>
        </w:rPr>
        <w:t xml:space="preserve">Secured Parties during such period, then effective upon the expiration of such period, the Collateral Agent's resignation shall be effective, and the Secured Parties shall perform all of the duties of the Collateral Agent hereunder and the Borrower shall make all payments in respect of the Aggregate Unpaids incurred after such date or under any fee letter delivered in connection herewith directly to the applicable Secured Party and for all purposes shall deal directly with each Secured Party. After any retiring Collateral Agent's resignation hereunder as Collateral Agent, the provisions of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shall inure to its benefit as to any actions taken or omitted to be taken by it while it was Collateral Agent under this Agreement. If the Collateral Agent consolidates with, merges or converts into, or transfers all or substantially all its corporate trust business or assets to, another corporation or banking association, the resulting, surviving or transferee corporation or banking association without any further act shall be the successor Collateral Agent.</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XIII</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ASSIGNMENTS; PARTICIPATIONS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13.1</w:t>
      </w:r>
      <w:r>
        <w:rPr>
          <w:sz w:val="20"/>
          <w:szCs w:val="20"/>
          <w:color w:val="auto"/>
        </w:rPr>
        <w:tab/>
      </w:r>
      <w:r>
        <w:rPr>
          <w:rFonts w:ascii="Arial" w:cs="Arial" w:eastAsia="Arial" w:hAnsi="Arial"/>
          <w:sz w:val="19"/>
          <w:szCs w:val="19"/>
          <w:u w:val="single" w:color="auto"/>
          <w:color w:val="auto"/>
        </w:rPr>
        <w:t>Assignments and Participations</w:t>
      </w:r>
      <w:r>
        <w:rPr>
          <w:rFonts w:ascii="Arial" w:cs="Arial" w:eastAsia="Arial" w:hAnsi="Arial"/>
          <w:sz w:val="19"/>
          <w:szCs w:val="19"/>
          <w:color w:val="auto"/>
        </w:rPr>
        <w:t>.</w:t>
      </w:r>
    </w:p>
    <w:p>
      <w:pPr>
        <w:spacing w:after="0" w:line="202" w:lineRule="exact"/>
        <w:rPr>
          <w:sz w:val="20"/>
          <w:szCs w:val="20"/>
          <w:color w:val="auto"/>
        </w:rPr>
      </w:pPr>
    </w:p>
    <w:p>
      <w:pPr>
        <w:jc w:val="both"/>
        <w:ind w:firstLine="1304"/>
        <w:spacing w:after="0" w:line="285" w:lineRule="auto"/>
        <w:tabs>
          <w:tab w:leader="none" w:pos="1941" w:val="left"/>
        </w:tabs>
        <w:numPr>
          <w:ilvl w:val="1"/>
          <w:numId w:val="136"/>
        </w:numPr>
        <w:rPr>
          <w:rFonts w:ascii="Arial" w:cs="Arial" w:eastAsia="Arial" w:hAnsi="Arial"/>
          <w:sz w:val="19"/>
          <w:szCs w:val="19"/>
          <w:color w:val="auto"/>
        </w:rPr>
      </w:pPr>
      <w:r>
        <w:rPr>
          <w:rFonts w:ascii="Arial" w:cs="Arial" w:eastAsia="Arial" w:hAnsi="Arial"/>
          <w:sz w:val="19"/>
          <w:szCs w:val="19"/>
          <w:color w:val="auto"/>
        </w:rPr>
        <w:t xml:space="preserve">Each Lender may upon at least 30 days' notice to the Deal Agent, assign to one or more banks or other entities all or a portion of its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$15,000,000 or an integral multiple of $1,000,000 in excess of that amount and (B) the full amount of the assigning Lender's Commitment;</w:t>
      </w:r>
    </w:p>
    <w:p>
      <w:pPr>
        <w:jc w:val="both"/>
        <w:ind w:firstLine="8"/>
        <w:spacing w:after="0" w:line="284" w:lineRule="auto"/>
        <w:tabs>
          <w:tab w:leader="none" w:pos="40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parties to each such assignment shall execute and deliver to the Deal Agent, for its acceptance and recording in the Register, an Assignment and Acceptance; (iv) the parties to each such assignment shall have agreed to reimburse the Deal Agent for all fees, costs and expenses (including, without limitation, the reasonable fees and out-of-pocket expenses of counsel for each of the Deal Agent and any other Lenders incurred by the Deal Agent, any other Lenders, respectively, in connection with such assignment; (iv) each Lender agrees that it will not engage in a general solicitation or general advertising; and (v) there shall be no increased costs, expenses or taxes incurred by the Deal Agent, any other Lenders upon such assignment or participation. Upon such execution, delivery and acceptance by the Deal Agent and any other Lenders and the recording by the Deal Agent, from and after the effective date specified in each Assignment and Acceptance, which effective date shall be the date of acceptance thereof by the Deal Agent and any other Lenders, unless a later date is specified therein, (A) the assignee thereunder shall be a party hereto and, to the extent that rights and obligations hereunder have been assigned to it pursuant to such Assignment and Acceptance, have the rights and obligations of a Lender hereunder and (B)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09" w:name="page110"/>
    <w:bookmarkEnd w:id="109"/>
    <w:p>
      <w:pPr>
        <w:jc w:val="both"/>
        <w:ind w:firstLine="1304"/>
        <w:spacing w:after="0" w:line="283" w:lineRule="auto"/>
        <w:tabs>
          <w:tab w:leader="none" w:pos="1939" w:val="left"/>
        </w:tabs>
        <w:numPr>
          <w:ilvl w:val="1"/>
          <w:numId w:val="138"/>
        </w:numPr>
        <w:rPr>
          <w:rFonts w:ascii="Arial" w:cs="Arial" w:eastAsia="Arial" w:hAnsi="Arial"/>
          <w:sz w:val="19"/>
          <w:szCs w:val="19"/>
          <w:color w:val="auto"/>
        </w:rPr>
      </w:pPr>
      <w:r>
        <w:rPr>
          <w:rFonts w:ascii="Arial" w:cs="Arial" w:eastAsia="Arial" w:hAnsi="Arial"/>
          <w:sz w:val="19"/>
          <w:szCs w:val="19"/>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Deal Agent, the Collateral Agent, such assigning Lender or any other Lender and based on such documents and information as it shall deem appropriate at the time, continue to make its own credit decisions in taking or not taking action under this Agreement;</w:t>
      </w:r>
    </w:p>
    <w:p>
      <w:pPr>
        <w:spacing w:after="0" w:line="6" w:lineRule="exact"/>
        <w:rPr>
          <w:rFonts w:ascii="Arial" w:cs="Arial" w:eastAsia="Arial" w:hAnsi="Arial"/>
          <w:sz w:val="19"/>
          <w:szCs w:val="19"/>
          <w:color w:val="auto"/>
        </w:rPr>
      </w:pPr>
    </w:p>
    <w:p>
      <w:pPr>
        <w:jc w:val="both"/>
        <w:ind w:firstLine="8"/>
        <w:spacing w:after="0" w:line="295" w:lineRule="auto"/>
        <w:tabs>
          <w:tab w:leader="none" w:pos="37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such assignee appoints and authorizes each of the Deal Agent, the Collateral Agent and any other Lender to take such action as agent on its behalf and to exercise such powers under this Agreement as are delegated to such agent by the terms hereof, together with such powers as are reasonably incidental thereto; and (v) such assignee agrees that it will perform in accordance with their terms all of the obligations which by the terms of this Agreement are required to be performed by it as a Lender.</w:t>
      </w:r>
    </w:p>
    <w:p>
      <w:pPr>
        <w:spacing w:after="0" w:line="149" w:lineRule="exact"/>
        <w:rPr>
          <w:rFonts w:ascii="Arial" w:cs="Arial" w:eastAsia="Arial" w:hAnsi="Arial"/>
          <w:sz w:val="19"/>
          <w:szCs w:val="19"/>
          <w:color w:val="auto"/>
        </w:rPr>
      </w:pPr>
    </w:p>
    <w:p>
      <w:pPr>
        <w:jc w:val="both"/>
        <w:ind w:firstLine="1304"/>
        <w:spacing w:after="0" w:line="260" w:lineRule="auto"/>
        <w:tabs>
          <w:tab w:leader="none" w:pos="1941" w:val="left"/>
        </w:tabs>
        <w:numPr>
          <w:ilvl w:val="1"/>
          <w:numId w:val="139"/>
        </w:numPr>
        <w:rPr>
          <w:rFonts w:ascii="Arial" w:cs="Arial" w:eastAsia="Arial" w:hAnsi="Arial"/>
          <w:sz w:val="21"/>
          <w:szCs w:val="21"/>
          <w:color w:val="auto"/>
        </w:rPr>
      </w:pPr>
      <w:r>
        <w:rPr>
          <w:rFonts w:ascii="Arial" w:cs="Arial" w:eastAsia="Arial" w:hAnsi="Arial"/>
          <w:sz w:val="21"/>
          <w:szCs w:val="21"/>
          <w:color w:val="auto"/>
        </w:rPr>
        <w:t>The Deal Agent, acting solely for this purpose as an agent of the Borrower, shall maintain at its address referred to herein a copy of each Assignment and Acceptance delivered to and accepted by it and a register for the recordation of the names and addresses of the Lenders and the Commitment of, and the amount of Capital (and Interest and Yield) owing to, each Lender (the “</w:t>
      </w:r>
      <w:r>
        <w:rPr>
          <w:rFonts w:ascii="Arial" w:cs="Arial" w:eastAsia="Arial" w:hAnsi="Arial"/>
          <w:sz w:val="21"/>
          <w:szCs w:val="21"/>
          <w:u w:val="single" w:color="auto"/>
          <w:color w:val="auto"/>
        </w:rPr>
        <w:t>Register</w:t>
      </w:r>
      <w:r>
        <w:rPr>
          <w:rFonts w:ascii="Arial" w:cs="Arial" w:eastAsia="Arial" w:hAnsi="Arial"/>
          <w:sz w:val="21"/>
          <w:szCs w:val="21"/>
          <w:color w:val="auto"/>
        </w:rPr>
        <w:t>”). The entries in the Register shall be conclusive and binding for all purposes, absent manifest error, and the Borrower and the Lenders may treat each Person whose name is recorded in the Register as a Lender hereunder for all purposes of this Agreement. The Register shall be available for inspection by any Lender at any reasonable time and from time to time upon reasonable prior notice.</w:t>
      </w:r>
    </w:p>
    <w:p>
      <w:pPr>
        <w:spacing w:after="0" w:line="180" w:lineRule="exact"/>
        <w:rPr>
          <w:rFonts w:ascii="Arial" w:cs="Arial" w:eastAsia="Arial" w:hAnsi="Arial"/>
          <w:sz w:val="21"/>
          <w:szCs w:val="21"/>
          <w:color w:val="auto"/>
        </w:rPr>
      </w:pPr>
    </w:p>
    <w:p>
      <w:pPr>
        <w:jc w:val="both"/>
        <w:ind w:firstLine="1304"/>
        <w:spacing w:after="0" w:line="302" w:lineRule="auto"/>
        <w:tabs>
          <w:tab w:leader="none" w:pos="1939"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Section 13.1(a)</w:t>
      </w:r>
      <w:r>
        <w:rPr>
          <w:rFonts w:ascii="Arial" w:cs="Arial" w:eastAsia="Arial" w:hAnsi="Arial"/>
          <w:sz w:val="19"/>
          <w:szCs w:val="19"/>
          <w:color w:val="auto"/>
        </w:rPr>
        <w:t xml:space="preserve">, upon its receipt of an Assignment and Acceptance executed by an assigning Lender and an assignee, the Deal Agent, and the Lenders shall each, if such Assignment and Acceptance has been completed and is in substantially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accept such Assignment and Acceptance, and the Deal Agent shall then (i) record the information contained therein in the Register and (ii) give prompt notice thereof to each Lender.</w:t>
      </w:r>
    </w:p>
    <w:p>
      <w:pPr>
        <w:spacing w:after="0" w:line="142" w:lineRule="exact"/>
        <w:rPr>
          <w:rFonts w:ascii="Arial" w:cs="Arial" w:eastAsia="Arial" w:hAnsi="Arial"/>
          <w:sz w:val="19"/>
          <w:szCs w:val="19"/>
          <w:color w:val="auto"/>
        </w:rPr>
      </w:pPr>
    </w:p>
    <w:p>
      <w:pPr>
        <w:jc w:val="both"/>
        <w:ind w:firstLine="1304"/>
        <w:spacing w:after="0" w:line="294" w:lineRule="auto"/>
        <w:tabs>
          <w:tab w:leader="none" w:pos="1941"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Each Lender may sell participations to one or more banks or other entities in or to all or a portion of its rights and obligations under this Agreement (including, without limitation, all or a portion of its Commitment and its portion of the Capital and related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such Lender's obligations under this Agreement (including, without limitation, its Commitment hereunder) shall remain unchanged; (ii) such Lender shall remain solely responsible to the other parties hereto for the performance of such obligations; and (iii) the Deal Agent and the other Lenders shall continue to deal solely and directly with such Lender in connection with such Lender's rights and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0" w:name="page111"/>
    <w:bookmarkEnd w:id="110"/>
    <w:p>
      <w:pPr>
        <w:jc w:val="both"/>
        <w:spacing w:after="0" w:line="284" w:lineRule="auto"/>
        <w:rPr>
          <w:sz w:val="20"/>
          <w:szCs w:val="20"/>
          <w:color w:val="auto"/>
        </w:rPr>
      </w:pPr>
      <w:r>
        <w:rPr>
          <w:rFonts w:ascii="Arial" w:cs="Arial" w:eastAsia="Arial" w:hAnsi="Arial"/>
          <w:sz w:val="19"/>
          <w:szCs w:val="19"/>
          <w:color w:val="auto"/>
        </w:rPr>
        <w:t xml:space="preserve">Agreement. Notwithstanding anything herein to the contrary, each participant shall have the rights of a Lender (including any right to receive payment) under </w:t>
      </w:r>
      <w:r>
        <w:rPr>
          <w:rFonts w:ascii="Arial" w:cs="Arial" w:eastAsia="Arial" w:hAnsi="Arial"/>
          <w:sz w:val="19"/>
          <w:szCs w:val="19"/>
          <w:u w:val="single" w:color="auto"/>
          <w:color w:val="auto"/>
        </w:rPr>
        <w:t>Sections 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that exceeds the sum of (i) the amount to which such Lender is entitled under such Section with respect to any portion of the Capital that is not subject to any participation plus (ii) the aggregate amount to which its participants are entitled under such Sections with respect to the amounts of their respective participations, except, in each case, to the extent such entitlement to receive a greater payment results from a change in law that occurs after the Participant acquired the applicable participation. With respect to any participation described in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that such Lender may have under or in respect of this Agreement shall be limited to the right to consent to any of the matters set forth in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of this Agreement. Each Lender that sells a participation shall, acting solely for this purpose as a non-fiduciary agent of the Borrower, maintain a register on which it enters the name and address of each participant and the amount of Capital (and stated interest) of each participant's interest in the rights and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the rights and obligations under this Agreement) to any Person except to the extent that such disclosure is necessary to establish that such obligation is in registered form for U.S. federal income tax purposes.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Deal Agent (in its capacity as Deal Agent) shall have no responsibility for maintaining a Participant Register.</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253" w:lineRule="auto"/>
        <w:tabs>
          <w:tab w:leader="none" w:pos="194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Each Lender may, in connection with any assignment or participation or proposed assignment or participation pursuant to this </w:t>
      </w:r>
      <w:r>
        <w:rPr>
          <w:rFonts w:ascii="Arial" w:cs="Arial" w:eastAsia="Arial" w:hAnsi="Arial"/>
          <w:sz w:val="22"/>
          <w:szCs w:val="22"/>
          <w:u w:val="single" w:color="auto"/>
          <w:color w:val="auto"/>
        </w:rPr>
        <w:t>Section 13.1</w:t>
      </w:r>
      <w:r>
        <w:rPr>
          <w:rFonts w:ascii="Arial" w:cs="Arial" w:eastAsia="Arial" w:hAnsi="Arial"/>
          <w:sz w:val="22"/>
          <w:szCs w:val="22"/>
          <w:color w:val="auto"/>
        </w:rPr>
        <w:t>, disclose to the assignee or participant or proposed assignee or participant any information relating to the Borrower furnished to such Lender by or on behalf of the Borrower.</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Nothing herein shall prohibit any Lender from pledging or assigning as collateral any of its rights under this Agreement to any Federal Reserve Bank in accordance with Applicable Law and any such pledge or collateral assignment may be made without compliance with </w:t>
      </w:r>
      <w:r>
        <w:rPr>
          <w:rFonts w:ascii="Arial" w:cs="Arial" w:eastAsia="Arial" w:hAnsi="Arial"/>
          <w:sz w:val="22"/>
          <w:szCs w:val="22"/>
          <w:u w:val="single" w:color="auto"/>
          <w:color w:val="auto"/>
        </w:rPr>
        <w:t>Section 13.1(a)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13.1(b)</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1" w:name="page112"/>
    <w:bookmarkEnd w:id="111"/>
    <w:p>
      <w:pPr>
        <w:jc w:val="both"/>
        <w:ind w:right="20" w:firstLine="1304"/>
        <w:spacing w:after="0" w:line="265" w:lineRule="auto"/>
        <w:tabs>
          <w:tab w:leader="none" w:pos="1932" w:val="left"/>
        </w:tabs>
        <w:numPr>
          <w:ilvl w:val="0"/>
          <w:numId w:val="141"/>
        </w:numPr>
        <w:rPr>
          <w:rFonts w:ascii="Arial" w:cs="Arial" w:eastAsia="Arial" w:hAnsi="Arial"/>
          <w:sz w:val="21"/>
          <w:szCs w:val="21"/>
          <w:color w:val="auto"/>
        </w:rPr>
      </w:pPr>
      <w:r>
        <w:rPr>
          <w:rFonts w:ascii="Arial" w:cs="Arial" w:eastAsia="Arial" w:hAnsi="Arial"/>
          <w:sz w:val="21"/>
          <w:szCs w:val="21"/>
          <w:color w:val="auto"/>
        </w:rPr>
        <w:t>Each Lender may at any time assign, or grant a security interest in or sell a participation interest in the Capital and the Collateral (or portion thereof) to any Person. The parties to any such assignment, grant or sale of participation interest, shall execute and deliver to the related Lender, for its acceptance and recording in its books and records, such agreement or document as may be satisfactory to such parties and the related Lender.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14.1</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202" w:lineRule="exact"/>
        <w:rPr>
          <w:sz w:val="20"/>
          <w:szCs w:val="20"/>
          <w:color w:val="auto"/>
        </w:rPr>
      </w:pPr>
    </w:p>
    <w:p>
      <w:pPr>
        <w:jc w:val="both"/>
        <w:ind w:firstLine="1304"/>
        <w:spacing w:after="0" w:line="297" w:lineRule="auto"/>
        <w:tabs>
          <w:tab w:leader="none" w:pos="1941"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Except as provided in this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no amendment, waiver or other modification of any provision of this Agreement shall be effective without the written agreement of the Borrower, the Deal Agent, the Collateral Agent and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waiver or modification shall materially adversely affect the rights or obligations of any Hedge Counterparty or the Backup Servicer without the written agreement of such Person. Any waiver or consent shall be effective only in the specific instance and for the specific purpose for which given.</w:t>
      </w:r>
    </w:p>
    <w:p>
      <w:pPr>
        <w:spacing w:after="0" w:line="146" w:lineRule="exact"/>
        <w:rPr>
          <w:rFonts w:ascii="Arial" w:cs="Arial" w:eastAsia="Arial" w:hAnsi="Arial"/>
          <w:sz w:val="19"/>
          <w:szCs w:val="19"/>
          <w:color w:val="auto"/>
        </w:rPr>
      </w:pPr>
    </w:p>
    <w:p>
      <w:pPr>
        <w:ind w:left="1940" w:hanging="636"/>
        <w:spacing w:after="0"/>
        <w:tabs>
          <w:tab w:leader="none" w:pos="194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No amendment, waiver or other modification of this Agreement shall:</w:t>
      </w:r>
    </w:p>
    <w:p>
      <w:pPr>
        <w:spacing w:after="0" w:line="219" w:lineRule="exact"/>
        <w:rPr>
          <w:rFonts w:ascii="Arial" w:cs="Arial" w:eastAsia="Arial" w:hAnsi="Arial"/>
          <w:sz w:val="22"/>
          <w:szCs w:val="22"/>
          <w:color w:val="auto"/>
        </w:rPr>
      </w:pPr>
    </w:p>
    <w:p>
      <w:pPr>
        <w:jc w:val="both"/>
        <w:ind w:left="660" w:firstLine="1034"/>
        <w:spacing w:after="0" w:line="283" w:lineRule="auto"/>
        <w:tabs>
          <w:tab w:leader="none" w:pos="1964" w:val="left"/>
        </w:tabs>
        <w:numPr>
          <w:ilvl w:val="2"/>
          <w:numId w:val="142"/>
        </w:numPr>
        <w:rPr>
          <w:rFonts w:ascii="Arial" w:cs="Arial" w:eastAsia="Arial" w:hAnsi="Arial"/>
          <w:sz w:val="19"/>
          <w:szCs w:val="19"/>
          <w:color w:val="auto"/>
        </w:rPr>
      </w:pPr>
      <w:r>
        <w:rPr>
          <w:rFonts w:ascii="Arial" w:cs="Arial" w:eastAsia="Arial" w:hAnsi="Arial"/>
          <w:sz w:val="19"/>
          <w:szCs w:val="19"/>
          <w:color w:val="auto"/>
        </w:rPr>
        <w:t xml:space="preserve">without the consent of each affected Lender, (A) extend the date of any payment or deposit of Collections by the Borrower or the Servicer, (B) reduce the rate or extend the time of payment of Interest or Yield (or any component thereof), (C) reduce any fee payable to the Deal Agent for the benefit of the Lenders, (D) except pursuant to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hereof, change the amount of the Capital of any Lender, a Lender's pro rata share or a Lender's Commitment, (E) amend, modify or waive any provision of the definition of Required Lenders or this </w:t>
      </w:r>
      <w:r>
        <w:rPr>
          <w:rFonts w:ascii="Arial" w:cs="Arial" w:eastAsia="Arial" w:hAnsi="Arial"/>
          <w:sz w:val="19"/>
          <w:szCs w:val="19"/>
          <w:u w:val="single" w:color="auto"/>
          <w:color w:val="auto"/>
        </w:rPr>
        <w:t>Section 14.1(b)</w:t>
      </w:r>
      <w:r>
        <w:rPr>
          <w:rFonts w:ascii="Arial" w:cs="Arial" w:eastAsia="Arial" w:hAnsi="Arial"/>
          <w:sz w:val="19"/>
          <w:szCs w:val="19"/>
          <w:color w:val="auto"/>
        </w:rPr>
        <w:t>, (F) consent to or permit the assignment or transfer by the Borrower of any of its rights and obligations under this Agreement, (G) permit the creation of any lien ranking prior to or on a parity with the lien of this Agreement with respect to any part of the Collateral or, except as otherwise permitted or contemplated herein or in any of the other Transaction Documents, terminate the lien of this Agreement on any property at any time subject hereto or deprive the Lenders of the security provided by the lien of this Agreement, (H) permit Credit Acceptance to resign as Servicer, (I) reduce the Outstanding Balance or (J) amend or modify any defined term (or any defined term used directly or indirectly in such defined term) used in clauses (A) through</w:t>
      </w:r>
    </w:p>
    <w:p>
      <w:pPr>
        <w:spacing w:after="0" w:line="5" w:lineRule="exact"/>
        <w:rPr>
          <w:rFonts w:ascii="Arial" w:cs="Arial" w:eastAsia="Arial" w:hAnsi="Arial"/>
          <w:sz w:val="19"/>
          <w:szCs w:val="19"/>
          <w:color w:val="auto"/>
        </w:rPr>
      </w:pPr>
    </w:p>
    <w:p>
      <w:pPr>
        <w:ind w:left="1000" w:hanging="344"/>
        <w:spacing w:after="0"/>
        <w:tabs>
          <w:tab w:leader="none" w:pos="10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above in a manner that would circumvent the intention of the restrictions set forth in such clauses;</w:t>
      </w:r>
    </w:p>
    <w:p>
      <w:pPr>
        <w:spacing w:after="0" w:line="201" w:lineRule="exact"/>
        <w:rPr>
          <w:rFonts w:ascii="Arial" w:cs="Arial" w:eastAsia="Arial" w:hAnsi="Arial"/>
          <w:sz w:val="22"/>
          <w:szCs w:val="22"/>
          <w:color w:val="auto"/>
        </w:rPr>
      </w:pPr>
    </w:p>
    <w:p>
      <w:pPr>
        <w:jc w:val="both"/>
        <w:ind w:left="660" w:firstLine="974"/>
        <w:spacing w:after="0" w:line="253" w:lineRule="auto"/>
        <w:tabs>
          <w:tab w:leader="none" w:pos="1980" w:val="left"/>
        </w:tabs>
        <w:numPr>
          <w:ilvl w:val="2"/>
          <w:numId w:val="143"/>
        </w:numPr>
        <w:rPr>
          <w:rFonts w:ascii="Arial" w:cs="Arial" w:eastAsia="Arial" w:hAnsi="Arial"/>
          <w:sz w:val="22"/>
          <w:szCs w:val="22"/>
          <w:color w:val="auto"/>
        </w:rPr>
      </w:pPr>
      <w:r>
        <w:rPr>
          <w:rFonts w:ascii="Arial" w:cs="Arial" w:eastAsia="Arial" w:hAnsi="Arial"/>
          <w:sz w:val="22"/>
          <w:szCs w:val="22"/>
          <w:color w:val="auto"/>
        </w:rPr>
        <w:t>without the written consent of the Deal Agent or the Collateral Agent, as applicable, amend, modify or waive any provision of this Agreement if the effect thereof is to affect the rights or duties of the Deal Agent or the Collateral Agent, as applicable; or</w:t>
      </w:r>
    </w:p>
    <w:p>
      <w:pPr>
        <w:spacing w:after="0" w:line="185" w:lineRule="exact"/>
        <w:rPr>
          <w:rFonts w:ascii="Arial" w:cs="Arial" w:eastAsia="Arial" w:hAnsi="Arial"/>
          <w:sz w:val="22"/>
          <w:szCs w:val="22"/>
          <w:color w:val="auto"/>
        </w:rPr>
      </w:pPr>
    </w:p>
    <w:p>
      <w:pPr>
        <w:jc w:val="both"/>
        <w:ind w:left="660" w:firstLine="914"/>
        <w:spacing w:after="0" w:line="253" w:lineRule="auto"/>
        <w:tabs>
          <w:tab w:leader="none" w:pos="1997" w:val="left"/>
        </w:tabs>
        <w:numPr>
          <w:ilvl w:val="2"/>
          <w:numId w:val="143"/>
        </w:numPr>
        <w:rPr>
          <w:rFonts w:ascii="Arial" w:cs="Arial" w:eastAsia="Arial" w:hAnsi="Arial"/>
          <w:sz w:val="22"/>
          <w:szCs w:val="22"/>
          <w:color w:val="auto"/>
        </w:rPr>
      </w:pPr>
      <w:r>
        <w:rPr>
          <w:rFonts w:ascii="Arial" w:cs="Arial" w:eastAsia="Arial" w:hAnsi="Arial"/>
          <w:sz w:val="22"/>
          <w:szCs w:val="22"/>
          <w:color w:val="auto"/>
        </w:rPr>
        <w:t xml:space="preserve">without the consent of the Deal Agent and each Lender, amend or modify (A) </w:t>
      </w:r>
      <w:r>
        <w:rPr>
          <w:rFonts w:ascii="Arial" w:cs="Arial" w:eastAsia="Arial" w:hAnsi="Arial"/>
          <w:sz w:val="22"/>
          <w:szCs w:val="22"/>
          <w:u w:val="single" w:color="auto"/>
          <w:color w:val="auto"/>
        </w:rPr>
        <w:t>Section 10.1</w:t>
      </w:r>
      <w:r>
        <w:rPr>
          <w:rFonts w:ascii="Arial" w:cs="Arial" w:eastAsia="Arial" w:hAnsi="Arial"/>
          <w:sz w:val="22"/>
          <w:szCs w:val="22"/>
          <w:color w:val="auto"/>
        </w:rPr>
        <w:t>, (B) the definitions of “Adjusted Collateral Amount,” “Amortization Event,” “Collateral Amount,” “Dealer Concentration Limit,” “Eligible 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2" w:name="page113"/>
    <w:bookmarkEnd w:id="112"/>
    <w:p>
      <w:pPr>
        <w:spacing w:after="0" w:line="20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 xml:space="preserve">Agreement,” “Final Scheduled Payment Date,” “Hedging Agreement,” “Initial Loan Amount,” “Loan Excess Advance Amount,” “Minimum Collateral Amount,” “Net Advance Rate,” “Outstanding Balance,” “Principal Distributable Amount,” “Termination Date,” “Required Reserve Account Amount” and “Servicer Termination Event” as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or (C)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188" w:lineRule="exact"/>
        <w:rPr>
          <w:sz w:val="20"/>
          <w:szCs w:val="20"/>
          <w:color w:val="auto"/>
        </w:rPr>
      </w:pPr>
    </w:p>
    <w:p>
      <w:pPr>
        <w:jc w:val="both"/>
        <w:ind w:firstLine="1304"/>
        <w:spacing w:after="0" w:line="250" w:lineRule="auto"/>
        <w:tabs>
          <w:tab w:leader="none" w:pos="194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Notwithstanding the foregoing provisions of this </w:t>
      </w:r>
      <w:r>
        <w:rPr>
          <w:rFonts w:ascii="Arial" w:cs="Arial" w:eastAsia="Arial" w:hAnsi="Arial"/>
          <w:sz w:val="22"/>
          <w:szCs w:val="22"/>
          <w:u w:val="single" w:color="auto"/>
          <w:color w:val="auto"/>
        </w:rPr>
        <w:t>Section 14.1</w:t>
      </w:r>
      <w:r>
        <w:rPr>
          <w:rFonts w:ascii="Arial" w:cs="Arial" w:eastAsia="Arial" w:hAnsi="Arial"/>
          <w:sz w:val="22"/>
          <w:szCs w:val="22"/>
          <w:color w:val="auto"/>
        </w:rPr>
        <w:t>, without the consent of the Lenders, the Deal Agent may, with the consent of the Borrower amend this Agreement solely to add additional Persons as Lenders hereunder. Any modification or waiver shall apply to each of the Lenders equally and shall be binding upon the Borrower, the Lenders, the Collateral Agent and the Deal Agent.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u w:val="single" w:color="auto"/>
          <w:color w:val="auto"/>
        </w:rPr>
        <w:t>Notices, Etc.</w:t>
      </w:r>
      <w:r>
        <w:rPr>
          <w:rFonts w:ascii="Arial" w:cs="Arial" w:eastAsia="Arial" w:hAnsi="Arial"/>
          <w:sz w:val="21"/>
          <w:szCs w:val="21"/>
          <w:color w:val="auto"/>
        </w:rPr>
        <w:t xml:space="preserve"> All notices and other communications provided for hereunder shall, unless otherwise stated herein, be in writing (including email and communication by facsimile copy) and mailed, emailed, transmitted or delivered, as to each party hereto, at its address set forth under its name on the signature pages hereof, or specified in such party's Assignment and Acceptance, as the case may be, or at such other address as shall be designated by such party in a written notice to the other parties hereto. All such notices and communications shall be effective, upon receipt, or in the case of (a) notice by mail, five days after being deposited in the United States mail, first class postage prepaid, (b) notice by email, when verbal communication or emailed reply of receipt is obtained, or (c) notice by facsimile copy, when verbal communication of receipt is obtained, except that notices and communications pursuant to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shall not be effective until received with respect to any notice sent by mail or telex.</w:t>
      </w:r>
    </w:p>
    <w:p>
      <w:pPr>
        <w:spacing w:after="0" w:line="17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14.3 </w:t>
      </w:r>
      <w:r>
        <w:rPr>
          <w:rFonts w:ascii="Arial" w:cs="Arial" w:eastAsia="Arial" w:hAnsi="Arial"/>
          <w:sz w:val="19"/>
          <w:szCs w:val="19"/>
          <w:u w:val="single" w:color="auto"/>
          <w:color w:val="auto"/>
        </w:rPr>
        <w:t>Ratable Payments</w:t>
      </w:r>
      <w:r>
        <w:rPr>
          <w:rFonts w:ascii="Arial" w:cs="Arial" w:eastAsia="Arial" w:hAnsi="Arial"/>
          <w:sz w:val="19"/>
          <w:szCs w:val="19"/>
          <w:color w:val="auto"/>
        </w:rPr>
        <w:t xml:space="preserve">. If any Secured Party, whether by setoff or otherwise, has payment made to it with respect to any portion of the Aggregate Unpaids owing to such Secured Party (other than payments received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in a greater proportion than that received by any other Secured Party), such Secured Party agrees, promptly upon demand, to purchase for cash without recourse or warranty a portion of the Aggregate Unpaids held by the other Secured Parties so that after such purchase each Secured Party will hold its ratable proportion of the Aggregate Unpaids;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amount is thereafter recovered from such Secured Party, such purchase shall be rescinded and the purchase price restored to the extent of such recovery, but without interest.</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14.4 </w:t>
      </w:r>
      <w:r>
        <w:rPr>
          <w:rFonts w:ascii="Arial" w:cs="Arial" w:eastAsia="Arial" w:hAnsi="Arial"/>
          <w:sz w:val="22"/>
          <w:szCs w:val="22"/>
          <w:u w:val="single" w:color="auto"/>
          <w:color w:val="auto"/>
        </w:rPr>
        <w:t>No Waiver; Remedies</w:t>
      </w:r>
      <w:r>
        <w:rPr>
          <w:rFonts w:ascii="Arial" w:cs="Arial" w:eastAsia="Arial" w:hAnsi="Arial"/>
          <w:sz w:val="22"/>
          <w:szCs w:val="22"/>
          <w:color w:val="auto"/>
        </w:rPr>
        <w:t>. No failure on the part of the Deal Agent, the Collateral Agent, the Backup Servicer or a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u w:val="single" w:color="auto"/>
          <w:color w:val="auto"/>
        </w:rPr>
        <w:t>Binding Effect; Benefit of Agreement</w:t>
      </w:r>
      <w:r>
        <w:rPr>
          <w:rFonts w:ascii="Arial" w:cs="Arial" w:eastAsia="Arial" w:hAnsi="Arial"/>
          <w:sz w:val="22"/>
          <w:szCs w:val="22"/>
          <w:color w:val="auto"/>
        </w:rPr>
        <w:t>. This Agreement shall be binding upon and inure to the benefit of the Borrower, the Deal Agent, the Backup Servicer, the Collateral Agent, the Secured Parties and their respective successors and permitted assigns.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113" w:name="page114"/>
    <w:bookmarkEnd w:id="113"/>
    <w:p>
      <w:pPr>
        <w:jc w:val="both"/>
        <w:ind w:right="20"/>
        <w:spacing w:after="0" w:line="263" w:lineRule="auto"/>
        <w:rPr>
          <w:sz w:val="20"/>
          <w:szCs w:val="20"/>
          <w:color w:val="auto"/>
        </w:rPr>
      </w:pPr>
      <w:r>
        <w:rPr>
          <w:rFonts w:ascii="Arial" w:cs="Arial" w:eastAsia="Arial" w:hAnsi="Arial"/>
          <w:sz w:val="22"/>
          <w:szCs w:val="22"/>
          <w:color w:val="auto"/>
        </w:rPr>
        <w:t xml:space="preserve">addition, the provisions of </w:t>
      </w:r>
      <w:r>
        <w:rPr>
          <w:rFonts w:ascii="Arial" w:cs="Arial" w:eastAsia="Arial" w:hAnsi="Arial"/>
          <w:sz w:val="22"/>
          <w:szCs w:val="22"/>
          <w:u w:val="single" w:color="auto"/>
          <w:color w:val="auto"/>
        </w:rPr>
        <w:t>Section 2.7(a)(i)</w:t>
      </w:r>
      <w:r>
        <w:rPr>
          <w:rFonts w:ascii="Arial" w:cs="Arial" w:eastAsia="Arial" w:hAnsi="Arial"/>
          <w:sz w:val="22"/>
          <w:szCs w:val="22"/>
          <w:color w:val="auto"/>
        </w:rPr>
        <w:t xml:space="preserve"> shall inure to the benefit of each Hedge Counterparty, whether or not that Hedge Counterparty is a Secured Party</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14.6 </w:t>
      </w:r>
      <w:r>
        <w:rPr>
          <w:rFonts w:ascii="Arial" w:cs="Arial" w:eastAsia="Arial" w:hAnsi="Arial"/>
          <w:sz w:val="19"/>
          <w:szCs w:val="19"/>
          <w:u w:val="single" w:color="auto"/>
          <w:color w:val="auto"/>
        </w:rPr>
        <w:t>Term of this Agreement</w:t>
      </w:r>
      <w:r>
        <w:rPr>
          <w:rFonts w:ascii="Arial" w:cs="Arial" w:eastAsia="Arial" w:hAnsi="Arial"/>
          <w:sz w:val="19"/>
          <w:szCs w:val="19"/>
          <w:color w:val="auto"/>
        </w:rPr>
        <w:t xml:space="preserve">. This Agreement, including, without limitation, the Borrower's representations, warranties and covenants set forth in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and V, and the Servicer's representations, warranties and covenants set forth in </w:t>
      </w:r>
      <w:r>
        <w:rPr>
          <w:rFonts w:ascii="Arial" w:cs="Arial" w:eastAsia="Arial" w:hAnsi="Arial"/>
          <w:sz w:val="19"/>
          <w:szCs w:val="19"/>
          <w:u w:val="single" w:color="auto"/>
          <w:color w:val="auto"/>
        </w:rPr>
        <w:t>Articles 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hereof, create and constitute the continuing obligation of the parties hereto in accordance with its terms, and shall remain in full force and effect until the Collection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rights and remedies with respect to any breach of any representation and warranty made or deemed made by the Borrower or Servicer pursuant to </w:t>
      </w:r>
      <w:r>
        <w:rPr>
          <w:rFonts w:ascii="Arial" w:cs="Arial" w:eastAsia="Arial" w:hAnsi="Arial"/>
          <w:sz w:val="19"/>
          <w:szCs w:val="19"/>
          <w:u w:val="single" w:color="auto"/>
          <w:color w:val="auto"/>
        </w:rPr>
        <w:t>Articles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and the indemnification and payment provisions of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and the provisions of </w:t>
      </w:r>
      <w:r>
        <w:rPr>
          <w:rFonts w:ascii="Arial" w:cs="Arial" w:eastAsia="Arial" w:hAnsi="Arial"/>
          <w:sz w:val="19"/>
          <w:szCs w:val="19"/>
          <w:u w:val="single" w:color="auto"/>
          <w:color w:val="auto"/>
        </w:rPr>
        <w:t>Section 14.10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14.11</w:t>
      </w:r>
      <w:r>
        <w:rPr>
          <w:rFonts w:ascii="Arial" w:cs="Arial" w:eastAsia="Arial" w:hAnsi="Arial"/>
          <w:sz w:val="19"/>
          <w:szCs w:val="19"/>
          <w:color w:val="auto"/>
        </w:rPr>
        <w:t xml:space="preserve"> shall be continuing and shall survive any termination of this Agreement.</w:t>
      </w:r>
    </w:p>
    <w:p>
      <w:pPr>
        <w:spacing w:after="0" w:line="15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14.7 </w:t>
      </w:r>
      <w:r>
        <w:rPr>
          <w:rFonts w:ascii="Arial" w:cs="Arial" w:eastAsia="Arial" w:hAnsi="Arial"/>
          <w:sz w:val="22"/>
          <w:szCs w:val="22"/>
          <w:u w:val="single" w:color="auto"/>
          <w:color w:val="auto"/>
        </w:rPr>
        <w:t>Governing Law; Consent to Jurisdiction; Waiver of Objection to Venue</w:t>
      </w:r>
      <w:r>
        <w:rPr>
          <w:rFonts w:ascii="Arial" w:cs="Arial" w:eastAsia="Arial" w:hAnsi="Arial"/>
          <w:sz w:val="22"/>
          <w:szCs w:val="22"/>
          <w:color w:val="auto"/>
        </w:rPr>
        <w:t>. THIS AGREEMENT SHALL BE GOVERNED BY, AND CONSTRUED IN ACCORDANCE WITH, THE LAWS OF THE STATE OF NEW YORK. EACH OF THE PARTIES HERETO AND EACH HEDGE COUNTERPARTY HEREBY AGREES TO THE NON-EXCLUSIVE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14.8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TO THE EXTENT PERMITTED BY APPLICABLE LAW, EACH OF THE PARTIES HERETO AND EACH HEDGE COUNTERPARTY HEREBY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9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14.9</w:t>
      </w:r>
      <w:r>
        <w:rPr>
          <w:sz w:val="20"/>
          <w:szCs w:val="20"/>
          <w:color w:val="auto"/>
        </w:rPr>
        <w:tab/>
      </w:r>
      <w:r>
        <w:rPr>
          <w:rFonts w:ascii="Arial" w:cs="Arial" w:eastAsia="Arial" w:hAnsi="Arial"/>
          <w:sz w:val="18"/>
          <w:szCs w:val="18"/>
          <w:u w:val="single" w:color="auto"/>
          <w:color w:val="auto"/>
        </w:rPr>
        <w:t>Costs, Expenses and Taxes</w:t>
      </w:r>
      <w:r>
        <w:rPr>
          <w:rFonts w:ascii="Arial" w:cs="Arial" w:eastAsia="Arial" w:hAnsi="Arial"/>
          <w:sz w:val="18"/>
          <w:szCs w:val="18"/>
          <w:color w:val="auto"/>
        </w:rPr>
        <w:t>.</w:t>
      </w:r>
    </w:p>
    <w:p>
      <w:pPr>
        <w:spacing w:after="0" w:line="220" w:lineRule="exact"/>
        <w:rPr>
          <w:sz w:val="20"/>
          <w:szCs w:val="20"/>
          <w:color w:val="auto"/>
        </w:rPr>
      </w:pPr>
    </w:p>
    <w:p>
      <w:pPr>
        <w:jc w:val="both"/>
        <w:ind w:firstLine="1304"/>
        <w:spacing w:after="0" w:line="290" w:lineRule="auto"/>
        <w:tabs>
          <w:tab w:leader="none" w:pos="1941"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In addition to the rights of indemnification granted to the Deal Agent, the Backup Servicer, the Collateral Agent, the Secured Parties and its or their Affiliates and officers, directors, employees and agents thereof under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hereof, the Borrower agrees to pay on demand all costs and expenses of the Deal Agent, the Backup Servicer, the Collateral Agent and the Secured Parties incurred in connection with the preparation, execution, delivery, administration (including periodic auditing), amendment or modification of, or any waiver or consent issued in connection with, this Agreement, the other Transaction Documents and the other documents to be delivered hereunder or thereunder, or in connection herewith or therewith (excluding any Hedging Agreement), including, without limitation, the reasonable fees and out-of-pocket expenses of counsel for the Deal Agent, the Backup Servicer, the Collateral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4" w:name="page115"/>
    <w:bookmarkEnd w:id="114"/>
    <w:p>
      <w:pPr>
        <w:jc w:val="both"/>
        <w:spacing w:after="0" w:line="292" w:lineRule="auto"/>
        <w:rPr>
          <w:sz w:val="20"/>
          <w:szCs w:val="20"/>
          <w:color w:val="auto"/>
        </w:rPr>
      </w:pPr>
      <w:r>
        <w:rPr>
          <w:rFonts w:ascii="Arial" w:cs="Arial" w:eastAsia="Arial" w:hAnsi="Arial"/>
          <w:sz w:val="19"/>
          <w:szCs w:val="19"/>
          <w:color w:val="auto"/>
        </w:rPr>
        <w:t>the Secured Parties with respect thereto and with respect to advising the Deal Agent, the Backup Servicer, the Collateral Agent and the Secured Parties as to their respective rights and remedies under this Agreement, the other Transaction Documents and the other documents to be delivered hereunder or thereunder, or in connection herewith or therewith (excluding any Hedging Agreement), and all costs and expenses, if any (including reasonable counsel fees and expenses), incurred by the Deal Agent, the Backup Servicer, the Collateral Agent or the Secured Parties in connection with the enforcement of this Agreement, the other Transaction Documents and the other documents to be delivered hereunder or thereunder, or in connection herewith or therewith (including any indemnification obligations hereunder or under any other Transaction Document).</w:t>
      </w:r>
    </w:p>
    <w:p>
      <w:pPr>
        <w:spacing w:after="0" w:line="151" w:lineRule="exact"/>
        <w:rPr>
          <w:sz w:val="20"/>
          <w:szCs w:val="20"/>
          <w:color w:val="auto"/>
        </w:rPr>
      </w:pPr>
    </w:p>
    <w:p>
      <w:pPr>
        <w:jc w:val="both"/>
        <w:ind w:firstLine="1304"/>
        <w:spacing w:after="0" w:line="265" w:lineRule="auto"/>
        <w:tabs>
          <w:tab w:leader="none" w:pos="193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Borrower shall timely pay to the relevant Governmental Authority in accordance with Applicable Law any and all stamp, sales, excise and other taxes and fees payable or determined to be payable in connection with the execution, delivery, filing and recording of this Agreement, the other Transaction Documents, the other documents to be delivered hereunder, credit enhancement or other similar support to the Lender in connection with this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14.10 </w:t>
      </w:r>
      <w:r>
        <w:rPr>
          <w:rFonts w:ascii="Arial" w:cs="Arial" w:eastAsia="Arial" w:hAnsi="Arial"/>
          <w:sz w:val="22"/>
          <w:szCs w:val="22"/>
          <w:u w:val="single" w:color="auto"/>
          <w:color w:val="auto"/>
        </w:rPr>
        <w:t>No Proceedings</w:t>
      </w:r>
      <w:r>
        <w:rPr>
          <w:rFonts w:ascii="Arial" w:cs="Arial" w:eastAsia="Arial" w:hAnsi="Arial"/>
          <w:sz w:val="22"/>
          <w:szCs w:val="22"/>
          <w:color w:val="auto"/>
        </w:rPr>
        <w:t>. Each of the parties hereto hereby agrees that it will not institute against, or join any other Person in instituting against the Borrower any Insolvency Proceeding so long as there shall not have elapsed one year and one day since the Collection Date.</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14.11 </w:t>
      </w:r>
      <w:r>
        <w:rPr>
          <w:rFonts w:ascii="Arial" w:cs="Arial" w:eastAsia="Arial" w:hAnsi="Arial"/>
          <w:sz w:val="19"/>
          <w:szCs w:val="19"/>
          <w:u w:val="single" w:color="auto"/>
          <w:color w:val="auto"/>
        </w:rPr>
        <w:t>Recourse Against Certain Parties</w:t>
      </w:r>
      <w:r>
        <w:rPr>
          <w:rFonts w:ascii="Arial" w:cs="Arial" w:eastAsia="Arial" w:hAnsi="Arial"/>
          <w:sz w:val="19"/>
          <w:szCs w:val="19"/>
          <w:color w:val="auto"/>
        </w:rPr>
        <w:t xml:space="preserve">. No recourse under or with respect to any obligation, covenant or agreement (including, without limitation, the payment of any fees or any other obligations) of any Secured Party as contained in this Agreement or any other agreement, instrument or document entered into by it pursuant hereto or in connection herewith shall be had against any administrator of such Secured Party or any incorporator, affiliate, stockholder, officer, employee or director of such Secured Party or of any such administrator, as such, by the enforcement of any assessment or by any legal or equitable proceeding, by virtue of any statute or otherwise; </w:t>
      </w:r>
      <w:r>
        <w:rPr>
          <w:rFonts w:ascii="Arial" w:cs="Arial" w:eastAsia="Arial" w:hAnsi="Arial"/>
          <w:sz w:val="19"/>
          <w:szCs w:val="19"/>
          <w:u w:val="single" w:color="auto"/>
          <w:color w:val="auto"/>
        </w:rPr>
        <w:t>it being expressly agreed and understood</w:t>
      </w:r>
      <w:r>
        <w:rPr>
          <w:rFonts w:ascii="Arial" w:cs="Arial" w:eastAsia="Arial" w:hAnsi="Arial"/>
          <w:sz w:val="19"/>
          <w:szCs w:val="19"/>
          <w:color w:val="auto"/>
        </w:rPr>
        <w:t xml:space="preserve"> that the agreements of such Secured Party contained in this Agreement and all of the other agreements, instruments and documents entered into by it pursuant hereto or in connection herewith are, in each case, solely the corporate obligations of such Secured Party, and that no personal liability whatsoever shall attach to or be incurred by any administrator of such Secured Party or any incorporator, stockholder, affiliate, officer, employee or director of such Secured Party or of any such administrator, as such, or any other of them, under or by reason of any of the obligations, covenants or agreements of such Secured Party contained in this Agreement or in any other such instruments, documents or agreements, or that are implied therefrom, and that any and all personal liability of every such administrator of such Secured Party and each incorporator, stockholder, affiliate, officer, employee or director of such Secured Party or of any such administrator, or any of them, for breaches by such Secured Party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9"/>
          <w:szCs w:val="19"/>
          <w:u w:val="single" w:color="auto"/>
          <w:color w:val="auto"/>
        </w:rPr>
        <w:t>Section 14.11</w:t>
      </w:r>
      <w:r>
        <w:rPr>
          <w:rFonts w:ascii="Arial" w:cs="Arial" w:eastAsia="Arial" w:hAnsi="Arial"/>
          <w:sz w:val="19"/>
          <w:szCs w:val="19"/>
          <w:color w:val="auto"/>
        </w:rPr>
        <w:t xml:space="preserv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color w:val="auto"/>
        </w:rPr>
        <w:t xml:space="preserve">Section 14.12 </w:t>
      </w:r>
      <w:r>
        <w:rPr>
          <w:rFonts w:ascii="Arial" w:cs="Arial" w:eastAsia="Arial" w:hAnsi="Arial"/>
          <w:sz w:val="22"/>
          <w:szCs w:val="22"/>
          <w:u w:val="single" w:color="auto"/>
          <w:color w:val="auto"/>
        </w:rPr>
        <w:t>Protection of Right, Title and Interest in Assets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9" w:lineRule="auto"/>
        <w:tabs>
          <w:tab w:leader="none" w:pos="1941"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Each of the Borrower and the Servicer shall cause this Agreement, all amendments hereto and/or all financing statements and continuation statements and any other necessary documents covering the right, title and interest of the Collateral Agent as agent for the Secured Parties and of the Secured Parties to the assets to be promptly recorded, registered and filed, and at all times to be kept recorded, registered and filed, all in such manner and in such places as may be required by law fully to preserve and protect the right, title and interest of the Collateral Agent as agent for the Secured Parties hereunder to all property comprising the assets. Each of the Borrower and the Servicer shall deliver to the Collateral Agent file-stamped copies of, or filing receipts for, any document recorded, registered or filed as provided above, as soon as available following such recording, registration or filing. The Borrower shall cooperate fully with the Servicer in connection with the obligations set forth above and will execute any and all documents reasonably required to fulfill the intent of this </w:t>
      </w:r>
      <w:r>
        <w:rPr>
          <w:rFonts w:ascii="Arial" w:cs="Arial" w:eastAsia="Arial" w:hAnsi="Arial"/>
          <w:sz w:val="19"/>
          <w:szCs w:val="19"/>
          <w:u w:val="single" w:color="auto"/>
          <w:color w:val="auto"/>
        </w:rPr>
        <w:t>Section 14.12(a)</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Each of the Borrower and the Servicer agrees that from time to time, at its expense, it will promptly execute and deliver all instruments and documents, and take all actions, that the Deal Agent may reasonably request in order to perfect, protect or more fully evidence the funding hereunder, or to enable the Collateral Agent, the Deal Agent or the Secured Parties to exercise and enforce their rights and remedies hereunder or under any other Transaction Document.</w:t>
      </w:r>
    </w:p>
    <w:p>
      <w:pPr>
        <w:spacing w:after="0" w:line="142" w:lineRule="exact"/>
        <w:rPr>
          <w:rFonts w:ascii="Arial" w:cs="Arial" w:eastAsia="Arial" w:hAnsi="Arial"/>
          <w:sz w:val="19"/>
          <w:szCs w:val="19"/>
          <w:color w:val="auto"/>
        </w:rPr>
      </w:pPr>
    </w:p>
    <w:p>
      <w:pPr>
        <w:jc w:val="both"/>
        <w:ind w:firstLine="1304"/>
        <w:spacing w:after="0" w:line="288" w:lineRule="auto"/>
        <w:tabs>
          <w:tab w:leader="none" w:pos="1941"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If the Borrower or the Servicer fails to perform any of its obligations hereunder, the Deal Agent or any Secured Party may (but shall not be required to) perform, or cause performance of, such obligation; and the Deal Agent's or such Secured Party's costs and expenses incurred in connection therewith shall be payable by the Borrower (if the Servicer that fails to so perform is the Borrower or an Affiliate thereof) as provided in </w:t>
      </w:r>
      <w:r>
        <w:rPr>
          <w:rFonts w:ascii="Arial" w:cs="Arial" w:eastAsia="Arial" w:hAnsi="Arial"/>
          <w:sz w:val="19"/>
          <w:szCs w:val="19"/>
          <w:u w:val="single" w:color="auto"/>
          <w:color w:val="auto"/>
        </w:rPr>
        <w:t>Article XI</w:t>
      </w:r>
      <w:r>
        <w:rPr>
          <w:rFonts w:ascii="Arial" w:cs="Arial" w:eastAsia="Arial" w:hAnsi="Arial"/>
          <w:sz w:val="19"/>
          <w:szCs w:val="19"/>
          <w:color w:val="auto"/>
        </w:rPr>
        <w:t>, as applicable. The Borrower irrevocably authorizes the Deal Agent and appoints the Deal Agent as its attorney-in-fact to act on behalf of the Borrower (i) to execute on behalf of the Borrower as debtor and to file financing statements necessary or desirable in the Deal Agent's sole discretion to perfect and to maintain the perfection and priority of the interest of the Secured Parties in the assets and (ii) to file a carbon, photographic or other reproduction of this Agreement or any financing statement with respect to the assets as a financing statement in such offices as the Deal Agent in its sole discretion deems necessary or desirable to perfect and to maintain the perfection and priority of the interests of the Secured Parties in the assets. This appointment is coupled with an interest and is irrevocable.</w:t>
      </w:r>
    </w:p>
    <w:p>
      <w:pPr>
        <w:spacing w:after="0" w:line="159" w:lineRule="exact"/>
        <w:rPr>
          <w:rFonts w:ascii="Arial" w:cs="Arial" w:eastAsia="Arial" w:hAnsi="Arial"/>
          <w:sz w:val="19"/>
          <w:szCs w:val="19"/>
          <w:color w:val="auto"/>
        </w:rPr>
      </w:pPr>
    </w:p>
    <w:p>
      <w:pPr>
        <w:jc w:val="both"/>
        <w:ind w:firstLine="1304"/>
        <w:spacing w:after="0" w:line="312" w:lineRule="auto"/>
        <w:tabs>
          <w:tab w:leader="none" w:pos="193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the foregoing, Borrower will, not earlier than six (6) months and not later than three (3) months prior to the fifth anniversary of the date of filing of the financing statement referred to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or any other financing statement filed pursuant to this Agreement, unless the Collection Date shall have occurred:</w:t>
      </w:r>
    </w:p>
    <w:p>
      <w:pPr>
        <w:spacing w:after="0" w:line="133" w:lineRule="exact"/>
        <w:rPr>
          <w:rFonts w:ascii="Arial" w:cs="Arial" w:eastAsia="Arial" w:hAnsi="Arial"/>
          <w:sz w:val="19"/>
          <w:szCs w:val="19"/>
          <w:color w:val="auto"/>
        </w:rPr>
      </w:pPr>
    </w:p>
    <w:p>
      <w:pPr>
        <w:ind w:left="660" w:firstLine="1034"/>
        <w:spacing w:after="0" w:line="263" w:lineRule="auto"/>
        <w:tabs>
          <w:tab w:leader="none" w:pos="1962" w:val="left"/>
        </w:tabs>
        <w:numPr>
          <w:ilvl w:val="1"/>
          <w:numId w:val="147"/>
        </w:numPr>
        <w:rPr>
          <w:rFonts w:ascii="Arial" w:cs="Arial" w:eastAsia="Arial" w:hAnsi="Arial"/>
          <w:sz w:val="22"/>
          <w:szCs w:val="22"/>
          <w:color w:val="auto"/>
        </w:rPr>
      </w:pPr>
      <w:r>
        <w:rPr>
          <w:rFonts w:ascii="Arial" w:cs="Arial" w:eastAsia="Arial" w:hAnsi="Arial"/>
          <w:sz w:val="22"/>
          <w:szCs w:val="22"/>
          <w:color w:val="auto"/>
        </w:rPr>
        <w:t>execute and deliver and file or cause to be filed an appropriate continuation statement with respect to such financing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6" w:name="page117"/>
    <w:bookmarkEnd w:id="116"/>
    <w:p>
      <w:pPr>
        <w:spacing w:after="0" w:line="204" w:lineRule="exact"/>
        <w:rPr>
          <w:sz w:val="20"/>
          <w:szCs w:val="20"/>
          <w:color w:val="auto"/>
        </w:rPr>
      </w:pPr>
    </w:p>
    <w:p>
      <w:pPr>
        <w:jc w:val="both"/>
        <w:ind w:left="660" w:firstLine="974"/>
        <w:spacing w:after="0" w:line="247" w:lineRule="auto"/>
        <w:tabs>
          <w:tab w:leader="none" w:pos="1979" w:val="left"/>
        </w:tabs>
        <w:numPr>
          <w:ilvl w:val="1"/>
          <w:numId w:val="148"/>
        </w:numPr>
        <w:rPr>
          <w:rFonts w:ascii="Arial" w:cs="Arial" w:eastAsia="Arial" w:hAnsi="Arial"/>
          <w:sz w:val="22"/>
          <w:szCs w:val="22"/>
          <w:color w:val="auto"/>
        </w:rPr>
      </w:pPr>
      <w:r>
        <w:rPr>
          <w:rFonts w:ascii="Arial" w:cs="Arial" w:eastAsia="Arial" w:hAnsi="Arial"/>
          <w:sz w:val="22"/>
          <w:szCs w:val="22"/>
          <w:color w:val="auto"/>
        </w:rPr>
        <w:t xml:space="preserve">deliver or cause to be delivered to the Deal Agent an opinion of the counsel for Borrower, in form and substance reasonably satisfactory to the Deal Agent, confirming and updating the opinion delivered pursuant to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with respect to perfection and otherwise to the effect that the grant of the security interest in the Collateral hereunder continues to be an enforceable and perfected security interest, subject to no other Liens of record except as provided herein or otherwise permitted hereunder, which opinion may contain usual and customary assumptions, limitations and exceptions.</w:t>
      </w:r>
    </w:p>
    <w:p>
      <w:pPr>
        <w:spacing w:after="0" w:line="192" w:lineRule="exact"/>
        <w:rPr>
          <w:rFonts w:ascii="Arial" w:cs="Arial" w:eastAsia="Arial" w:hAnsi="Arial"/>
          <w:sz w:val="22"/>
          <w:szCs w:val="22"/>
          <w:color w:val="auto"/>
        </w:rPr>
      </w:pPr>
    </w:p>
    <w:p>
      <w:pPr>
        <w:jc w:val="both"/>
        <w:ind w:firstLine="1304"/>
        <w:spacing w:after="0" w:line="286" w:lineRule="auto"/>
        <w:tabs>
          <w:tab w:leader="none" w:pos="194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addition to the foregoing, the Borrower shall deliver or cause to be delivered to the Collateral Agent and the Deal Agent for the benefit of the Secured Parties within ninety (90) days after the beginning of each calendar year beginning with 2022, an opinion of the counsel for Borrower, dated as of a date during such 90-day period, stating that, in the opinion of such counsel, the existing financing statement naming the Borrower as debtor and the Collateral Agent as secured party and any related continuation statement or amendment (the “</w:t>
      </w:r>
      <w:r>
        <w:rPr>
          <w:rFonts w:ascii="Arial" w:cs="Arial" w:eastAsia="Arial" w:hAnsi="Arial"/>
          <w:sz w:val="19"/>
          <w:szCs w:val="19"/>
          <w:u w:val="single" w:color="auto"/>
          <w:color w:val="auto"/>
        </w:rPr>
        <w:t>Financing Statement</w:t>
      </w:r>
      <w:r>
        <w:rPr>
          <w:rFonts w:ascii="Arial" w:cs="Arial" w:eastAsia="Arial" w:hAnsi="Arial"/>
          <w:sz w:val="19"/>
          <w:szCs w:val="19"/>
          <w:color w:val="auto"/>
        </w:rPr>
        <w:t>”) will remain effective and no additional financing statements, continuation statements or amendments with respect to the Financing Statement (other than a continuation statement to be filed within the period that is six months prior to the expiration of the Financing Statement, as applicable) will be required to be filed from the date of such opinion through the date that is the one year anniversary of the date of such opinion to maintain the perfection of the security interest of the Collateral Agent as such lien otherwise exists on the date of such opinion. Such opinion of counsel shall (i) describe the filing of any financing statements and continuation statements that will, in the opinion of such counsel, be required to preserve and protect the interest of the Collateral Agent in the Collateral, until the 90th day in the following calendar year and (ii) specify any action necessary (as of the date of such opinion) to be taken in the following calendar year to preserve perfection of such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14.13 </w:t>
      </w:r>
      <w:r>
        <w:rPr>
          <w:rFonts w:ascii="Arial" w:cs="Arial" w:eastAsia="Arial" w:hAnsi="Arial"/>
          <w:sz w:val="22"/>
          <w:szCs w:val="22"/>
          <w:u w:val="single" w:color="auto"/>
          <w:color w:val="auto"/>
        </w:rPr>
        <w:t>Confidentiality; Tax Treatment Disclosure</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83" w:lineRule="auto"/>
        <w:tabs>
          <w:tab w:leader="none" w:pos="1941" w:val="left"/>
        </w:tabs>
        <w:numPr>
          <w:ilvl w:val="1"/>
          <w:numId w:val="150"/>
        </w:numPr>
        <w:rPr>
          <w:rFonts w:ascii="Arial" w:cs="Arial" w:eastAsia="Arial" w:hAnsi="Arial"/>
          <w:sz w:val="19"/>
          <w:szCs w:val="19"/>
          <w:color w:val="auto"/>
        </w:rPr>
      </w:pPr>
      <w:r>
        <w:rPr>
          <w:rFonts w:ascii="Arial" w:cs="Arial" w:eastAsia="Arial" w:hAnsi="Arial"/>
          <w:sz w:val="19"/>
          <w:szCs w:val="19"/>
          <w:color w:val="auto"/>
        </w:rPr>
        <w:t>Each of the Deal Agent, the Secured Parties, the Servicer, the Collateral Agent, the Backup Servicer and the Borrower shall maintain and shall cause each of its employees and officers to maintain the confidentiality of this Agreement and all information with respect to the other parties, including all information regarding the business of the Borrower and the Servicer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attorneys, investors, potential investors and the agents of such Persons (“</w:t>
      </w:r>
      <w:r>
        <w:rPr>
          <w:rFonts w:ascii="Arial" w:cs="Arial" w:eastAsia="Arial" w:hAnsi="Arial"/>
          <w:sz w:val="19"/>
          <w:szCs w:val="19"/>
          <w:u w:val="single" w:color="auto"/>
          <w:color w:val="auto"/>
        </w:rPr>
        <w:t>Excepted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Excepted Person shall, as a condition to any such disclosure, agree for the benefit of the Deal Agent, the Secured Parties, the Servicer, the Collateral Agent, the Backup Servicer and the Borrower that such information shall be used solely in connection with such Excepted Person's evaluation of, or relationship with, the Borrower and its affiliates,</w:t>
      </w:r>
    </w:p>
    <w:p>
      <w:pPr>
        <w:spacing w:after="0" w:line="7" w:lineRule="exact"/>
        <w:rPr>
          <w:rFonts w:ascii="Arial" w:cs="Arial" w:eastAsia="Arial" w:hAnsi="Arial"/>
          <w:sz w:val="19"/>
          <w:szCs w:val="19"/>
          <w:color w:val="auto"/>
        </w:rPr>
      </w:pPr>
    </w:p>
    <w:p>
      <w:pPr>
        <w:jc w:val="both"/>
        <w:ind w:firstLine="8"/>
        <w:spacing w:after="0" w:line="245" w:lineRule="auto"/>
        <w:tabs>
          <w:tab w:leader="none" w:pos="331" w:val="left"/>
        </w:tabs>
        <w:numPr>
          <w:ilvl w:val="0"/>
          <w:numId w:val="151"/>
        </w:numPr>
        <w:rPr>
          <w:rFonts w:ascii="Arial" w:cs="Arial" w:eastAsia="Arial" w:hAnsi="Arial"/>
          <w:sz w:val="22"/>
          <w:szCs w:val="22"/>
          <w:color w:val="auto"/>
        </w:rPr>
      </w:pPr>
      <w:r>
        <w:rPr>
          <w:rFonts w:ascii="Arial" w:cs="Arial" w:eastAsia="Arial" w:hAnsi="Arial"/>
          <w:sz w:val="22"/>
          <w:szCs w:val="22"/>
          <w:color w:val="auto"/>
        </w:rPr>
        <w:t>disclose the existence of this Agreement, but not the financial terms hereof, (iii) disclose such information as is required by the Transaction Documents or Applicable Law and (iv) disclose this Agreement and such information in any suit, action, proceeding or investigation (whether in law or in equity or pursuant to arbitration) involving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40" w:right="339" w:bottom="1440" w:gutter="0" w:footer="0" w:header="0"/>
        </w:sectPr>
      </w:pPr>
    </w:p>
    <w:bookmarkStart w:id="117" w:name="page118"/>
    <w:bookmarkEnd w:id="117"/>
    <w:p>
      <w:pPr>
        <w:jc w:val="both"/>
        <w:spacing w:after="0" w:line="302" w:lineRule="auto"/>
        <w:rPr>
          <w:sz w:val="20"/>
          <w:szCs w:val="20"/>
          <w:color w:val="auto"/>
        </w:rPr>
      </w:pPr>
      <w:r>
        <w:rPr>
          <w:rFonts w:ascii="Arial" w:cs="Arial" w:eastAsia="Arial" w:hAnsi="Arial"/>
          <w:sz w:val="19"/>
          <w:szCs w:val="19"/>
          <w:color w:val="auto"/>
        </w:rPr>
        <w:t xml:space="preserve">of the Transaction Documents for the purpose of defending itself, reducing its liability, or protecting or exercising any of its claims, rights, remedies, or interests under or in connection with any of the Transaction Documents. It is understood that the financial terms that may not be disclosed except in compliance with this </w:t>
      </w:r>
      <w:r>
        <w:rPr>
          <w:rFonts w:ascii="Arial" w:cs="Arial" w:eastAsia="Arial" w:hAnsi="Arial"/>
          <w:sz w:val="19"/>
          <w:szCs w:val="19"/>
          <w:u w:val="single" w:color="auto"/>
          <w:color w:val="auto"/>
        </w:rPr>
        <w:t>Section 14.13(a)</w:t>
      </w:r>
      <w:r>
        <w:rPr>
          <w:rFonts w:ascii="Arial" w:cs="Arial" w:eastAsia="Arial" w:hAnsi="Arial"/>
          <w:sz w:val="19"/>
          <w:szCs w:val="19"/>
          <w:color w:val="auto"/>
        </w:rPr>
        <w:t xml:space="preserve"> include, without limitation, all fees and other pricing terms, and all Termination Events, Servicer Termination Events, and priority of payment provisions.</w:t>
      </w:r>
    </w:p>
    <w:p>
      <w:pPr>
        <w:spacing w:after="0" w:line="142" w:lineRule="exact"/>
        <w:rPr>
          <w:sz w:val="20"/>
          <w:szCs w:val="20"/>
          <w:color w:val="auto"/>
        </w:rPr>
      </w:pPr>
    </w:p>
    <w:p>
      <w:pPr>
        <w:jc w:val="both"/>
        <w:ind w:firstLine="1304"/>
        <w:spacing w:after="0" w:line="289" w:lineRule="auto"/>
        <w:tabs>
          <w:tab w:leader="none" w:pos="193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Anything herein to the contrary notwithstanding, each of the Borrower and the Servicer hereby consents to the disclosure of any nonpublic information with respect to it (i) to the Deal Agent, the Collateral Agent, the Backup Servicer or the Secured Parties by each other, (ii) by the Deal Agent or the Lender to any prospective or actual assignee or participant of any of them or (iii) by the Deal Agent, the Collateral Agent or any Lender to any nationally recognized statistical rating organization, commercial paper dealer or provider of a surety, guaranty or credit or liquidity enhancement to a Lender and to any officers, directors, employees, outside accountants and attorneys of any of the foregoing, provided each such Person is informed of the confidential nature of such information. In addition, the Secured Parties, the Backup Servicer and the Deal Agent may disclose any such nonpublic information as required pursuant to any law, rule, regulation, direction, request or order of any judicial, administrative or regulatory authority or proceedings (whether or not having the force or effect of law).</w:t>
      </w:r>
    </w:p>
    <w:p>
      <w:pPr>
        <w:spacing w:after="0" w:line="156" w:lineRule="exact"/>
        <w:rPr>
          <w:rFonts w:ascii="Arial" w:cs="Arial" w:eastAsia="Arial" w:hAnsi="Arial"/>
          <w:sz w:val="19"/>
          <w:szCs w:val="19"/>
          <w:color w:val="auto"/>
        </w:rPr>
      </w:pPr>
    </w:p>
    <w:p>
      <w:pPr>
        <w:jc w:val="both"/>
        <w:ind w:firstLine="1304"/>
        <w:spacing w:after="0" w:line="287" w:lineRule="auto"/>
        <w:tabs>
          <w:tab w:leader="none" w:pos="194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the foregoing shall not be construed to prohibit (i) disclosure of any and all information that is or becomes publicly known, (ii) disclosure of any and all information (A) if required to do so by any applicable statute, law, rule or regulation, (B) to any government agency or regulatory body having or claiming authority to regulate or oversee any aspects of the Collateral Agent's or Backup Servicer's business or that of their affiliates, (C) pursuant to any subpoena, civil investigative demand or similar demand or request of any court, regulatory authority, arbitrator or arbitration to which the Collateral Agent or Backup Servicer or an affiliate or an officer, director, employer or shareholder thereof is a party, (D) in any preliminary or final offering circular, registration statement or contract or other document pertaining to the transactions contemplated herein approved in advance by the Borrower or Servicer or (E) to any affiliate, independent or internal auditor, agent, employee, attorney or subservicer of the Collateral Agent or Backup Servicer having a need to know the same,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Collateral Agent or Backup Servicer advises such recipient of the confidential nature of the information being disclosed, or (iii) any other disclosure authorized by the Transaction Documents or the Borrower or Servicer.</w:t>
      </w:r>
    </w:p>
    <w:p>
      <w:pPr>
        <w:spacing w:after="0" w:line="163" w:lineRule="exact"/>
        <w:rPr>
          <w:rFonts w:ascii="Arial" w:cs="Arial" w:eastAsia="Arial" w:hAnsi="Arial"/>
          <w:sz w:val="19"/>
          <w:szCs w:val="19"/>
          <w:color w:val="auto"/>
        </w:rPr>
      </w:pPr>
    </w:p>
    <w:p>
      <w:pPr>
        <w:jc w:val="both"/>
        <w:ind w:firstLine="1304"/>
        <w:spacing w:after="0" w:line="260" w:lineRule="auto"/>
        <w:tabs>
          <w:tab w:leader="none" w:pos="1939"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disclosure may not be made to the extent required to be kept confidential to comply with any applicable federal or state securities laws;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(to the extent not inconsistent with the foregoing) such disclosure shall be made without disclosing the names or other identifying information of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8" w:name="page119"/>
    <w:bookmarkEnd w:id="118"/>
    <w:p>
      <w:pPr>
        <w:jc w:val="both"/>
        <w:ind w:firstLine="648"/>
        <w:spacing w:after="0" w:line="289" w:lineRule="auto"/>
        <w:rPr>
          <w:sz w:val="20"/>
          <w:szCs w:val="20"/>
          <w:color w:val="auto"/>
        </w:rPr>
      </w:pPr>
      <w:r>
        <w:rPr>
          <w:rFonts w:ascii="Arial" w:cs="Arial" w:eastAsia="Arial" w:hAnsi="Arial"/>
          <w:sz w:val="19"/>
          <w:szCs w:val="19"/>
          <w:color w:val="auto"/>
        </w:rPr>
        <w:t xml:space="preserve">Section 14.14 </w:t>
      </w:r>
      <w:r>
        <w:rPr>
          <w:rFonts w:ascii="Arial" w:cs="Arial" w:eastAsia="Arial" w:hAnsi="Arial"/>
          <w:sz w:val="19"/>
          <w:szCs w:val="19"/>
          <w:u w:val="single" w:color="auto"/>
          <w:color w:val="auto"/>
        </w:rPr>
        <w:t>Execution in Counterparts; Severability; Integration</w:t>
      </w:r>
      <w:r>
        <w:rPr>
          <w:rFonts w:ascii="Arial" w:cs="Arial" w:eastAsia="Arial" w:hAnsi="Arial"/>
          <w:sz w:val="19"/>
          <w:szCs w:val="19"/>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and any agreements or letters (including fee letters) executed in connection herewith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delivered by the Originator to the Deal Agent and the Lenders.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14.15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14.16 </w:t>
      </w:r>
      <w:r>
        <w:rPr>
          <w:rFonts w:ascii="Arial" w:cs="Arial" w:eastAsia="Arial" w:hAnsi="Arial"/>
          <w:sz w:val="19"/>
          <w:szCs w:val="19"/>
          <w:u w:val="single" w:color="auto"/>
          <w:color w:val="auto"/>
        </w:rPr>
        <w:t>Patriot Act Compliance</w:t>
      </w:r>
      <w:r>
        <w:rPr>
          <w:rFonts w:ascii="Arial" w:cs="Arial" w:eastAsia="Arial" w:hAnsi="Arial"/>
          <w:sz w:val="19"/>
          <w:szCs w:val="19"/>
          <w:color w:val="auto"/>
        </w:rPr>
        <w:t>. The Collateral Agent, the Backup Servicer and the Deal Agent hereby notify the Borrower and each other party hereto that pursuant to the requirements of the Patriot Act, it, and each other Lender, may be required to obtain, verify and record information that identifies each Person or legal entity that establishes a relationship or opens an account with the Collateral Agent, Backup Servicer or Deal Agent, which information includes the name and address of such Person or entity, organizational documentation, director and equity holder information, and other information that will allow the Collateral Agent, the Backup Servicer, the Deal Agent and each Lender to identify such Persons in accordance with the Patriot Act. This notice is given in accordance with the requirements of the Patriot Act and is effective for the Collateral Agent, the Backup Servicer, the Deal Agent and each Lender.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19" w:name="page120"/>
    <w:bookmarkEnd w:id="119"/>
    <w:p>
      <w:pPr>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officers thereunto duly authorized, as of the date first above written.</w:t>
      </w:r>
    </w:p>
    <w:p>
      <w:pPr>
        <w:spacing w:after="0" w:line="391" w:lineRule="exact"/>
        <w:rPr>
          <w:sz w:val="20"/>
          <w:szCs w:val="20"/>
          <w:color w:val="auto"/>
        </w:rPr>
      </w:pPr>
    </w:p>
    <w:p>
      <w:pPr>
        <w:spacing w:after="0"/>
        <w:tabs>
          <w:tab w:leader="none" w:pos="1960" w:val="left"/>
        </w:tabs>
        <w:rPr>
          <w:sz w:val="20"/>
          <w:szCs w:val="20"/>
          <w:color w:val="auto"/>
        </w:rPr>
      </w:pPr>
      <w:r>
        <w:rPr>
          <w:rFonts w:ascii="Arial" w:cs="Arial" w:eastAsia="Arial" w:hAnsi="Arial"/>
          <w:sz w:val="22"/>
          <w:szCs w:val="22"/>
          <w:color w:val="auto"/>
        </w:rPr>
        <w:t>THE BORROWER:</w:t>
      </w:r>
      <w:r>
        <w:rPr>
          <w:sz w:val="20"/>
          <w:szCs w:val="20"/>
          <w:color w:val="auto"/>
        </w:rPr>
        <w:tab/>
      </w:r>
      <w:r>
        <w:rPr>
          <w:rFonts w:ascii="Arial" w:cs="Arial" w:eastAsia="Arial" w:hAnsi="Arial"/>
          <w:sz w:val="19"/>
          <w:szCs w:val="19"/>
          <w:color w:val="auto"/>
        </w:rPr>
        <w:t>CREDIT ACCEPTANCE FUNDING LLC 2021-1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34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W. Busk</w:t>
      </w:r>
    </w:p>
    <w:p>
      <w:pPr>
        <w:spacing w:after="0" w:line="17"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Credit Acceptance Funding LLC 2021-1</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Silver Triangle Building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25505 West Twelve Mile Road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Southfield, Michigan 48034-8339</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Douglas W. Busk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No. (866) 743-2704</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Confirmation No.: (248) 353-2700 (ext. 4432)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THE SERVICER:</w:t>
      </w:r>
      <w:r>
        <w:rPr>
          <w:sz w:val="20"/>
          <w:szCs w:val="20"/>
          <w:color w:val="auto"/>
        </w:rPr>
        <w:tab/>
      </w:r>
      <w:r>
        <w:rPr>
          <w:rFonts w:ascii="Arial" w:cs="Arial" w:eastAsia="Arial" w:hAnsi="Arial"/>
          <w:sz w:val="19"/>
          <w:szCs w:val="19"/>
          <w:color w:val="auto"/>
        </w:rPr>
        <w:t>CREDIT ACCEPTANCE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34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W. Busk</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Credit Acceptance Corporation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Silver Triangle Building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25505 West Twelve Mile Road</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Southfield, Michigan 48034-8339</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Douglas W. Busk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No. (866) 743-2704</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Confirmation No.: (248) 353-2700 (ext. 4432)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CONTINUED ON THE FOLLOWING PAGE]</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0"/>
          <w:szCs w:val="10"/>
          <w:color w:val="auto"/>
        </w:rPr>
        <w:t>1983350-NYCSR03A - MSW</w:t>
      </w:r>
    </w:p>
    <w:p>
      <w:pPr>
        <w:sectPr>
          <w:pgSz w:w="11900" w:h="16838" w:orient="portrait"/>
          <w:cols w:equalWidth="0" w:num="1">
            <w:col w:w="11240"/>
          </w:cols>
          <w:pgMar w:left="320" w:top="1428" w:right="339" w:bottom="1440" w:gutter="0" w:footer="0" w:header="0"/>
          <w:type w:val="continuous"/>
        </w:sectPr>
      </w:pPr>
    </w:p>
    <w:bookmarkStart w:id="120" w:name="page121"/>
    <w:bookmarkEnd w:id="120"/>
    <w:p>
      <w:pPr>
        <w:spacing w:after="0" w:line="200" w:lineRule="exact"/>
        <w:rPr>
          <w:sz w:val="20"/>
          <w:szCs w:val="20"/>
          <w:color w:val="auto"/>
        </w:rPr>
      </w:pPr>
    </w:p>
    <w:p>
      <w:pPr>
        <w:spacing w:after="0" w:line="220"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THE DEAL AGENT:</w:t>
      </w:r>
      <w:r>
        <w:rPr>
          <w:sz w:val="20"/>
          <w:szCs w:val="20"/>
          <w:color w:val="auto"/>
        </w:rPr>
        <w:tab/>
      </w:r>
      <w:r>
        <w:rPr>
          <w:rFonts w:ascii="Arial" w:cs="Arial" w:eastAsia="Arial" w:hAnsi="Arial"/>
          <w:sz w:val="21"/>
          <w:szCs w:val="21"/>
          <w:color w:val="auto"/>
        </w:rPr>
        <w:t>FIFTH THIRD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Brian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63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Brian Gardner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Fifth Third Bank, National Association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38 Fountain Square Plaza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MD 109046</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Cincinnati, Ohio 45263</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Steven Maysonet and Joy Rutan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Office: 704.688.1121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Email: steven.maysonet@53.com and ABF.Reporting@53.com</w:t>
      </w:r>
    </w:p>
    <w:p>
      <w:pPr>
        <w:spacing w:after="0" w:line="200" w:lineRule="exact"/>
        <w:rPr>
          <w:sz w:val="20"/>
          <w:szCs w:val="20"/>
          <w:color w:val="auto"/>
        </w:rPr>
      </w:pPr>
    </w:p>
    <w:p>
      <w:pPr>
        <w:spacing w:after="0" w:line="30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[SIGNATURES 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139"/>
          </w:cols>
          <w:pgMar w:left="320" w:top="1440" w:right="1440" w:bottom="1440" w:gutter="0" w:footer="0" w:header="0"/>
        </w:sectPr>
      </w:pPr>
    </w:p>
    <w:bookmarkStart w:id="121" w:name="page122"/>
    <w:bookmarkEnd w:id="121"/>
    <w:p>
      <w:pPr>
        <w:spacing w:after="0" w:line="200" w:lineRule="exact"/>
        <w:rPr>
          <w:sz w:val="20"/>
          <w:szCs w:val="20"/>
          <w:color w:val="auto"/>
        </w:rPr>
      </w:pPr>
    </w:p>
    <w:p>
      <w:pPr>
        <w:spacing w:after="0" w:line="220" w:lineRule="exact"/>
        <w:rPr>
          <w:sz w:val="20"/>
          <w:szCs w:val="20"/>
          <w:color w:val="auto"/>
        </w:rPr>
      </w:pPr>
    </w:p>
    <w:p>
      <w:pPr>
        <w:spacing w:after="0"/>
        <w:tabs>
          <w:tab w:leader="none" w:pos="1760" w:val="left"/>
        </w:tabs>
        <w:rPr>
          <w:sz w:val="20"/>
          <w:szCs w:val="20"/>
          <w:color w:val="auto"/>
        </w:rPr>
      </w:pPr>
      <w:r>
        <w:rPr>
          <w:rFonts w:ascii="Arial" w:cs="Arial" w:eastAsia="Arial" w:hAnsi="Arial"/>
          <w:sz w:val="22"/>
          <w:szCs w:val="22"/>
          <w:color w:val="auto"/>
        </w:rPr>
        <w:t>THE LENDERS:</w:t>
      </w:r>
      <w:r>
        <w:rPr>
          <w:sz w:val="20"/>
          <w:szCs w:val="20"/>
          <w:color w:val="auto"/>
        </w:rPr>
        <w:tab/>
      </w:r>
      <w:r>
        <w:rPr>
          <w:rFonts w:ascii="Arial" w:cs="Arial" w:eastAsia="Arial" w:hAnsi="Arial"/>
          <w:sz w:val="21"/>
          <w:szCs w:val="21"/>
          <w:color w:val="auto"/>
        </w:rPr>
        <w:t>FIFTH THIRD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Brian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63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Brian Gardner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Fifth Third Bank, National Association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38 Fountain Square Plaza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MD 109046</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Cincinnati, Ohio 45263</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Steven Maysonet and Joy Rutan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Office: 704.688.1121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Email: steven.maysonet@53.com and ABF.Reporting@53.com</w:t>
      </w:r>
    </w:p>
    <w:p>
      <w:pPr>
        <w:spacing w:after="0" w:line="200" w:lineRule="exact"/>
        <w:rPr>
          <w:sz w:val="20"/>
          <w:szCs w:val="20"/>
          <w:color w:val="auto"/>
        </w:rPr>
      </w:pPr>
    </w:p>
    <w:p>
      <w:pPr>
        <w:spacing w:after="0" w:line="30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[SIGNATURES 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139"/>
          </w:cols>
          <w:pgMar w:left="320" w:top="1440" w:right="1440" w:bottom="1440" w:gutter="0" w:footer="0" w:header="0"/>
        </w:sectPr>
      </w:pPr>
    </w:p>
    <w:bookmarkStart w:id="122" w:name="page123"/>
    <w:bookmarkEnd w:id="122"/>
    <w:p>
      <w:pPr>
        <w:spacing w:after="0" w:line="200" w:lineRule="exact"/>
        <w:rPr>
          <w:sz w:val="20"/>
          <w:szCs w:val="20"/>
          <w:color w:val="auto"/>
        </w:rPr>
      </w:pPr>
    </w:p>
    <w:p>
      <w:pPr>
        <w:spacing w:after="0" w:line="220"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THE COLLATERAL AGENT:</w:t>
      </w:r>
      <w:r>
        <w:rPr>
          <w:sz w:val="20"/>
          <w:szCs w:val="20"/>
          <w:color w:val="auto"/>
        </w:rPr>
        <w:tab/>
      </w:r>
      <w:r>
        <w:rPr>
          <w:rFonts w:ascii="Arial" w:cs="Arial" w:eastAsia="Arial" w:hAnsi="Arial"/>
          <w:sz w:val="21"/>
          <w:szCs w:val="21"/>
          <w:color w:val="auto"/>
        </w:rPr>
        <w:t>FIFTH THIRD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Brian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63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Brian Gardner</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Fifth Third Bank, National Association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38 Fountain Square Plaza</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MD 109046</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Cincinnati, Ohio 45263</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Steven Maysonet and Joy Rutan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Office: 704.688.1121</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Email: steven.maysonet@53.com and ABF.Reporting@53.com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139"/>
          </w:cols>
          <w:pgMar w:left="320" w:top="1440" w:right="1440" w:bottom="1440" w:gutter="0" w:footer="0" w:header="0"/>
        </w:sectPr>
      </w:pPr>
    </w:p>
    <w:bookmarkStart w:id="123" w:name="page124"/>
    <w:bookmarkEnd w:id="123"/>
    <w:p>
      <w:pPr>
        <w:spacing w:after="0" w:line="200" w:lineRule="exact"/>
        <w:rPr>
          <w:sz w:val="20"/>
          <w:szCs w:val="20"/>
          <w:color w:val="auto"/>
        </w:rPr>
      </w:pPr>
    </w:p>
    <w:p>
      <w:pPr>
        <w:spacing w:after="0" w:line="220" w:lineRule="exact"/>
        <w:rPr>
          <w:sz w:val="20"/>
          <w:szCs w:val="20"/>
          <w:color w:val="auto"/>
        </w:rPr>
      </w:pPr>
    </w:p>
    <w:p>
      <w:pPr>
        <w:spacing w:after="0"/>
        <w:tabs>
          <w:tab w:leader="none" w:pos="2740" w:val="left"/>
        </w:tabs>
        <w:rPr>
          <w:sz w:val="20"/>
          <w:szCs w:val="20"/>
          <w:color w:val="auto"/>
        </w:rPr>
      </w:pPr>
      <w:r>
        <w:rPr>
          <w:rFonts w:ascii="Arial" w:cs="Arial" w:eastAsia="Arial" w:hAnsi="Arial"/>
          <w:sz w:val="22"/>
          <w:szCs w:val="22"/>
          <w:color w:val="auto"/>
        </w:rPr>
        <w:t>THE BACKUP SERVICER:</w:t>
      </w:r>
      <w:r>
        <w:rPr>
          <w:sz w:val="20"/>
          <w:szCs w:val="20"/>
          <w:color w:val="auto"/>
        </w:rPr>
        <w:tab/>
      </w:r>
      <w:r>
        <w:rPr>
          <w:rFonts w:ascii="Arial" w:cs="Arial" w:eastAsia="Arial" w:hAnsi="Arial"/>
          <w:sz w:val="19"/>
          <w:szCs w:val="19"/>
          <w:color w:val="auto"/>
        </w:rPr>
        <w:t>SYSTEMS &amp; SERVICES TECHNOLOGIES,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1"/>
          <w:szCs w:val="21"/>
          <w:color w:val="auto"/>
        </w:rPr>
        <w:t>By:</w:t>
        <w:tab/>
        <w:t>/s/ Elizabeth (Cece) Lan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-10795</wp:posOffset>
            </wp:positionV>
            <wp:extent cx="19805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0565" cy="8890"/>
                    </a:xfrm>
                    <a:prstGeom prst="rect">
                      <a:avLst/>
                    </a:prstGeom>
                    <a:noFill/>
                  </pic:spPr>
                </pic:pic>
              </a:graphicData>
            </a:graphic>
          </wp:anchor>
        </w:drawing>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Elizabeth (Cece) Lan Pan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Systems &amp; Services Technologies, Inc.</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 Alorica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5161 California Avenue, Suite 100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Irvine, CA 92617</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Chief Financial Officer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Systems &amp; Services Technologies, Inc.</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4315 Pickett Road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St. Joseph, MO 64503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139"/>
          </w:cols>
          <w:pgMar w:left="320" w:top="1440"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u w:val="single" w:color="auto"/>
          <w:color w:val="auto"/>
        </w:rPr>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Assignment and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ASSIGNMENT AND ACCEPTANCE</w:t>
      </w:r>
    </w:p>
    <w:p>
      <w:pPr>
        <w:spacing w:after="0" w:line="22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Dated __________, 20__</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Reference is made to the Loan and Security Agreement, dated as of January 29, 2021 (as amended, supplemented or otherwise modified and in effect from time to time, the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by and among Credit Acceptance Funding LLC 2021-1, as borrower (in such capacity, the “</w:t>
      </w:r>
      <w:r>
        <w:rPr>
          <w:rFonts w:ascii="Arial" w:cs="Arial" w:eastAsia="Arial" w:hAnsi="Arial"/>
          <w:sz w:val="19"/>
          <w:szCs w:val="19"/>
          <w:i w:val="1"/>
          <w:iCs w:val="1"/>
          <w:u w:val="single" w:color="auto"/>
          <w:color w:val="auto"/>
        </w:rPr>
        <w:t>Borrower</w:t>
      </w:r>
      <w:r>
        <w:rPr>
          <w:rFonts w:ascii="Arial" w:cs="Arial" w:eastAsia="Arial" w:hAnsi="Arial"/>
          <w:sz w:val="19"/>
          <w:szCs w:val="19"/>
          <w:color w:val="auto"/>
        </w:rPr>
        <w:t>”), Credit Acceptance Corporation, as servicer (in such capacity, the “</w:t>
      </w:r>
      <w:r>
        <w:rPr>
          <w:rFonts w:ascii="Arial" w:cs="Arial" w:eastAsia="Arial" w:hAnsi="Arial"/>
          <w:sz w:val="19"/>
          <w:szCs w:val="19"/>
          <w:i w:val="1"/>
          <w:iCs w:val="1"/>
          <w:u w:val="single" w:color="auto"/>
          <w:color w:val="auto"/>
        </w:rPr>
        <w:t>Servicer</w:t>
      </w:r>
      <w:r>
        <w:rPr>
          <w:rFonts w:ascii="Arial" w:cs="Arial" w:eastAsia="Arial" w:hAnsi="Arial"/>
          <w:sz w:val="19"/>
          <w:szCs w:val="19"/>
          <w:color w:val="auto"/>
        </w:rPr>
        <w:t>”), Fifth Third Bank, National Association (“</w:t>
      </w:r>
      <w:r>
        <w:rPr>
          <w:rFonts w:ascii="Arial" w:cs="Arial" w:eastAsia="Arial" w:hAnsi="Arial"/>
          <w:sz w:val="19"/>
          <w:szCs w:val="19"/>
          <w:i w:val="1"/>
          <w:iCs w:val="1"/>
          <w:u w:val="single" w:color="auto"/>
          <w:color w:val="auto"/>
        </w:rPr>
        <w:t>Fifth Third</w:t>
      </w:r>
      <w:r>
        <w:rPr>
          <w:rFonts w:ascii="Arial" w:cs="Arial" w:eastAsia="Arial" w:hAnsi="Arial"/>
          <w:sz w:val="19"/>
          <w:szCs w:val="19"/>
          <w:color w:val="auto"/>
        </w:rPr>
        <w:t>”), as a Lender, Fifth Third Bank, National Association, as Deal Agent, Systems &amp; Services Technologies, Inc., as the Backup Servicer (“</w:t>
      </w:r>
      <w:r>
        <w:rPr>
          <w:rFonts w:ascii="Arial" w:cs="Arial" w:eastAsia="Arial" w:hAnsi="Arial"/>
          <w:sz w:val="19"/>
          <w:szCs w:val="19"/>
          <w:i w:val="1"/>
          <w:iCs w:val="1"/>
          <w:u w:val="single" w:color="auto"/>
          <w:color w:val="auto"/>
        </w:rPr>
        <w:t>Backup Servicer</w:t>
      </w:r>
      <w:r>
        <w:rPr>
          <w:rFonts w:ascii="Arial" w:cs="Arial" w:eastAsia="Arial" w:hAnsi="Arial"/>
          <w:sz w:val="19"/>
          <w:szCs w:val="19"/>
          <w:color w:val="auto"/>
        </w:rPr>
        <w:t>”) and Collateral Agent (“</w:t>
      </w:r>
      <w:r>
        <w:rPr>
          <w:rFonts w:ascii="Arial" w:cs="Arial" w:eastAsia="Arial" w:hAnsi="Arial"/>
          <w:sz w:val="19"/>
          <w:szCs w:val="19"/>
          <w:i w:val="1"/>
          <w:iCs w:val="1"/>
          <w:u w:val="single" w:color="auto"/>
          <w:color w:val="auto"/>
        </w:rPr>
        <w:t>Collateral Agent</w:t>
      </w:r>
      <w:r>
        <w:rPr>
          <w:rFonts w:ascii="Arial" w:cs="Arial" w:eastAsia="Arial" w:hAnsi="Arial"/>
          <w:sz w:val="19"/>
          <w:szCs w:val="19"/>
          <w:color w:val="auto"/>
        </w:rPr>
        <w:t>”) and each other Lender party thereto. Terms defined in the Agreement are used herein with the same meaning.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__________________ (the “Assignor”) and ___________________ (the “Assignee”) agree as follows:</w:t>
      </w:r>
    </w:p>
    <w:p>
      <w:pPr>
        <w:spacing w:after="0" w:line="220" w:lineRule="exact"/>
        <w:rPr>
          <w:sz w:val="20"/>
          <w:szCs w:val="20"/>
          <w:color w:val="auto"/>
        </w:rPr>
      </w:pPr>
    </w:p>
    <w:p>
      <w:pPr>
        <w:jc w:val="both"/>
        <w:ind w:firstLine="656"/>
        <w:spacing w:after="0" w:line="294" w:lineRule="auto"/>
        <w:tabs>
          <w:tab w:leader="none" w:pos="111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Assignor hereby sells and assigns to the Assignee, and the Assignee hereby purchases and assumes from the Assignor, that interest in and to all of the Assignor's rights and obligations under the Agreement as of the date hereof which represents the percentage interest specified in Section 1 of Schedule 1 of all outstanding rights and obligations of the Assignor under the Agreement, including, without limitation, such interest in the Lender's Commitment of the Assignor and the amount of the Capital made by the Assignor. After giving effect to such sale and assignment, the Lender's Commitment and the amount of the Capital made by the Assignee will be as set forth in Section 2 of Schedule 1.</w:t>
      </w:r>
    </w:p>
    <w:p>
      <w:pPr>
        <w:spacing w:after="0" w:line="149" w:lineRule="exact"/>
        <w:rPr>
          <w:rFonts w:ascii="Arial" w:cs="Arial" w:eastAsia="Arial" w:hAnsi="Arial"/>
          <w:sz w:val="19"/>
          <w:szCs w:val="19"/>
          <w:color w:val="auto"/>
        </w:rPr>
      </w:pPr>
    </w:p>
    <w:p>
      <w:pPr>
        <w:jc w:val="both"/>
        <w:ind w:firstLine="656"/>
        <w:spacing w:after="0" w:line="263" w:lineRule="auto"/>
        <w:tabs>
          <w:tab w:leader="none" w:pos="1049"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Assignor: (i) represents and warrants that it is the legal and beneficial owner of the interest being assigned by it hereunder and that such interest is free and clear of any adverse claim; and (ii) makes no representation or warranty and assumes no responsibility with respect to any statements, warranties or representations made in or in connection with the Agreement or the execution, legality, validity, enforceability, genuineness, sufficiency or value of the Agreement or any other instrument or document furnished pursuant thereto.</w:t>
      </w:r>
    </w:p>
    <w:p>
      <w:pPr>
        <w:spacing w:after="0" w:line="175" w:lineRule="exact"/>
        <w:rPr>
          <w:rFonts w:ascii="Arial" w:cs="Arial" w:eastAsia="Arial" w:hAnsi="Arial"/>
          <w:sz w:val="21"/>
          <w:szCs w:val="21"/>
          <w:color w:val="auto"/>
        </w:rPr>
      </w:pPr>
    </w:p>
    <w:p>
      <w:pPr>
        <w:jc w:val="both"/>
        <w:ind w:firstLine="656"/>
        <w:spacing w:after="0" w:line="258" w:lineRule="auto"/>
        <w:tabs>
          <w:tab w:leader="none" w:pos="1139"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Assignee: (i) confirms that it has received a copy of the Agreement, together with copies of such financial statements and such other documents and information as it has deemed appropriate to make its own credit analysis and decision to enter into this Assignment and Acceptance; (ii) agrees that it will, independently and without reliance upon the Deal Agent, the Collateral Agent, the Assignor or any other Lender and based on such documents and information as it shall deem appropriate at the time, continue to make its own credit decisions in taking or not taking action under the Agreement; (iii) appoints and authorizes the Deal Agent and the Collateral Agent each to take such action as agent on its behalf and to exercise such powers under the Agreement as are delegated to the Deal Agent and the Collateral Agent, respectively, by the terms thereof, together with such powers as are reasonably incidental thereto; (iv) agrees that it will perform in accordance with their terms all of the obligations which by the terms of the Agreement are required to be performed by it as a Lender; and (v) agrees and acknowledges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27" w:name="page128"/>
    <w:bookmarkEnd w:id="127"/>
    <w:p>
      <w:pPr>
        <w:spacing w:after="0"/>
        <w:rPr>
          <w:sz w:val="20"/>
          <w:szCs w:val="20"/>
          <w:color w:val="auto"/>
        </w:rPr>
      </w:pPr>
      <w:r>
        <w:rPr>
          <w:rFonts w:ascii="Arial" w:cs="Arial" w:eastAsia="Arial" w:hAnsi="Arial"/>
          <w:sz w:val="21"/>
          <w:szCs w:val="21"/>
          <w:color w:val="auto"/>
        </w:rPr>
        <w:t>the Assignee, as Lender and Secured Party is bound by the confidentiality provisions of Section 14.13 of the Agreement.</w:t>
      </w:r>
    </w:p>
    <w:p>
      <w:pPr>
        <w:spacing w:after="0" w:line="231" w:lineRule="exact"/>
        <w:rPr>
          <w:sz w:val="20"/>
          <w:szCs w:val="20"/>
          <w:color w:val="auto"/>
        </w:rPr>
      </w:pPr>
    </w:p>
    <w:p>
      <w:pPr>
        <w:jc w:val="both"/>
        <w:ind w:firstLine="656"/>
        <w:spacing w:after="0" w:line="250" w:lineRule="auto"/>
        <w:tabs>
          <w:tab w:leader="none" w:pos="104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Following the execution of this Assignment and Acceptance by the Assignor and the Assignee, it will be delivered to each of the Deal Agent and the Collateral Agent for acceptance and recording by the Deal Agent. The effective date of this Assignment and Acceptance (the “</w:t>
      </w:r>
      <w:r>
        <w:rPr>
          <w:rFonts w:ascii="Arial" w:cs="Arial" w:eastAsia="Arial" w:hAnsi="Arial"/>
          <w:sz w:val="22"/>
          <w:szCs w:val="22"/>
          <w:u w:val="single" w:color="auto"/>
          <w:color w:val="auto"/>
        </w:rPr>
        <w:t>Assignment Date</w:t>
      </w:r>
      <w:r>
        <w:rPr>
          <w:rFonts w:ascii="Arial" w:cs="Arial" w:eastAsia="Arial" w:hAnsi="Arial"/>
          <w:sz w:val="22"/>
          <w:szCs w:val="22"/>
          <w:color w:val="auto"/>
        </w:rPr>
        <w:t>”) shall be the date of acceptance thereof by the Deal Agent, unless a later date is specified in Section 3 of Schedule 1.</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05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Upon such acceptance and recording by the Deal Agent, as of the Assignment Date, (i) the Assignee shall be a party to the Agreement and, to the extent provided in this Assignment and Acceptance, have the rights and obligations of a Lender thereunder and (ii) the Assignor shall, to the extent provided in this Assignment and Acceptance, relinquish its rights and be released from its obligations under the Agreement.</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2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Upon such recording by the Deal Agent, from and after the Assignment Date, the Deal Agent and the Collateral Agent shall make, or cause to be made, all payments under the Agreement in respect of the interest assigned hereby (including, without limitation, all payments of principal and interest with respect thereto) to the Assignee. The Assignor and Assignee shall make all appropriate adjustments in payments under the Agreement for periods prior to the Assignment Date directly between themselves.</w:t>
      </w:r>
    </w:p>
    <w:p>
      <w:pPr>
        <w:spacing w:after="0" w:line="191" w:lineRule="exact"/>
        <w:rPr>
          <w:rFonts w:ascii="Arial" w:cs="Arial" w:eastAsia="Arial" w:hAnsi="Arial"/>
          <w:sz w:val="22"/>
          <w:szCs w:val="22"/>
          <w:color w:val="auto"/>
        </w:rPr>
      </w:pPr>
    </w:p>
    <w:p>
      <w:pPr>
        <w:ind w:left="1100" w:hanging="444"/>
        <w:spacing w:after="0"/>
        <w:tabs>
          <w:tab w:leader="none" w:pos="110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This Assignment and Acceptance shall be governed by, and construed in accordance with, the laws of the State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28" w:name="page129"/>
    <w:bookmarkEnd w:id="128"/>
    <w:p>
      <w:pPr>
        <w:ind w:firstLine="648"/>
        <w:spacing w:after="0" w:line="343" w:lineRule="auto"/>
        <w:rPr>
          <w:sz w:val="20"/>
          <w:szCs w:val="20"/>
          <w:color w:val="auto"/>
        </w:rPr>
      </w:pPr>
      <w:r>
        <w:rPr>
          <w:rFonts w:ascii="Arial" w:cs="Arial" w:eastAsia="Arial" w:hAnsi="Arial"/>
          <w:sz w:val="19"/>
          <w:szCs w:val="19"/>
          <w:color w:val="auto"/>
        </w:rPr>
        <w:t>IN WITNESS WHEREOF, the parties hereto have caused this Assignment and Acceptance to be executed by their respective officers thereunto duly authorized, as of the date first above written, such execution being made on Schedule 1 hereto.</w:t>
      </w:r>
    </w:p>
    <w:p>
      <w:pPr>
        <w:spacing w:after="0" w:line="3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[ASSIGNOR]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411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40"/>
        <w:spacing w:after="0"/>
        <w:rPr>
          <w:sz w:val="20"/>
          <w:szCs w:val="20"/>
          <w:color w:val="auto"/>
        </w:rPr>
      </w:pPr>
      <w:r>
        <w:rPr>
          <w:rFonts w:ascii="Arial" w:cs="Arial" w:eastAsia="Arial" w:hAnsi="Arial"/>
          <w:sz w:val="22"/>
          <w:szCs w:val="22"/>
          <w:color w:val="auto"/>
        </w:rPr>
        <w:t>[ASSIGNEE]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411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 for notices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accepted this ___ day 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 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FIFTH THIRD BANK, NATIONAL ASSOCIATION,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as Deal Agent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20"/>
          </w:cols>
          <w:pgMar w:left="320" w:top="1428" w:right="359" w:bottom="1440" w:gutter="0" w:footer="0" w:header="0"/>
        </w:sectPr>
      </w:pPr>
    </w:p>
    <w:bookmarkStart w:id="129" w:name="page130"/>
    <w:bookmarkEnd w:id="129"/>
    <w:p>
      <w:pPr>
        <w:ind w:left="5140"/>
        <w:spacing w:after="0"/>
        <w:rPr>
          <w:sz w:val="20"/>
          <w:szCs w:val="20"/>
          <w:color w:val="auto"/>
        </w:rPr>
      </w:pPr>
      <w:r>
        <w:rPr>
          <w:rFonts w:ascii="Arial" w:cs="Arial" w:eastAsia="Arial" w:hAnsi="Arial"/>
          <w:sz w:val="22"/>
          <w:szCs w:val="22"/>
          <w:color w:val="auto"/>
        </w:rPr>
        <w:t>Schedule 1</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to</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Assignment and Acceptance</w:t>
      </w:r>
    </w:p>
    <w:p>
      <w:pPr>
        <w:spacing w:after="0" w:line="38" w:lineRule="exact"/>
        <w:rPr>
          <w:sz w:val="20"/>
          <w:szCs w:val="20"/>
          <w:color w:val="auto"/>
        </w:rPr>
      </w:pPr>
    </w:p>
    <w:p>
      <w:pPr>
        <w:ind w:left="4520"/>
        <w:spacing w:after="0"/>
        <w:rPr>
          <w:sz w:val="20"/>
          <w:szCs w:val="20"/>
          <w:color w:val="auto"/>
        </w:rPr>
      </w:pPr>
      <w:r>
        <w:rPr>
          <w:rFonts w:ascii="Arial" w:cs="Arial" w:eastAsia="Arial" w:hAnsi="Arial"/>
          <w:sz w:val="19"/>
          <w:szCs w:val="19"/>
          <w:color w:val="auto"/>
        </w:rPr>
        <w:t>Dated _________, 20¬__</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w:t>
      </w:r>
      <w:r>
        <w:rPr>
          <w:rFonts w:ascii="Arial" w:cs="Arial" w:eastAsia="Arial" w:hAnsi="Arial"/>
          <w:sz w:val="22"/>
          <w:szCs w:val="22"/>
          <w:color w:val="auto"/>
        </w:rPr>
        <w:t>.</w:t>
      </w:r>
    </w:p>
    <w:p>
      <w:pPr>
        <w:spacing w:after="0" w:line="220" w:lineRule="exact"/>
        <w:rPr>
          <w:sz w:val="20"/>
          <w:szCs w:val="20"/>
          <w:color w:val="auto"/>
        </w:rPr>
      </w:pPr>
    </w:p>
    <w:p>
      <w:pPr>
        <w:ind w:left="820"/>
        <w:spacing w:after="0"/>
        <w:tabs>
          <w:tab w:leader="none" w:pos="2720" w:val="left"/>
        </w:tabs>
        <w:rPr>
          <w:sz w:val="20"/>
          <w:szCs w:val="20"/>
          <w:color w:val="auto"/>
        </w:rPr>
      </w:pPr>
      <w:r>
        <w:rPr>
          <w:rFonts w:ascii="Arial" w:cs="Arial" w:eastAsia="Arial" w:hAnsi="Arial"/>
          <w:sz w:val="22"/>
          <w:szCs w:val="22"/>
          <w:color w:val="auto"/>
        </w:rPr>
        <w:t>Percentage Interest:</w:t>
      </w:r>
      <w:r>
        <w:rPr>
          <w:sz w:val="20"/>
          <w:szCs w:val="20"/>
          <w:color w:val="auto"/>
        </w:rPr>
        <w:tab/>
      </w:r>
      <w:r>
        <w:rPr>
          <w:rFonts w:ascii="Arial" w:cs="Arial" w:eastAsia="Arial" w:hAnsi="Arial"/>
          <w:sz w:val="19"/>
          <w:szCs w:val="19"/>
          <w:color w:val="auto"/>
        </w:rPr>
        <w:t>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20" w:lineRule="exact"/>
        <w:rPr>
          <w:sz w:val="20"/>
          <w:szCs w:val="20"/>
          <w:color w:val="auto"/>
        </w:rPr>
      </w:pPr>
    </w:p>
    <w:p>
      <w:pPr>
        <w:ind w:left="820"/>
        <w:spacing w:after="0"/>
        <w:tabs>
          <w:tab w:leader="none" w:pos="3240" w:val="left"/>
        </w:tabs>
        <w:rPr>
          <w:sz w:val="20"/>
          <w:szCs w:val="20"/>
          <w:color w:val="auto"/>
        </w:rPr>
      </w:pPr>
      <w:r>
        <w:rPr>
          <w:rFonts w:ascii="Arial" w:cs="Arial" w:eastAsia="Arial" w:hAnsi="Arial"/>
          <w:sz w:val="22"/>
          <w:szCs w:val="22"/>
          <w:color w:val="auto"/>
        </w:rPr>
        <w:t>Assignee's Commitment:</w:t>
      </w:r>
      <w:r>
        <w:rPr>
          <w:sz w:val="20"/>
          <w:szCs w:val="20"/>
          <w:color w:val="auto"/>
        </w:rPr>
        <w:tab/>
      </w:r>
      <w:r>
        <w:rPr>
          <w:rFonts w:ascii="Arial" w:cs="Arial" w:eastAsia="Arial" w:hAnsi="Arial"/>
          <w:sz w:val="19"/>
          <w:szCs w:val="19"/>
          <w:color w:val="auto"/>
        </w:rPr>
        <w:t>$_____________</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Outstanding Capital owing to the</w:t>
      </w:r>
    </w:p>
    <w:p>
      <w:pPr>
        <w:spacing w:after="0" w:line="21" w:lineRule="exact"/>
        <w:rPr>
          <w:sz w:val="20"/>
          <w:szCs w:val="20"/>
          <w:color w:val="auto"/>
        </w:rPr>
      </w:pPr>
    </w:p>
    <w:p>
      <w:pPr>
        <w:ind w:left="820"/>
        <w:spacing w:after="0"/>
        <w:tabs>
          <w:tab w:leader="none" w:pos="1860" w:val="left"/>
        </w:tabs>
        <w:rPr>
          <w:sz w:val="20"/>
          <w:szCs w:val="20"/>
          <w:color w:val="auto"/>
        </w:rPr>
      </w:pPr>
      <w:r>
        <w:rPr>
          <w:rFonts w:ascii="Arial" w:cs="Arial" w:eastAsia="Arial" w:hAnsi="Arial"/>
          <w:sz w:val="22"/>
          <w:szCs w:val="22"/>
          <w:color w:val="auto"/>
        </w:rPr>
        <w:t>Assignee:</w:t>
      </w:r>
      <w:r>
        <w:rPr>
          <w:sz w:val="20"/>
          <w:szCs w:val="20"/>
          <w:color w:val="auto"/>
        </w:rPr>
        <w:tab/>
      </w:r>
      <w:r>
        <w:rPr>
          <w:rFonts w:ascii="Arial" w:cs="Arial" w:eastAsia="Arial" w:hAnsi="Arial"/>
          <w:sz w:val="19"/>
          <w:szCs w:val="19"/>
          <w:color w:val="auto"/>
        </w:rPr>
        <w:t>$_____________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22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Assignment Date: _____________, 20__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139"/>
          </w:cols>
          <w:pgMar w:left="320" w:top="1428"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u w:val="single" w:color="auto"/>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Monthly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u w:val="single" w:color="auto"/>
          <w:color w:val="auto"/>
        </w:rPr>
        <w:t>Exhibit 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8"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u w:val="single" w:color="auto"/>
          <w:color w:val="auto"/>
        </w:rPr>
        <w:t>Exhibit 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u w:val="single" w:color="auto"/>
          <w:color w:val="auto"/>
        </w:rPr>
        <w:t>Exhibit F</w:t>
      </w: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Form of Officer's Certificate</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as to Solvency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CREDIT ACCEPTANCE FUNDING LLC 2021-1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OFFICER</w:t>
      </w:r>
    </w:p>
    <w:p>
      <w:pPr>
        <w:spacing w:after="0" w:line="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 Douglas W. Busk, on this date of January 29, 2021, hereby certify that I am the duly executed, qualified and acting Chief Treasury Officer of Credit Acceptance Funding LLC 2021-1, a Delaware limited liability company (the “Company”), and that, as such, I have access to its corporate records and am familiar with the matters certified herein, and I am authorized to execute and deliver this certificate in the name and on behalf of the Company, and that:</w:t>
      </w:r>
    </w:p>
    <w:p>
      <w:pPr>
        <w:spacing w:after="0" w:line="182" w:lineRule="exact"/>
        <w:rPr>
          <w:sz w:val="20"/>
          <w:szCs w:val="20"/>
          <w:color w:val="auto"/>
        </w:rPr>
      </w:pPr>
    </w:p>
    <w:p>
      <w:pPr>
        <w:jc w:val="both"/>
        <w:ind w:firstLine="656"/>
        <w:spacing w:after="0" w:line="250" w:lineRule="auto"/>
        <w:tabs>
          <w:tab w:leader="none" w:pos="112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This certificate is being delivered pursuant to that certain Loan and Security Agreement (the “Loan and Security Agreement”), dated as of January 29, 2021, by and among the Company, Credit Acceptance Corporation, Fifth Third Bank, National Association and Systems &amp; Services Technologies, Inc. The capitalized terms used in this certificate and not defined herein have the respective meanings specified in the Loan and Security Agreement.</w:t>
      </w:r>
    </w:p>
    <w:p>
      <w:pPr>
        <w:spacing w:after="0" w:line="187" w:lineRule="exact"/>
        <w:rPr>
          <w:rFonts w:ascii="Arial" w:cs="Arial" w:eastAsia="Arial" w:hAnsi="Arial"/>
          <w:sz w:val="22"/>
          <w:szCs w:val="22"/>
          <w:color w:val="auto"/>
        </w:rPr>
      </w:pPr>
    </w:p>
    <w:p>
      <w:pPr>
        <w:ind w:firstLine="656"/>
        <w:spacing w:after="0" w:line="263" w:lineRule="auto"/>
        <w:tabs>
          <w:tab w:leader="none" w:pos="1022"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transactions under the Loan and Security Agreement and any other Transaction Document to which the Company is a party do not and will not render the Company not Solvent.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34" w:name="page135"/>
    <w:bookmarkEnd w:id="134"/>
    <w:p>
      <w:pPr>
        <w:ind w:firstLine="648"/>
        <w:spacing w:after="0" w:line="263" w:lineRule="auto"/>
        <w:rPr>
          <w:sz w:val="20"/>
          <w:szCs w:val="20"/>
          <w:color w:val="auto"/>
        </w:rPr>
      </w:pPr>
      <w:r>
        <w:rPr>
          <w:rFonts w:ascii="Arial" w:cs="Arial" w:eastAsia="Arial" w:hAnsi="Arial"/>
          <w:sz w:val="22"/>
          <w:szCs w:val="22"/>
          <w:color w:val="auto"/>
        </w:rPr>
        <w:t>IN WITNESS WHEREOF, I have executed this certificate in the name and on behalf of the Company on the date first written above.</w:t>
      </w: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CREDIT ACCEPTANCE FUNDING LLC 2021-1</w:t>
      </w:r>
    </w:p>
    <w:p>
      <w:pPr>
        <w:spacing w:after="0" w:line="200" w:lineRule="exact"/>
        <w:rPr>
          <w:sz w:val="20"/>
          <w:szCs w:val="20"/>
          <w:color w:val="auto"/>
        </w:rPr>
      </w:pPr>
    </w:p>
    <w:p>
      <w:pPr>
        <w:spacing w:after="0" w:line="236" w:lineRule="exact"/>
        <w:rPr>
          <w:sz w:val="20"/>
          <w:szCs w:val="20"/>
          <w:color w:val="auto"/>
        </w:rPr>
      </w:pPr>
    </w:p>
    <w:p>
      <w:pPr>
        <w:jc w:val="center"/>
        <w:ind w:right="5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-17780</wp:posOffset>
            </wp:positionV>
            <wp:extent cx="411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Douglas W. Busk</w:t>
      </w:r>
    </w:p>
    <w:p>
      <w:pPr>
        <w:spacing w:after="0" w:line="4"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Chief Treasury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u w:val="single" w:color="auto"/>
          <w:color w:val="auto"/>
        </w:rPr>
        <w:t>Exhibit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u w:val="single" w:color="auto"/>
          <w:color w:val="auto"/>
        </w:rPr>
        <w:t>Exhibit 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Contribution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Omitted – Separately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u w:val="single" w:color="auto"/>
          <w:color w:val="auto"/>
        </w:rPr>
        <w:t>Exhibit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York, New York</w:t>
      </w:r>
    </w:p>
    <w:p>
      <w:pPr>
        <w:spacing w:after="0" w:line="220"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[_______]</w:t>
      </w:r>
    </w:p>
    <w:p>
      <w:pPr>
        <w:spacing w:after="0" w:line="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FOR VALUE RECEIVED, the undersigned, CREDIT ACCEPTANCE FUNDING LLC 2021-1, a Delaware 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 promises to pay to the order of [Lender] (“</w:t>
      </w:r>
      <w:r>
        <w:rPr>
          <w:rFonts w:ascii="Arial" w:cs="Arial" w:eastAsia="Arial" w:hAnsi="Arial"/>
          <w:sz w:val="21"/>
          <w:szCs w:val="21"/>
          <w:u w:val="single" w:color="auto"/>
          <w:color w:val="auto"/>
        </w:rPr>
        <w:t>Lender</w:t>
      </w:r>
      <w:r>
        <w:rPr>
          <w:rFonts w:ascii="Arial" w:cs="Arial" w:eastAsia="Arial" w:hAnsi="Arial"/>
          <w:sz w:val="21"/>
          <w:szCs w:val="21"/>
          <w:color w:val="auto"/>
        </w:rPr>
        <w:t xml:space="preserve">”), in accordance with the terms of the Loan and Security Agreement (as hereinafter defined), at [Address] or to such account as so directed by the Lender, in lawful money of the United States of America and in immediately available funds, the principal amount of [ ] ($[ ]), or, if less, the aggregate unpaid principal amount of all outstanding Capital made by the Lender to the Borrower pursuant to the Loan and Security Agreement, and to pay interest at such office or to such account as so directed by the Lender, in like money, from the date hereof on the unpaid principal amount of the Capital from time to time outstanding at the rates and on the dates specified in the Loan and Security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entire unpaid principal amount of this Note shall be due and payable by the close of business on [ ].</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Note is one of the Notes referred to in the Loan and Security Agreement, dated as of January 29, 2021 (as amended, supplemented or otherwise modified and in effect from time to time, the “</w:t>
      </w:r>
      <w:r>
        <w:rPr>
          <w:rFonts w:ascii="Arial" w:cs="Arial" w:eastAsia="Arial" w:hAnsi="Arial"/>
          <w:sz w:val="21"/>
          <w:szCs w:val="21"/>
          <w:u w:val="single" w:color="auto"/>
          <w:color w:val="auto"/>
        </w:rPr>
        <w:t>Loan and Security Agreement</w:t>
      </w:r>
      <w:r>
        <w:rPr>
          <w:rFonts w:ascii="Arial" w:cs="Arial" w:eastAsia="Arial" w:hAnsi="Arial"/>
          <w:sz w:val="21"/>
          <w:szCs w:val="21"/>
          <w:color w:val="auto"/>
        </w:rPr>
        <w:t>”), by and among Credit Acceptance Funding LLC 2021-1, as borrower (in such capacity, the “</w:t>
      </w:r>
      <w:r>
        <w:rPr>
          <w:rFonts w:ascii="Arial" w:cs="Arial" w:eastAsia="Arial" w:hAnsi="Arial"/>
          <w:sz w:val="21"/>
          <w:szCs w:val="21"/>
          <w:u w:val="single" w:color="auto"/>
          <w:color w:val="auto"/>
        </w:rPr>
        <w:t>Borrower</w:t>
      </w:r>
      <w:r>
        <w:rPr>
          <w:rFonts w:ascii="Arial" w:cs="Arial" w:eastAsia="Arial" w:hAnsi="Arial"/>
          <w:sz w:val="21"/>
          <w:szCs w:val="21"/>
          <w:color w:val="auto"/>
        </w:rPr>
        <w:t>”), Credit Acceptance Corporation, as servicer (in such capacity, the “</w:t>
      </w:r>
      <w:r>
        <w:rPr>
          <w:rFonts w:ascii="Arial" w:cs="Arial" w:eastAsia="Arial" w:hAnsi="Arial"/>
          <w:sz w:val="21"/>
          <w:szCs w:val="21"/>
          <w:u w:val="single" w:color="auto"/>
          <w:color w:val="auto"/>
        </w:rPr>
        <w:t>Servicer</w:t>
      </w:r>
      <w:r>
        <w:rPr>
          <w:rFonts w:ascii="Arial" w:cs="Arial" w:eastAsia="Arial" w:hAnsi="Arial"/>
          <w:sz w:val="21"/>
          <w:szCs w:val="21"/>
          <w:color w:val="auto"/>
        </w:rPr>
        <w:t>”), Fifth Third Bank, National Association, as a Lender, Fifth Third Bank, National Association, as Deal Agent, Fifth Third Bank, National Association, as the Collateral Agent, Systems &amp; Services Technologies, Inc., as the Backup Servicer, and each other Lender party thereto. Capitalized terms used herein and not defined herein have the meanings given them in the Loan and Security Agreement.</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Upon the occurrence of a Termination Event, the Secured Parties shall have all of the remedies specified in the Loan and Security Agreement. The Borrower hereby waives presentment, demand, protest, and all notices of any kind.</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NOTE SHALL BE GOVERNED BY, AND CONSTRUED AND INTERPRETED IN ACCORDANCE WITH, THE LAWS OF THE STATE OF NEW YORK.</w:t>
      </w:r>
    </w:p>
    <w:p>
      <w:pPr>
        <w:spacing w:after="0" w:line="39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CREDIT ACCEPTANCE FUNDING LLC 2021-1, as Borrower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411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F-2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139"/>
          </w:cols>
          <w:pgMar w:left="320" w:top="144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u w:val="single" w:color="auto"/>
          <w:color w:val="auto"/>
        </w:rPr>
        <w:t>Exhibit J</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Dealer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u w:val="single" w:color="auto"/>
          <w:color w:val="auto"/>
        </w:rPr>
        <w:t>Exhibit 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u w:val="single" w:color="auto"/>
          <w:color w:val="auto"/>
        </w:rPr>
        <w:t>Exhibit 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Forms of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u w:val="single" w:color="auto"/>
          <w:color w:val="auto"/>
        </w:rPr>
        <w:t>Exhibit 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u w:val="single" w:color="auto"/>
          <w:color w:val="auto"/>
        </w:rPr>
        <w:t>Exhibit 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u w:val="single" w:color="auto"/>
          <w:color w:val="auto"/>
        </w:rPr>
        <w:t>Exhibit 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Backup Servicing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[Intentionally Omitted – Separately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u w:val="single" w:color="auto"/>
          <w:color w:val="auto"/>
        </w:rPr>
        <w:t>Exhibit 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u w:val="single" w:color="auto"/>
          <w:color w:val="auto"/>
        </w:rPr>
        <w:t>Schedule I</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I-1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u w:val="single" w:color="auto"/>
          <w:color w:val="auto"/>
        </w:rPr>
        <w:t>Schedule II</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Credit Guidelines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File with Servicer and Deal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II-1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Tradenames, Fictitious Names and “Doing Business As” Names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III-1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u w:val="single" w:color="auto"/>
          <w:color w:val="auto"/>
        </w:rPr>
        <w:t>Schedule IV</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Location of Records and Contract Files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Credit Acceptance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25505 West Twelve Mile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Southfield, MI 48034</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Credit Acceptance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25300-25330 Telegraph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Southfield, MI 48033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IV-1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u w:val="single" w:color="auto"/>
          <w:color w:val="auto"/>
        </w:rPr>
        <w:t>Schedule V</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List of Loans, Contracts, Dealer Agreements and Pools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File with Deal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V-1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u w:val="single" w:color="auto"/>
          <w:color w:val="auto"/>
        </w:rPr>
        <w:t>Schedule VI</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VI -1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u w:val="single" w:color="auto"/>
          <w:color w:val="auto"/>
        </w:rPr>
        <w:t>Schedule VII</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Forecasted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VII -1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u w:val="single" w:color="auto"/>
          <w:color w:val="auto"/>
        </w:rPr>
        <w:t>Schedule VIII</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24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940" w:type="dxa"/>
            <w:vAlign w:val="bottom"/>
            <w:gridSpan w:val="2"/>
          </w:tcPr>
          <w:p>
            <w:pPr>
              <w:ind w:left="480"/>
              <w:spacing w:after="0"/>
              <w:rPr>
                <w:sz w:val="20"/>
                <w:szCs w:val="20"/>
                <w:color w:val="auto"/>
              </w:rPr>
            </w:pPr>
            <w:r>
              <w:rPr>
                <w:rFonts w:ascii="Arial" w:cs="Arial" w:eastAsia="Arial" w:hAnsi="Arial"/>
                <w:sz w:val="22"/>
                <w:szCs w:val="22"/>
                <w:color w:val="auto"/>
              </w:rPr>
              <w:t>Commitment of Each Lender</w:t>
            </w:r>
          </w:p>
        </w:tc>
      </w:tr>
      <w:tr>
        <w:trPr>
          <w:trHeight w:val="476"/>
        </w:trPr>
        <w:tc>
          <w:tcPr>
            <w:tcW w:w="24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22"/>
                <w:szCs w:val="22"/>
                <w:color w:val="auto"/>
              </w:rPr>
              <w:t>Lender</w:t>
            </w:r>
          </w:p>
        </w:tc>
        <w:tc>
          <w:tcPr>
            <w:tcW w:w="38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22"/>
                <w:szCs w:val="22"/>
                <w:color w:val="auto"/>
                <w:w w:val="89"/>
              </w:rPr>
              <w:t>Commitment</w:t>
            </w:r>
          </w:p>
        </w:tc>
      </w:tr>
      <w:tr>
        <w:trPr>
          <w:trHeight w:val="20"/>
        </w:trPr>
        <w:tc>
          <w:tcPr>
            <w:tcW w:w="2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341"/>
        </w:trPr>
        <w:tc>
          <w:tcPr>
            <w:tcW w:w="3860" w:type="dxa"/>
            <w:vAlign w:val="bottom"/>
            <w:gridSpan w:val="3"/>
          </w:tcPr>
          <w:p>
            <w:pPr>
              <w:spacing w:after="0"/>
              <w:rPr>
                <w:sz w:val="20"/>
                <w:szCs w:val="20"/>
                <w:color w:val="auto"/>
              </w:rPr>
            </w:pPr>
            <w:r>
              <w:rPr>
                <w:rFonts w:ascii="Arial" w:cs="Arial" w:eastAsia="Arial" w:hAnsi="Arial"/>
                <w:sz w:val="22"/>
                <w:szCs w:val="22"/>
                <w:color w:val="auto"/>
              </w:rPr>
              <w:t>Fifth Third Bank, National Association</w:t>
            </w:r>
          </w:p>
        </w:tc>
        <w:tc>
          <w:tcPr>
            <w:tcW w:w="3800" w:type="dxa"/>
            <w:vAlign w:val="bottom"/>
          </w:tcPr>
          <w:p>
            <w:pPr>
              <w:jc w:val="right"/>
              <w:ind w:right="872"/>
              <w:spacing w:after="0"/>
              <w:rPr>
                <w:sz w:val="20"/>
                <w:szCs w:val="20"/>
                <w:color w:val="auto"/>
              </w:rPr>
            </w:pPr>
            <w:r>
              <w:rPr>
                <w:rFonts w:ascii="Arial" w:cs="Arial" w:eastAsia="Arial" w:hAnsi="Arial"/>
                <w:sz w:val="22"/>
                <w:szCs w:val="22"/>
                <w:color w:val="auto"/>
              </w:rPr>
              <w:t>$100,000,000</w:t>
            </w: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VIII -1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2"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u w:val="single" w:color="auto"/>
          <w:color w:val="auto"/>
        </w:rPr>
        <w:t>Schedule IX</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IX -1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b w:val="1"/>
          <w:bCs w:val="1"/>
          <w:u w:val="single" w:color="auto"/>
          <w:color w:val="auto"/>
        </w:rPr>
        <w:t>Schedule X</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 Precedent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X-1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1240"/>
          </w:cols>
          <w:pgMar w:left="320" w:top="1422" w:right="339" w:bottom="1440" w:gutter="0" w:footer="0" w:header="0"/>
        </w:sectPr>
      </w:pPr>
    </w:p>
    <w:bookmarkStart w:id="156" w:name="page157"/>
    <w:bookmarkEnd w:id="156"/>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8240" w:type="dxa"/>
            <w:vAlign w:val="bottom"/>
            <w:gridSpan w:val="2"/>
          </w:tcPr>
          <w:p>
            <w:pPr>
              <w:spacing w:after="0"/>
              <w:rPr>
                <w:sz w:val="20"/>
                <w:szCs w:val="20"/>
                <w:color w:val="auto"/>
              </w:rPr>
            </w:pPr>
            <w:r>
              <w:rPr>
                <w:rFonts w:ascii="Arial" w:cs="Arial" w:eastAsia="Arial" w:hAnsi="Arial"/>
                <w:sz w:val="22"/>
                <w:szCs w:val="22"/>
                <w:b w:val="1"/>
                <w:bCs w:val="1"/>
                <w:color w:val="auto"/>
              </w:rPr>
              <w:t>I.  TRANSACTION DOCUMENTS</w:t>
            </w:r>
          </w:p>
        </w:tc>
        <w:tc>
          <w:tcPr>
            <w:tcW w:w="2060" w:type="dxa"/>
            <w:vAlign w:val="bottom"/>
          </w:tcPr>
          <w:p>
            <w:pPr>
              <w:spacing w:after="0"/>
              <w:rPr>
                <w:sz w:val="24"/>
                <w:szCs w:val="24"/>
                <w:color w:val="auto"/>
              </w:rPr>
            </w:pP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b w:val="1"/>
                <w:bCs w:val="1"/>
                <w:color w:val="auto"/>
              </w:rPr>
              <w:t>A.  Loan and Security Agreement</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b w:val="1"/>
                <w:bCs w:val="1"/>
                <w:color w:val="auto"/>
              </w:rPr>
              <w:t>Exhibits to Loan and Security Agreement</w:t>
            </w:r>
          </w:p>
        </w:tc>
        <w:tc>
          <w:tcPr>
            <w:tcW w:w="2060" w:type="dxa"/>
            <w:vAlign w:val="bottom"/>
          </w:tcPr>
          <w:p>
            <w:pPr>
              <w:spacing w:after="0"/>
              <w:rPr>
                <w:sz w:val="24"/>
                <w:szCs w:val="24"/>
                <w:color w:val="auto"/>
              </w:rPr>
            </w:pP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A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Exhibit B Form of Assignment and Acceptance</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C Form of Monthly Report</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90"/>
              </w:rPr>
              <w:t>Deal Agent</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Exhibit D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E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Exhibit F Form of Officer's Certificate as to Solvency</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91"/>
              </w:rPr>
              <w:t>Borrower</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G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H Form of Contribution Agreement</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Exhibit I Form of Note</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J Form of Dealer Agreement</w:t>
            </w:r>
          </w:p>
        </w:tc>
        <w:tc>
          <w:tcPr>
            <w:tcW w:w="2060" w:type="dxa"/>
            <w:vAlign w:val="bottom"/>
          </w:tcPr>
          <w:p>
            <w:pPr>
              <w:jc w:val="center"/>
              <w:ind w:left="352"/>
              <w:spacing w:after="0"/>
              <w:rPr>
                <w:sz w:val="20"/>
                <w:szCs w:val="20"/>
                <w:color w:val="auto"/>
              </w:rPr>
            </w:pPr>
            <w:r>
              <w:rPr>
                <w:rFonts w:ascii="Arial" w:cs="Arial" w:eastAsia="Arial" w:hAnsi="Arial"/>
                <w:sz w:val="22"/>
                <w:szCs w:val="22"/>
                <w:color w:val="auto"/>
                <w:w w:val="88"/>
              </w:rPr>
              <w:t>Credit Acceptance</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Exhibit K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L Form of Contracts</w:t>
            </w:r>
          </w:p>
        </w:tc>
        <w:tc>
          <w:tcPr>
            <w:tcW w:w="2060" w:type="dxa"/>
            <w:vAlign w:val="bottom"/>
          </w:tcPr>
          <w:p>
            <w:pPr>
              <w:jc w:val="center"/>
              <w:ind w:left="352"/>
              <w:spacing w:after="0"/>
              <w:rPr>
                <w:sz w:val="20"/>
                <w:szCs w:val="20"/>
                <w:color w:val="auto"/>
              </w:rPr>
            </w:pPr>
            <w:r>
              <w:rPr>
                <w:rFonts w:ascii="Arial" w:cs="Arial" w:eastAsia="Arial" w:hAnsi="Arial"/>
                <w:sz w:val="22"/>
                <w:szCs w:val="22"/>
                <w:color w:val="auto"/>
                <w:w w:val="88"/>
              </w:rPr>
              <w:t>Credit Acceptance</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Exhibit M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Exhibit N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Exhibit O Form of Backup Servicing Agreement</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580"/>
        </w:trPr>
        <w:tc>
          <w:tcPr>
            <w:tcW w:w="8240" w:type="dxa"/>
            <w:vAlign w:val="bottom"/>
            <w:gridSpan w:val="2"/>
          </w:tcPr>
          <w:p>
            <w:pPr>
              <w:spacing w:after="0"/>
              <w:rPr>
                <w:sz w:val="20"/>
                <w:szCs w:val="20"/>
                <w:color w:val="auto"/>
              </w:rPr>
            </w:pPr>
            <w:r>
              <w:rPr>
                <w:rFonts w:ascii="Arial" w:cs="Arial" w:eastAsia="Arial" w:hAnsi="Arial"/>
                <w:sz w:val="22"/>
                <w:szCs w:val="22"/>
                <w:b w:val="1"/>
                <w:bCs w:val="1"/>
                <w:color w:val="auto"/>
              </w:rPr>
              <w:t>Schedules to Loan and Security Agreement</w:t>
            </w:r>
          </w:p>
        </w:tc>
        <w:tc>
          <w:tcPr>
            <w:tcW w:w="2060" w:type="dxa"/>
            <w:vAlign w:val="bottom"/>
          </w:tcPr>
          <w:p>
            <w:pPr>
              <w:spacing w:after="0"/>
              <w:rPr>
                <w:sz w:val="24"/>
                <w:szCs w:val="24"/>
                <w:color w:val="auto"/>
              </w:rPr>
            </w:pP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Schedule I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II Credit Guidelines</w:t>
            </w:r>
          </w:p>
        </w:tc>
        <w:tc>
          <w:tcPr>
            <w:tcW w:w="2060" w:type="dxa"/>
            <w:vAlign w:val="bottom"/>
          </w:tcPr>
          <w:p>
            <w:pPr>
              <w:jc w:val="center"/>
              <w:ind w:left="352"/>
              <w:spacing w:after="0"/>
              <w:rPr>
                <w:sz w:val="20"/>
                <w:szCs w:val="20"/>
                <w:color w:val="auto"/>
              </w:rPr>
            </w:pPr>
            <w:r>
              <w:rPr>
                <w:rFonts w:ascii="Arial" w:cs="Arial" w:eastAsia="Arial" w:hAnsi="Arial"/>
                <w:sz w:val="22"/>
                <w:szCs w:val="22"/>
                <w:color w:val="auto"/>
                <w:w w:val="88"/>
              </w:rPr>
              <w:t>Credit Acceptance</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III Tradenames, Fictitious Names and “Doing Business As” Names</w:t>
            </w:r>
          </w:p>
        </w:tc>
        <w:tc>
          <w:tcPr>
            <w:tcW w:w="2060" w:type="dxa"/>
            <w:vAlign w:val="bottom"/>
          </w:tcPr>
          <w:p>
            <w:pPr>
              <w:jc w:val="center"/>
              <w:ind w:left="352"/>
              <w:spacing w:after="0"/>
              <w:rPr>
                <w:sz w:val="20"/>
                <w:szCs w:val="20"/>
                <w:color w:val="auto"/>
              </w:rPr>
            </w:pPr>
            <w:r>
              <w:rPr>
                <w:rFonts w:ascii="Arial" w:cs="Arial" w:eastAsia="Arial" w:hAnsi="Arial"/>
                <w:sz w:val="22"/>
                <w:szCs w:val="22"/>
                <w:color w:val="auto"/>
                <w:w w:val="88"/>
              </w:rPr>
              <w:t>Credit Acceptance</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IV Location of Records and Contract Files</w:t>
            </w:r>
          </w:p>
        </w:tc>
        <w:tc>
          <w:tcPr>
            <w:tcW w:w="2060" w:type="dxa"/>
            <w:vAlign w:val="bottom"/>
          </w:tcPr>
          <w:p>
            <w:pPr>
              <w:jc w:val="center"/>
              <w:ind w:left="352"/>
              <w:spacing w:after="0"/>
              <w:rPr>
                <w:sz w:val="20"/>
                <w:szCs w:val="20"/>
                <w:color w:val="auto"/>
              </w:rPr>
            </w:pPr>
            <w:r>
              <w:rPr>
                <w:rFonts w:ascii="Arial" w:cs="Arial" w:eastAsia="Arial" w:hAnsi="Arial"/>
                <w:sz w:val="22"/>
                <w:szCs w:val="22"/>
                <w:color w:val="auto"/>
                <w:w w:val="88"/>
              </w:rPr>
              <w:t>Credit Acceptance</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V List of Loans, Contracts, Dealer Agreements and Pools</w:t>
            </w:r>
          </w:p>
        </w:tc>
        <w:tc>
          <w:tcPr>
            <w:tcW w:w="2060" w:type="dxa"/>
            <w:vAlign w:val="bottom"/>
          </w:tcPr>
          <w:p>
            <w:pPr>
              <w:jc w:val="center"/>
              <w:ind w:left="352"/>
              <w:spacing w:after="0"/>
              <w:rPr>
                <w:sz w:val="20"/>
                <w:szCs w:val="20"/>
                <w:color w:val="auto"/>
              </w:rPr>
            </w:pPr>
            <w:r>
              <w:rPr>
                <w:rFonts w:ascii="Arial" w:cs="Arial" w:eastAsia="Arial" w:hAnsi="Arial"/>
                <w:sz w:val="22"/>
                <w:szCs w:val="22"/>
                <w:color w:val="auto"/>
                <w:w w:val="88"/>
              </w:rPr>
              <w:t>Credit Acceptance</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VI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VII Forecasted Collections</w:t>
            </w:r>
          </w:p>
        </w:tc>
        <w:tc>
          <w:tcPr>
            <w:tcW w:w="2060" w:type="dxa"/>
            <w:vAlign w:val="bottom"/>
          </w:tcPr>
          <w:p>
            <w:pPr>
              <w:jc w:val="center"/>
              <w:ind w:left="352"/>
              <w:spacing w:after="0"/>
              <w:rPr>
                <w:sz w:val="20"/>
                <w:szCs w:val="20"/>
                <w:color w:val="auto"/>
              </w:rPr>
            </w:pPr>
            <w:r>
              <w:rPr>
                <w:rFonts w:ascii="Arial" w:cs="Arial" w:eastAsia="Arial" w:hAnsi="Arial"/>
                <w:sz w:val="22"/>
                <w:szCs w:val="22"/>
                <w:color w:val="auto"/>
                <w:w w:val="88"/>
              </w:rPr>
              <w:t>Credit Acceptance</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rPr>
              <w:t>Schedule VIII Commitment Amount of Each Lender</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IX [Reserved]</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rPr>
              <w:t>N/A</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Schedule X Condition Precedent Documents</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580"/>
        </w:trPr>
        <w:tc>
          <w:tcPr>
            <w:tcW w:w="320" w:type="dxa"/>
            <w:vAlign w:val="bottom"/>
          </w:tcPr>
          <w:p>
            <w:pPr>
              <w:spacing w:after="0"/>
              <w:rPr>
                <w:sz w:val="20"/>
                <w:szCs w:val="20"/>
                <w:color w:val="auto"/>
              </w:rPr>
            </w:pPr>
            <w:r>
              <w:rPr>
                <w:rFonts w:ascii="Arial" w:cs="Arial" w:eastAsia="Arial" w:hAnsi="Arial"/>
                <w:sz w:val="22"/>
                <w:szCs w:val="22"/>
                <w:b w:val="1"/>
                <w:bCs w:val="1"/>
                <w:color w:val="auto"/>
              </w:rPr>
              <w:t>B.</w:t>
            </w:r>
          </w:p>
        </w:tc>
        <w:tc>
          <w:tcPr>
            <w:tcW w:w="7920" w:type="dxa"/>
            <w:vAlign w:val="bottom"/>
          </w:tcPr>
          <w:p>
            <w:pPr>
              <w:ind w:left="100"/>
              <w:spacing w:after="0"/>
              <w:rPr>
                <w:sz w:val="20"/>
                <w:szCs w:val="20"/>
                <w:color w:val="auto"/>
              </w:rPr>
            </w:pPr>
            <w:r>
              <w:rPr>
                <w:rFonts w:ascii="Arial" w:cs="Arial" w:eastAsia="Arial" w:hAnsi="Arial"/>
                <w:sz w:val="22"/>
                <w:szCs w:val="22"/>
                <w:b w:val="1"/>
                <w:bCs w:val="1"/>
                <w:color w:val="auto"/>
              </w:rPr>
              <w:t>Contribution Agreement</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0"/>
        </w:trPr>
        <w:tc>
          <w:tcPr>
            <w:tcW w:w="320" w:type="dxa"/>
            <w:vAlign w:val="bottom"/>
          </w:tcPr>
          <w:p>
            <w:pPr>
              <w:spacing w:after="0"/>
              <w:rPr>
                <w:sz w:val="20"/>
                <w:szCs w:val="20"/>
                <w:color w:val="auto"/>
              </w:rPr>
            </w:pPr>
            <w:r>
              <w:rPr>
                <w:rFonts w:ascii="Arial" w:cs="Arial" w:eastAsia="Arial" w:hAnsi="Arial"/>
                <w:sz w:val="22"/>
                <w:szCs w:val="22"/>
                <w:b w:val="1"/>
                <w:bCs w:val="1"/>
                <w:color w:val="auto"/>
              </w:rPr>
              <w:t>II.</w:t>
            </w:r>
          </w:p>
        </w:tc>
        <w:tc>
          <w:tcPr>
            <w:tcW w:w="7920" w:type="dxa"/>
            <w:vAlign w:val="bottom"/>
          </w:tcPr>
          <w:p>
            <w:pPr>
              <w:ind w:left="120"/>
              <w:spacing w:after="0"/>
              <w:rPr>
                <w:sz w:val="20"/>
                <w:szCs w:val="20"/>
                <w:color w:val="auto"/>
              </w:rPr>
            </w:pPr>
            <w:r>
              <w:rPr>
                <w:rFonts w:ascii="Arial" w:cs="Arial" w:eastAsia="Arial" w:hAnsi="Arial"/>
                <w:sz w:val="22"/>
                <w:szCs w:val="22"/>
                <w:b w:val="1"/>
                <w:bCs w:val="1"/>
                <w:color w:val="auto"/>
              </w:rPr>
              <w:t>OPINIONS OF COUNSEL</w:t>
            </w:r>
          </w:p>
        </w:tc>
        <w:tc>
          <w:tcPr>
            <w:tcW w:w="2060" w:type="dxa"/>
            <w:vAlign w:val="bottom"/>
          </w:tcPr>
          <w:p>
            <w:pPr>
              <w:spacing w:after="0"/>
              <w:rPr>
                <w:sz w:val="24"/>
                <w:szCs w:val="24"/>
                <w:color w:val="auto"/>
              </w:rPr>
            </w:pP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A.  Opinion of Skadden as to certain corporate and enforceability matters</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1"/>
        </w:trPr>
        <w:tc>
          <w:tcPr>
            <w:tcW w:w="8240" w:type="dxa"/>
            <w:vAlign w:val="bottom"/>
            <w:gridSpan w:val="2"/>
          </w:tcPr>
          <w:p>
            <w:pPr>
              <w:spacing w:after="0"/>
              <w:rPr>
                <w:sz w:val="20"/>
                <w:szCs w:val="20"/>
                <w:color w:val="auto"/>
              </w:rPr>
            </w:pPr>
            <w:r>
              <w:rPr>
                <w:rFonts w:ascii="Arial" w:cs="Arial" w:eastAsia="Arial" w:hAnsi="Arial"/>
                <w:sz w:val="22"/>
                <w:szCs w:val="22"/>
                <w:color w:val="auto"/>
                <w:w w:val="96"/>
              </w:rPr>
              <w:t>B.  Opinion of Skadden as to creation and perfection of security interest in the Collateral</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C.  Opinion of Skadden as to true sale matters</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0"/>
        </w:trPr>
        <w:tc>
          <w:tcPr>
            <w:tcW w:w="8240" w:type="dxa"/>
            <w:vAlign w:val="bottom"/>
            <w:gridSpan w:val="2"/>
          </w:tcPr>
          <w:p>
            <w:pPr>
              <w:spacing w:after="0"/>
              <w:rPr>
                <w:sz w:val="20"/>
                <w:szCs w:val="20"/>
                <w:color w:val="auto"/>
              </w:rPr>
            </w:pPr>
            <w:r>
              <w:rPr>
                <w:rFonts w:ascii="Arial" w:cs="Arial" w:eastAsia="Arial" w:hAnsi="Arial"/>
                <w:sz w:val="22"/>
                <w:szCs w:val="22"/>
                <w:color w:val="auto"/>
              </w:rPr>
              <w:t>D.  Opinion of Skadden covering non-consolidation matters</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85"/>
              </w:rPr>
              <w:t>Skadden</w:t>
            </w:r>
          </w:p>
        </w:tc>
      </w:tr>
      <w:tr>
        <w:trPr>
          <w:trHeight w:val="310"/>
        </w:trPr>
        <w:tc>
          <w:tcPr>
            <w:tcW w:w="320" w:type="dxa"/>
            <w:vAlign w:val="bottom"/>
          </w:tcPr>
          <w:p>
            <w:pPr>
              <w:spacing w:after="0"/>
              <w:rPr>
                <w:sz w:val="20"/>
                <w:szCs w:val="20"/>
                <w:color w:val="auto"/>
              </w:rPr>
            </w:pPr>
            <w:r>
              <w:rPr>
                <w:rFonts w:ascii="Arial" w:cs="Arial" w:eastAsia="Arial" w:hAnsi="Arial"/>
                <w:sz w:val="22"/>
                <w:szCs w:val="22"/>
                <w:color w:val="auto"/>
              </w:rPr>
              <w:t>E.</w:t>
            </w:r>
          </w:p>
        </w:tc>
        <w:tc>
          <w:tcPr>
            <w:tcW w:w="7920" w:type="dxa"/>
            <w:vAlign w:val="bottom"/>
          </w:tcPr>
          <w:p>
            <w:pPr>
              <w:ind w:left="80"/>
              <w:spacing w:after="0"/>
              <w:rPr>
                <w:sz w:val="20"/>
                <w:szCs w:val="20"/>
                <w:color w:val="auto"/>
              </w:rPr>
            </w:pPr>
            <w:r>
              <w:rPr>
                <w:rFonts w:ascii="Arial" w:cs="Arial" w:eastAsia="Arial" w:hAnsi="Arial"/>
                <w:sz w:val="22"/>
                <w:szCs w:val="22"/>
                <w:color w:val="auto"/>
              </w:rPr>
              <w:t>Opinion of Dykema as to certain corporate, perfection and priority matters</w:t>
            </w:r>
          </w:p>
        </w:tc>
        <w:tc>
          <w:tcPr>
            <w:tcW w:w="2060" w:type="dxa"/>
            <w:vAlign w:val="bottom"/>
          </w:tcPr>
          <w:p>
            <w:pPr>
              <w:jc w:val="center"/>
              <w:ind w:left="372"/>
              <w:spacing w:after="0"/>
              <w:rPr>
                <w:sz w:val="20"/>
                <w:szCs w:val="20"/>
                <w:color w:val="auto"/>
              </w:rPr>
            </w:pPr>
            <w:r>
              <w:rPr>
                <w:rFonts w:ascii="Arial" w:cs="Arial" w:eastAsia="Arial" w:hAnsi="Arial"/>
                <w:sz w:val="22"/>
                <w:szCs w:val="22"/>
                <w:color w:val="auto"/>
                <w:w w:val="91"/>
              </w:rPr>
              <w:t>Dykema</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Sch. X-2</w:t>
      </w:r>
    </w:p>
    <w:p>
      <w:pPr>
        <w:sectPr>
          <w:pgSz w:w="11900" w:h="16838" w:orient="portrait"/>
          <w:cols w:equalWidth="0" w:num="1">
            <w:col w:w="10320"/>
          </w:cols>
          <w:pgMar w:left="320" w:top="1440" w:right="1259" w:bottom="984"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1983350-NYCSR03A - MSW</w:t>
      </w:r>
    </w:p>
    <w:p>
      <w:pPr>
        <w:sectPr>
          <w:pgSz w:w="11900" w:h="16838" w:orient="portrait"/>
          <w:cols w:equalWidth="0" w:num="1">
            <w:col w:w="10320"/>
          </w:cols>
          <w:pgMar w:left="320" w:top="1440" w:right="1259" w:bottom="984" w:gutter="0" w:footer="0" w:header="0"/>
          <w:type w:val="continuous"/>
        </w:sectPr>
      </w:pPr>
    </w:p>
    <w:bookmarkStart w:id="157" w:name="page158"/>
    <w:bookmarkEnd w:id="157"/>
    <w:p>
      <w:pPr>
        <w:spacing w:after="0" w:line="285" w:lineRule="exact"/>
        <w:rPr>
          <w:sz w:val="20"/>
          <w:szCs w:val="20"/>
          <w:color w:val="auto"/>
        </w:rPr>
      </w:pPr>
    </w:p>
    <w:p>
      <w:pPr>
        <w:ind w:left="20"/>
        <w:spacing w:after="0"/>
        <w:rPr>
          <w:sz w:val="20"/>
          <w:szCs w:val="20"/>
          <w:color w:val="auto"/>
        </w:rPr>
      </w:pPr>
      <w:r>
        <w:rPr>
          <w:rFonts w:ascii="Arial" w:cs="Arial" w:eastAsia="Arial" w:hAnsi="Arial"/>
          <w:sz w:val="19"/>
          <w:szCs w:val="19"/>
          <w:color w:val="auto"/>
        </w:rPr>
        <w:t>Fifth Third Bank, National Association</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53B, Deal Agent or Collateral Agent</w:t>
      </w:r>
    </w:p>
    <w:p>
      <w:pPr>
        <w:spacing w:after="0" w:line="92" w:lineRule="exact"/>
        <w:rPr>
          <w:sz w:val="20"/>
          <w:szCs w:val="20"/>
          <w:color w:val="auto"/>
        </w:rPr>
      </w:pPr>
    </w:p>
    <w:p>
      <w:pPr>
        <w:sectPr>
          <w:pgSz w:w="11900" w:h="16838" w:orient="portrait"/>
          <w:cols w:equalWidth="0" w:num="2">
            <w:col w:w="5660" w:space="720"/>
            <w:col w:w="3840"/>
          </w:cols>
          <w:pgMar w:left="320" w:top="1440" w:right="1359" w:bottom="1440" w:gutter="0" w:footer="0" w:header="0"/>
        </w:sectPr>
      </w:pPr>
    </w:p>
    <w:p>
      <w:pPr>
        <w:ind w:left="20"/>
        <w:spacing w:after="0"/>
        <w:rPr>
          <w:sz w:val="20"/>
          <w:szCs w:val="20"/>
          <w:color w:val="auto"/>
        </w:rPr>
      </w:pPr>
      <w:r>
        <w:rPr>
          <w:rFonts w:ascii="Arial" w:cs="Arial" w:eastAsia="Arial" w:hAnsi="Arial"/>
          <w:sz w:val="19"/>
          <w:szCs w:val="19"/>
          <w:color w:val="auto"/>
        </w:rPr>
        <w:t>Credit Acceptance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Credit Acceptance</w:t>
      </w:r>
    </w:p>
    <w:p>
      <w:pPr>
        <w:spacing w:after="0" w:line="92" w:lineRule="exact"/>
        <w:rPr>
          <w:sz w:val="20"/>
          <w:szCs w:val="20"/>
          <w:color w:val="auto"/>
        </w:rPr>
      </w:pPr>
    </w:p>
    <w:p>
      <w:pPr>
        <w:sectPr>
          <w:pgSz w:w="11900" w:h="16838" w:orient="portrait"/>
          <w:cols w:equalWidth="0" w:num="2">
            <w:col w:w="5660" w:space="720"/>
            <w:col w:w="3840"/>
          </w:cols>
          <w:pgMar w:left="320" w:top="1440" w:right="135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Credit Acceptance Funding LLC 2021-1</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9"/>
          <w:szCs w:val="19"/>
          <w:color w:val="auto"/>
        </w:rPr>
        <w:t>Borrower</w:t>
      </w:r>
    </w:p>
    <w:p>
      <w:pPr>
        <w:spacing w:after="0" w:line="92" w:lineRule="exact"/>
        <w:rPr>
          <w:sz w:val="20"/>
          <w:szCs w:val="20"/>
          <w:color w:val="auto"/>
        </w:rPr>
      </w:pPr>
    </w:p>
    <w:p>
      <w:pPr>
        <w:sectPr>
          <w:pgSz w:w="11900" w:h="16838" w:orient="portrait"/>
          <w:cols w:equalWidth="0" w:num="2">
            <w:col w:w="5660" w:space="720"/>
            <w:col w:w="3840"/>
          </w:cols>
          <w:pgMar w:left="320" w:top="1440" w:right="135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Chapman and Cutler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Chapman</w:t>
      </w:r>
    </w:p>
    <w:p>
      <w:pPr>
        <w:spacing w:after="0" w:line="103" w:lineRule="exact"/>
        <w:rPr>
          <w:sz w:val="20"/>
          <w:szCs w:val="20"/>
          <w:color w:val="auto"/>
        </w:rPr>
      </w:pPr>
    </w:p>
    <w:p>
      <w:pPr>
        <w:sectPr>
          <w:pgSz w:w="11900" w:h="16838" w:orient="portrait"/>
          <w:cols w:equalWidth="0" w:num="2">
            <w:col w:w="5660" w:space="720"/>
            <w:col w:w="3840"/>
          </w:cols>
          <w:pgMar w:left="320" w:top="1440" w:right="13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Skadden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Skadden, Arps, Slate, Meagher &amp; Flom LLP</w:t>
      </w:r>
    </w:p>
    <w:p>
      <w:pPr>
        <w:spacing w:after="0" w:line="92" w:lineRule="exact"/>
        <w:rPr>
          <w:sz w:val="20"/>
          <w:szCs w:val="20"/>
          <w:color w:val="auto"/>
        </w:rPr>
      </w:pPr>
    </w:p>
    <w:p>
      <w:pPr>
        <w:sectPr>
          <w:pgSz w:w="11900" w:h="16838" w:orient="portrait"/>
          <w:cols w:equalWidth="0" w:num="2">
            <w:col w:w="5660" w:space="720"/>
            <w:col w:w="3840"/>
          </w:cols>
          <w:pgMar w:left="320" w:top="1440" w:right="135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Dykema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Dykema Gossett PLLC</w:t>
      </w:r>
    </w:p>
    <w:p>
      <w:pPr>
        <w:spacing w:after="0" w:line="92" w:lineRule="exact"/>
        <w:rPr>
          <w:sz w:val="20"/>
          <w:szCs w:val="20"/>
          <w:color w:val="auto"/>
        </w:rPr>
      </w:pPr>
    </w:p>
    <w:p>
      <w:pPr>
        <w:sectPr>
          <w:pgSz w:w="11900" w:h="16838" w:orient="portrait"/>
          <w:cols w:equalWidth="0" w:num="2">
            <w:col w:w="5660" w:space="720"/>
            <w:col w:w="3840"/>
          </w:cols>
          <w:pgMar w:left="320" w:top="1440" w:right="135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Systems &amp; Services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Backup Servicer</w:t>
      </w:r>
    </w:p>
    <w:p>
      <w:pPr>
        <w:spacing w:after="0" w:line="200" w:lineRule="exact"/>
        <w:rPr>
          <w:sz w:val="20"/>
          <w:szCs w:val="20"/>
          <w:color w:val="auto"/>
        </w:rPr>
      </w:pPr>
    </w:p>
    <w:p>
      <w:pPr>
        <w:sectPr>
          <w:pgSz w:w="11900" w:h="16838" w:orient="portrait"/>
          <w:cols w:equalWidth="0" w:num="2">
            <w:col w:w="5660" w:space="720"/>
            <w:col w:w="3840"/>
          </w:cols>
          <w:pgMar w:left="320" w:top="1440"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Arial" w:cs="Arial" w:eastAsia="Arial" w:hAnsi="Arial"/>
          <w:sz w:val="19"/>
          <w:szCs w:val="19"/>
          <w:color w:val="auto"/>
        </w:rPr>
        <w:t>Sch. X-3</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1983350-NYCSR03A - MSW</w:t>
      </w:r>
    </w:p>
    <w:p>
      <w:pPr>
        <w:sectPr>
          <w:pgSz w:w="11900" w:h="16838" w:orient="portrait"/>
          <w:cols w:equalWidth="0" w:num="1">
            <w:col w:w="10220"/>
          </w:cols>
          <w:pgMar w:left="320" w:top="1440" w:right="1359" w:bottom="1440" w:gutter="0" w:footer="0" w:header="0"/>
          <w:type w:val="continuous"/>
        </w:sectPr>
      </w:pPr>
    </w:p>
    <w:bookmarkStart w:id="158" w:name="page159"/>
    <w:bookmarkEnd w:id="158"/>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BACKUP SERVICING AGREEMENT</w:t>
      </w:r>
    </w:p>
    <w:p>
      <w:pPr>
        <w:spacing w:after="0" w:line="226" w:lineRule="exact"/>
        <w:rPr>
          <w:sz w:val="20"/>
          <w:szCs w:val="20"/>
          <w:color w:val="auto"/>
        </w:rPr>
      </w:pPr>
    </w:p>
    <w:p>
      <w:pPr>
        <w:jc w:val="both"/>
        <w:ind w:firstLine="13"/>
        <w:spacing w:after="0" w:line="258" w:lineRule="auto"/>
        <w:rPr>
          <w:sz w:val="20"/>
          <w:szCs w:val="20"/>
          <w:color w:val="auto"/>
        </w:rPr>
      </w:pPr>
      <w:r>
        <w:rPr>
          <w:rFonts w:ascii="Arial" w:cs="Arial" w:eastAsia="Arial" w:hAnsi="Arial"/>
          <w:sz w:val="21"/>
          <w:szCs w:val="21"/>
          <w:color w:val="auto"/>
        </w:rPr>
        <w:t>BACKUP SERVICING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January 29, 2021, among SYSTEMS &amp; SERVICES TECHNOLOGIES, INC., a Delaware corporation (the “</w:t>
      </w:r>
      <w:r>
        <w:rPr>
          <w:rFonts w:ascii="Arial" w:cs="Arial" w:eastAsia="Arial" w:hAnsi="Arial"/>
          <w:sz w:val="21"/>
          <w:szCs w:val="21"/>
          <w:u w:val="single" w:color="auto"/>
          <w:color w:val="auto"/>
        </w:rPr>
        <w:t>Backup Servicer</w:t>
      </w:r>
      <w:r>
        <w:rPr>
          <w:rFonts w:ascii="Arial" w:cs="Arial" w:eastAsia="Arial" w:hAnsi="Arial"/>
          <w:sz w:val="21"/>
          <w:szCs w:val="21"/>
          <w:color w:val="auto"/>
        </w:rPr>
        <w:t>”), CREDIT ACCEPTANCE CORPORATION, a Michigan corporation (“</w:t>
      </w:r>
      <w:r>
        <w:rPr>
          <w:rFonts w:ascii="Arial" w:cs="Arial" w:eastAsia="Arial" w:hAnsi="Arial"/>
          <w:sz w:val="21"/>
          <w:szCs w:val="21"/>
          <w:u w:val="single" w:color="auto"/>
          <w:color w:val="auto"/>
        </w:rPr>
        <w:t>Credit Acceptance</w:t>
      </w:r>
      <w:r>
        <w:rPr>
          <w:rFonts w:ascii="Arial" w:cs="Arial" w:eastAsia="Arial" w:hAnsi="Arial"/>
          <w:sz w:val="21"/>
          <w:szCs w:val="21"/>
          <w:color w:val="auto"/>
        </w:rPr>
        <w:t>” or the “</w:t>
      </w:r>
      <w:r>
        <w:rPr>
          <w:rFonts w:ascii="Arial" w:cs="Arial" w:eastAsia="Arial" w:hAnsi="Arial"/>
          <w:sz w:val="21"/>
          <w:szCs w:val="21"/>
          <w:u w:val="single" w:color="auto"/>
          <w:color w:val="auto"/>
        </w:rPr>
        <w:t>Servicer</w:t>
      </w:r>
      <w:r>
        <w:rPr>
          <w:rFonts w:ascii="Arial" w:cs="Arial" w:eastAsia="Arial" w:hAnsi="Arial"/>
          <w:sz w:val="21"/>
          <w:szCs w:val="21"/>
          <w:color w:val="auto"/>
        </w:rPr>
        <w:t>”), FIFTH THIRD BANK, NATIONAL ASSOCIATION, a national banking association (“</w:t>
      </w:r>
      <w:r>
        <w:rPr>
          <w:rFonts w:ascii="Arial" w:cs="Arial" w:eastAsia="Arial" w:hAnsi="Arial"/>
          <w:sz w:val="21"/>
          <w:szCs w:val="21"/>
          <w:u w:val="single" w:color="auto"/>
          <w:color w:val="auto"/>
        </w:rPr>
        <w:t>Fifth Third</w:t>
      </w:r>
      <w:r>
        <w:rPr>
          <w:rFonts w:ascii="Arial" w:cs="Arial" w:eastAsia="Arial" w:hAnsi="Arial"/>
          <w:sz w:val="21"/>
          <w:szCs w:val="21"/>
          <w:color w:val="auto"/>
        </w:rPr>
        <w:t>”), as collateral agent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and as deal agent (the “</w:t>
      </w:r>
      <w:r>
        <w:rPr>
          <w:rFonts w:ascii="Arial" w:cs="Arial" w:eastAsia="Arial" w:hAnsi="Arial"/>
          <w:sz w:val="21"/>
          <w:szCs w:val="21"/>
          <w:u w:val="single" w:color="auto"/>
          <w:color w:val="auto"/>
        </w:rPr>
        <w:t>Deal Agent</w:t>
      </w:r>
      <w:r>
        <w:rPr>
          <w:rFonts w:ascii="Arial" w:cs="Arial" w:eastAsia="Arial" w:hAnsi="Arial"/>
          <w:sz w:val="21"/>
          <w:szCs w:val="21"/>
          <w:color w:val="auto"/>
        </w:rPr>
        <w:t>”), and CREDIT ACCEPTANCE FUNDING LLC 2021-1, a Delaware limited liability company (the “</w:t>
      </w:r>
      <w:r>
        <w:rPr>
          <w:rFonts w:ascii="Arial" w:cs="Arial" w:eastAsia="Arial" w:hAnsi="Arial"/>
          <w:sz w:val="21"/>
          <w:szCs w:val="21"/>
          <w:u w:val="single" w:color="auto"/>
          <w:color w:val="auto"/>
        </w:rPr>
        <w:t>Borrower</w:t>
      </w:r>
      <w:r>
        <w:rPr>
          <w:rFonts w:ascii="Arial" w:cs="Arial" w:eastAsia="Arial" w:hAnsi="Arial"/>
          <w:sz w:val="21"/>
          <w:szCs w:val="21"/>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the Borrower, Credit Acceptance, Fifth Third and the Backup Servicer have entered into that certain Loan and Security Agreement, dated as of the date hereof (as amended, restated, supplemented or otherwise modified from time to time, the “</w:t>
      </w:r>
      <w:r>
        <w:rPr>
          <w:rFonts w:ascii="Arial" w:cs="Arial" w:eastAsia="Arial" w:hAnsi="Arial"/>
          <w:sz w:val="22"/>
          <w:szCs w:val="22"/>
          <w:u w:val="single" w:color="auto"/>
          <w:color w:val="auto"/>
        </w:rPr>
        <w:t>Loan Agreement</w:t>
      </w:r>
      <w:r>
        <w:rPr>
          <w:rFonts w:ascii="Arial" w:cs="Arial" w:eastAsia="Arial" w:hAnsi="Arial"/>
          <w:sz w:val="22"/>
          <w:szCs w:val="22"/>
          <w:color w:val="auto"/>
        </w:rPr>
        <w:t>”);</w:t>
      </w:r>
    </w:p>
    <w:p>
      <w:pPr>
        <w:spacing w:after="0" w:line="185"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WHEREAS, the parties to the Loan Agreement desire to obtain the services of the Backup Servicer to perform certain servicing functions and assume certain obligations with respect to the Loan Agreement, all as set forth herein, and the Backup Servicer has agreed to perform such functions and assume such obligations; and</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for its services hereunder and with respect to the Loan Agreement, the Backup Servicer will receive a fee payable as described herein;</w:t>
      </w:r>
    </w:p>
    <w:p>
      <w:pPr>
        <w:spacing w:after="0" w:line="175"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NOW THEREFORE, in consideration for the mutual agreements contained herein and for other good and valuable consideration, the receipt and adequacy of which are hereby acknowledged, the parties hereto agree as follows: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Definitions</w:t>
      </w:r>
      <w:r>
        <w:rPr>
          <w:rFonts w:ascii="Arial" w:cs="Arial" w:eastAsia="Arial" w:hAnsi="Arial"/>
          <w:sz w:val="21"/>
          <w:szCs w:val="21"/>
          <w:color w:val="auto"/>
        </w:rPr>
        <w:t>. All capitalized terms not otherwise defined herein shall have the meanings specified in, or incorporated by reference into, the Loan Agreement. The following terms shall have the meanings specified below:</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Basis</w:t>
      </w:r>
      <w:r>
        <w:rPr>
          <w:rFonts w:ascii="Arial" w:cs="Arial" w:eastAsia="Arial" w:hAnsi="Arial"/>
          <w:sz w:val="22"/>
          <w:szCs w:val="22"/>
          <w:color w:val="auto"/>
        </w:rPr>
        <w:t>” means verification of only such aggregated amounts as are stated in the Monthly Report, and not as to any amount related to any Loan or Contract.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Assumption Date</w:t>
      </w:r>
      <w:r>
        <w:rPr>
          <w:rFonts w:ascii="Arial" w:cs="Arial" w:eastAsia="Arial" w:hAnsi="Arial"/>
          <w:sz w:val="22"/>
          <w:szCs w:val="22"/>
          <w:color w:val="auto"/>
        </w:rPr>
        <w:t>” has the meaning specified in Section 2.3(a).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Backup Servicer Event of Default</w:t>
      </w:r>
      <w:r>
        <w:rPr>
          <w:rFonts w:ascii="Arial" w:cs="Arial" w:eastAsia="Arial" w:hAnsi="Arial"/>
          <w:sz w:val="22"/>
          <w:szCs w:val="22"/>
          <w:color w:val="auto"/>
        </w:rPr>
        <w:t>” has the meaning specified in Section 4.1.</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Backup Servicer’s Certificate</w:t>
      </w:r>
      <w:r>
        <w:rPr>
          <w:rFonts w:ascii="Arial" w:cs="Arial" w:eastAsia="Arial" w:hAnsi="Arial"/>
          <w:sz w:val="22"/>
          <w:szCs w:val="22"/>
          <w:color w:val="auto"/>
        </w:rPr>
        <w:t>” has the meaning specified in Section 2.10.</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Backup Servicing Fee</w:t>
      </w:r>
      <w:r>
        <w:rPr>
          <w:rFonts w:ascii="Arial" w:cs="Arial" w:eastAsia="Arial" w:hAnsi="Arial"/>
          <w:sz w:val="22"/>
          <w:szCs w:val="22"/>
          <w:color w:val="auto"/>
        </w:rPr>
        <w:t xml:space="preserve">” means, as to each Payment Date, $4,000;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Backup Servicer becomes the Successor Servicer, such fee shall no longer be paid.</w:t>
      </w:r>
    </w:p>
    <w:p>
      <w:pPr>
        <w:sectPr>
          <w:pgSz w:w="11900" w:h="16838" w:orient="portrait"/>
          <w:cols w:equalWidth="0" w:num="1">
            <w:col w:w="11240"/>
          </w:cols>
          <w:pgMar w:left="320" w:top="1440" w:right="339" w:bottom="1440" w:gutter="0" w:footer="0" w:header="0"/>
        </w:sectPr>
      </w:pPr>
    </w:p>
    <w:bookmarkStart w:id="159" w:name="page160"/>
    <w:bookmarkEnd w:id="159"/>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Continued Errors</w:t>
      </w:r>
      <w:r>
        <w:rPr>
          <w:rFonts w:ascii="Arial" w:cs="Arial" w:eastAsia="Arial" w:hAnsi="Arial"/>
          <w:sz w:val="22"/>
          <w:szCs w:val="22"/>
          <w:color w:val="auto"/>
        </w:rPr>
        <w:t>” has the meaning specified in Section 2.2(c)(iii).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Discretionary Termination</w:t>
      </w:r>
      <w:r>
        <w:rPr>
          <w:rFonts w:ascii="Arial" w:cs="Arial" w:eastAsia="Arial" w:hAnsi="Arial"/>
          <w:sz w:val="22"/>
          <w:szCs w:val="22"/>
          <w:color w:val="auto"/>
        </w:rPr>
        <w:t>” has the meaning specified in Section 2.3(c).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Discretionary Termination Notice</w:t>
      </w:r>
      <w:r>
        <w:rPr>
          <w:rFonts w:ascii="Arial" w:cs="Arial" w:eastAsia="Arial" w:hAnsi="Arial"/>
          <w:sz w:val="22"/>
          <w:szCs w:val="22"/>
          <w:color w:val="auto"/>
        </w:rPr>
        <w:t>” has the meaning specified in Section 2.3(c).</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Errors</w:t>
      </w:r>
      <w:r>
        <w:rPr>
          <w:rFonts w:ascii="Arial" w:cs="Arial" w:eastAsia="Arial" w:hAnsi="Arial"/>
          <w:sz w:val="22"/>
          <w:szCs w:val="22"/>
          <w:color w:val="auto"/>
        </w:rPr>
        <w:t>” has the meaning specified in Section 2.2(c)(iii).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Liability</w:t>
      </w:r>
      <w:r>
        <w:rPr>
          <w:rFonts w:ascii="Arial" w:cs="Arial" w:eastAsia="Arial" w:hAnsi="Arial"/>
          <w:sz w:val="22"/>
          <w:szCs w:val="22"/>
          <w:color w:val="auto"/>
        </w:rPr>
        <w:t>” has the meaning specified in Section 2.2(c)(i).</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Live Data Files</w:t>
      </w:r>
      <w:r>
        <w:rPr>
          <w:rFonts w:ascii="Arial" w:cs="Arial" w:eastAsia="Arial" w:hAnsi="Arial"/>
          <w:sz w:val="22"/>
          <w:szCs w:val="22"/>
          <w:color w:val="auto"/>
        </w:rPr>
        <w:t>” has the meaning specified in Section 2.6(a).</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Servicer’s Data File</w:t>
      </w:r>
      <w:r>
        <w:rPr>
          <w:rFonts w:ascii="Arial" w:cs="Arial" w:eastAsia="Arial" w:hAnsi="Arial"/>
          <w:sz w:val="22"/>
          <w:szCs w:val="22"/>
          <w:color w:val="auto"/>
        </w:rPr>
        <w:t>” has the meaning specified in Section 2.1(a).</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Service-Related Activities</w:t>
      </w:r>
      <w:r>
        <w:rPr>
          <w:rFonts w:ascii="Arial" w:cs="Arial" w:eastAsia="Arial" w:hAnsi="Arial"/>
          <w:sz w:val="22"/>
          <w:szCs w:val="22"/>
          <w:color w:val="auto"/>
        </w:rPr>
        <w:t>” means the services and service-related activities and the servicer-related responsibilities of the Servicer provided for under Article VI of the Loan Agreement as modified or eliminated herein with respect to the Backup Servicer.</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Successor Backup Servicer</w:t>
      </w:r>
      <w:r>
        <w:rPr>
          <w:rFonts w:ascii="Arial" w:cs="Arial" w:eastAsia="Arial" w:hAnsi="Arial"/>
          <w:sz w:val="22"/>
          <w:szCs w:val="22"/>
          <w:color w:val="auto"/>
        </w:rPr>
        <w:t>” has the meaning specified in Section 2.4(b).</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 Party</w:t>
      </w:r>
      <w:r>
        <w:rPr>
          <w:rFonts w:ascii="Arial" w:cs="Arial" w:eastAsia="Arial" w:hAnsi="Arial"/>
          <w:sz w:val="22"/>
          <w:szCs w:val="22"/>
          <w:color w:val="auto"/>
        </w:rPr>
        <w:t>” has the meaning specified in Section 2.9(d).</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Usage of Terms</w:t>
      </w:r>
      <w:r>
        <w:rPr>
          <w:rFonts w:ascii="Arial" w:cs="Arial" w:eastAsia="Arial" w:hAnsi="Arial"/>
          <w:sz w:val="22"/>
          <w:szCs w:val="22"/>
          <w:color w:val="auto"/>
        </w:rPr>
        <w:t>. With respect to all terms in this Agreement, the singular includes the plural and the plural the singular; words importing any gender include the other gender; references to “writing” include printing, typing, lithography, and other means of reproducing words in a visible form; references to agreements and other contractual instruments include all subsequent amendments thereto or changes therein entered into in accordance with their respective terms and not prohibited by this Agreement; references to Persons include their permitted successors and assigns; and the term “including” means “including without limitation.”</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Section References</w:t>
      </w:r>
      <w:r>
        <w:rPr>
          <w:rFonts w:ascii="Arial" w:cs="Arial" w:eastAsia="Arial" w:hAnsi="Arial"/>
          <w:sz w:val="22"/>
          <w:szCs w:val="22"/>
          <w:color w:val="auto"/>
        </w:rPr>
        <w:t>. All section references shall be to Sections in this Agreement (unless otherwise provided).</w:t>
      </w:r>
    </w:p>
    <w:p>
      <w:pPr>
        <w:spacing w:after="0" w:line="17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SECTION 2</w:t>
      </w:r>
    </w:p>
    <w:p>
      <w:pPr>
        <w:spacing w:after="0" w:line="220"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ADMINISTRATION AND COLLECTION</w:t>
      </w:r>
    </w:p>
    <w:p>
      <w:pPr>
        <w:spacing w:after="0" w:line="2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Reconciliation of Monthly Report</w:t>
      </w:r>
      <w:r>
        <w:rPr>
          <w:rFonts w:ascii="Arial" w:cs="Arial" w:eastAsia="Arial" w:hAnsi="Arial"/>
          <w:sz w:val="19"/>
          <w:szCs w:val="19"/>
          <w:color w:val="auto"/>
        </w:rPr>
        <w:t>.</w:t>
      </w:r>
    </w:p>
    <w:p>
      <w:pPr>
        <w:spacing w:after="0" w:line="202" w:lineRule="exact"/>
        <w:rPr>
          <w:sz w:val="20"/>
          <w:szCs w:val="20"/>
          <w:color w:val="auto"/>
        </w:rPr>
      </w:pPr>
    </w:p>
    <w:p>
      <w:pPr>
        <w:jc w:val="both"/>
        <w:ind w:firstLine="1304"/>
        <w:spacing w:after="0" w:line="262" w:lineRule="auto"/>
        <w:tabs>
          <w:tab w:leader="none" w:pos="228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No later than 9:00 A.M. New York time on the fifth (5</w:t>
      </w:r>
      <w:r>
        <w:rPr>
          <w:rFonts w:ascii="Arial" w:cs="Arial" w:eastAsia="Arial" w:hAnsi="Arial"/>
          <w:sz w:val="26"/>
          <w:szCs w:val="26"/>
          <w:color w:val="auto"/>
          <w:vertAlign w:val="superscript"/>
        </w:rPr>
        <w:t>th</w:t>
      </w:r>
      <w:r>
        <w:rPr>
          <w:rFonts w:ascii="Arial" w:cs="Arial" w:eastAsia="Arial" w:hAnsi="Arial"/>
          <w:sz w:val="20"/>
          <w:szCs w:val="20"/>
          <w:color w:val="auto"/>
        </w:rPr>
        <w:t>) Business Day following the end of each Collection Period, the Servicer shall send to the Backup Servicer an electronic file, detailing the Collections received during the prior Collection Period and all other information relating to the Aggregate Unpaids, the Loans and the Contracts as may be necessary for the complete and correct completion of the Monthly Report (the “</w:t>
      </w:r>
      <w:r>
        <w:rPr>
          <w:rFonts w:ascii="Arial" w:cs="Arial" w:eastAsia="Arial" w:hAnsi="Arial"/>
          <w:sz w:val="20"/>
          <w:szCs w:val="20"/>
          <w:u w:val="single" w:color="auto"/>
          <w:color w:val="auto"/>
        </w:rPr>
        <w:t>Servicer’s Data File</w:t>
      </w:r>
      <w:r>
        <w:rPr>
          <w:rFonts w:ascii="Arial" w:cs="Arial" w:eastAsia="Arial" w:hAnsi="Arial"/>
          <w:sz w:val="20"/>
          <w:szCs w:val="20"/>
          <w:color w:val="auto"/>
        </w:rPr>
        <w:t>”) (to the extent of the information required to be provided by the Servicer). Such electronic file shall be in the form and have the specifications as may be agreed to between the Servicer, the Deal Agent and the Backup Servicer from time to time. The Backup Servicer shall, within two (2) Business Days of the receipt thereof, load the Servicer’s Data File and confirm that it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48" w:lineRule="auto"/>
        <w:rPr>
          <w:sz w:val="20"/>
          <w:szCs w:val="20"/>
          <w:color w:val="auto"/>
        </w:rPr>
      </w:pPr>
      <w:r>
        <w:rPr>
          <w:rFonts w:ascii="Arial" w:cs="Arial" w:eastAsia="Arial" w:hAnsi="Arial"/>
          <w:sz w:val="22"/>
          <w:szCs w:val="22"/>
          <w:color w:val="auto"/>
        </w:rPr>
        <w:t>readable form. If the Backup Servicer determines that the Servicer’s Data File is not in readable form, the Backup Servicer shall promptly upon actual knowledge thereof (but in any event within one (1) Business Day) notify the Servicer and the Deal Agent by telephone or electronic mail, and upon such notification, the Servicer shall prepare and send a replacement Servicer’s Data File to the Backup Servicer satisfying the Backup Servicer’s specifications, for receipt by the Backup Servicer on the next Business Day.</w:t>
      </w:r>
    </w:p>
    <w:p>
      <w:pPr>
        <w:spacing w:after="0" w:line="192" w:lineRule="exact"/>
        <w:rPr>
          <w:sz w:val="20"/>
          <w:szCs w:val="20"/>
          <w:color w:val="auto"/>
        </w:rPr>
      </w:pPr>
    </w:p>
    <w:p>
      <w:pPr>
        <w:jc w:val="both"/>
        <w:ind w:firstLine="1304"/>
        <w:spacing w:after="0" w:line="286" w:lineRule="auto"/>
        <w:tabs>
          <w:tab w:leader="none" w:pos="220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No later than 9:00 A.M. New York time on the Determination Date preceding each Payment Date, the Servicer shall furnish to the Backup Servicer the Monthly Report related to the prior Collection Period together with all other information necessary for preparation of such Monthly Report and necessary to determine the application of Collections as provided in the Loan Agreement. The Backup Servicer shall review the information contained in the Monthly Report against the information on the Servicer’s Data File, on an Aggregate Basis. No later than two (2) Business Days after the Backup Servicer’s receipt of each Monthly Report, the Backup Servicer shall, based on the review and verification specified in Section 2.2, notify the Servicer and the Deal Agent of any inconsistencies between the Monthly Report and the information contained in the Servicer’s Data File as provided in Section 2.10;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the absence of a reconciliation, the Monthly Report shall control for the purpose of calculations and distributions with respect to the related Payment Date. If the Backup Servicer and the Servicer are unable to reconcile discrepancies with respect to a Monthly Report prior to the related Payment Date, the Servicer shall cause a firm of independent accountants, at the Servicer’s expense, to audit the Monthly Report and, prior to the third Business Day, but in no event later than the fifth calendar day, of the following month, reconcile the discrepancies. The effect, if any, of such reconciliation shall be reflected in the Monthly Report for such next Payment Date. The Backup Servicer shall only review the information provided by the Servicer in the Monthly Report and in the Servicer’s Data File and its obligation to report any inconsistencies shall be limited to those determinable from such information.</w:t>
      </w:r>
    </w:p>
    <w:p>
      <w:pPr>
        <w:spacing w:after="0" w:line="158" w:lineRule="exact"/>
        <w:rPr>
          <w:rFonts w:ascii="Arial" w:cs="Arial" w:eastAsia="Arial" w:hAnsi="Arial"/>
          <w:sz w:val="19"/>
          <w:szCs w:val="19"/>
          <w:color w:val="auto"/>
        </w:rPr>
      </w:pPr>
    </w:p>
    <w:p>
      <w:pPr>
        <w:jc w:val="both"/>
        <w:ind w:firstLine="1304"/>
        <w:spacing w:after="0" w:line="253" w:lineRule="auto"/>
        <w:tabs>
          <w:tab w:leader="none" w:pos="227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Backup Servicer and the Servicer shall attempt to reconcile any such inconsistencies and/or to furnish any omitted information and the Servicer shall amend the Monthly Report to reflect the results of the reconciliation or to include any omitted information.</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226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Servicer shall provide monthly, or as otherwise requested, to the Backup Servicer, or its agent, information on the Loans and related Contracts sufficient to enable the Backup Servicer to assume the Service-Related Activities as Successor Servicer under the Loan Agreement.</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2212"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Servicer shall provide the Backup Servicer with any and all updates to the master file data layout and copy book information necessary due to system changes or modifications, which may require changes to the Backup Servicer’s applications necessary to read the Servicer’s Data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61" w:name="page162"/>
    <w:bookmarkEnd w:id="161"/>
    <w:p>
      <w:pPr>
        <w:ind w:left="660"/>
        <w:spacing w:after="0"/>
        <w:tabs>
          <w:tab w:leader="none" w:pos="220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Review and Verification</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4" w:lineRule="auto"/>
        <w:tabs>
          <w:tab w:leader="none" w:pos="219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Notwithstanding anything in Section 2.1 to the contrary, on or before the end of the fifth Business Day prior to each Payment Date, the Servicer and the Deal Agent shall provide sufficient data to the Backup Servicer to allow the Backup Servicer to review and confirm that such Monthly Report is readable and contains all information necessary for the Backup Servicer to complete its duties pursuant to this Section 2.2. The Backup Servicer shall, on or before the second (2nd) Business Day preceding each Payment Date with respect to any Collection Period, review the Monthly Report corresponding to such Payment Date to verify the following based on a recalculation of information contained in such Monthly Report:</w:t>
      </w:r>
    </w:p>
    <w:p>
      <w:pPr>
        <w:spacing w:after="0" w:line="149" w:lineRule="exact"/>
        <w:rPr>
          <w:rFonts w:ascii="Arial" w:cs="Arial" w:eastAsia="Arial" w:hAnsi="Arial"/>
          <w:sz w:val="19"/>
          <w:szCs w:val="19"/>
          <w:color w:val="auto"/>
        </w:rPr>
      </w:pPr>
    </w:p>
    <w:p>
      <w:pPr>
        <w:ind w:left="2800" w:hanging="848"/>
        <w:spacing w:after="0"/>
        <w:tabs>
          <w:tab w:leader="none" w:pos="2800" w:val="left"/>
        </w:tabs>
        <w:numPr>
          <w:ilvl w:val="2"/>
          <w:numId w:val="158"/>
        </w:numPr>
        <w:rPr>
          <w:rFonts w:ascii="Arial" w:cs="Arial" w:eastAsia="Arial" w:hAnsi="Arial"/>
          <w:sz w:val="22"/>
          <w:szCs w:val="22"/>
          <w:color w:val="auto"/>
        </w:rPr>
      </w:pPr>
      <w:r>
        <w:rPr>
          <w:rFonts w:ascii="Arial" w:cs="Arial" w:eastAsia="Arial" w:hAnsi="Arial"/>
          <w:sz w:val="22"/>
          <w:szCs w:val="22"/>
          <w:color w:val="auto"/>
        </w:rPr>
        <w:t>the Principal Distributable Amount;</w:t>
      </w:r>
    </w:p>
    <w:p>
      <w:pPr>
        <w:spacing w:after="0" w:line="219" w:lineRule="exact"/>
        <w:rPr>
          <w:rFonts w:ascii="Arial" w:cs="Arial" w:eastAsia="Arial" w:hAnsi="Arial"/>
          <w:sz w:val="22"/>
          <w:szCs w:val="22"/>
          <w:color w:val="auto"/>
        </w:rPr>
      </w:pPr>
    </w:p>
    <w:p>
      <w:pPr>
        <w:ind w:left="2800" w:hanging="848"/>
        <w:spacing w:after="0"/>
        <w:tabs>
          <w:tab w:leader="none" w:pos="2800" w:val="left"/>
        </w:tabs>
        <w:numPr>
          <w:ilvl w:val="2"/>
          <w:numId w:val="158"/>
        </w:numPr>
        <w:rPr>
          <w:rFonts w:ascii="Arial" w:cs="Arial" w:eastAsia="Arial" w:hAnsi="Arial"/>
          <w:sz w:val="22"/>
          <w:szCs w:val="22"/>
          <w:color w:val="auto"/>
        </w:rPr>
      </w:pPr>
      <w:r>
        <w:rPr>
          <w:rFonts w:ascii="Arial" w:cs="Arial" w:eastAsia="Arial" w:hAnsi="Arial"/>
          <w:sz w:val="22"/>
          <w:szCs w:val="22"/>
          <w:color w:val="auto"/>
        </w:rPr>
        <w:t>the Reserve Advance;</w:t>
      </w:r>
    </w:p>
    <w:p>
      <w:pPr>
        <w:spacing w:after="0" w:line="219" w:lineRule="exact"/>
        <w:rPr>
          <w:rFonts w:ascii="Arial" w:cs="Arial" w:eastAsia="Arial" w:hAnsi="Arial"/>
          <w:sz w:val="22"/>
          <w:szCs w:val="22"/>
          <w:color w:val="auto"/>
        </w:rPr>
      </w:pPr>
    </w:p>
    <w:p>
      <w:pPr>
        <w:ind w:left="2820" w:hanging="868"/>
        <w:spacing w:after="0"/>
        <w:tabs>
          <w:tab w:leader="none" w:pos="2820" w:val="left"/>
        </w:tabs>
        <w:numPr>
          <w:ilvl w:val="2"/>
          <w:numId w:val="158"/>
        </w:numPr>
        <w:rPr>
          <w:rFonts w:ascii="Arial" w:cs="Arial" w:eastAsia="Arial" w:hAnsi="Arial"/>
          <w:sz w:val="22"/>
          <w:szCs w:val="22"/>
          <w:color w:val="auto"/>
        </w:rPr>
      </w:pPr>
      <w:r>
        <w:rPr>
          <w:rFonts w:ascii="Arial" w:cs="Arial" w:eastAsia="Arial" w:hAnsi="Arial"/>
          <w:sz w:val="22"/>
          <w:szCs w:val="22"/>
          <w:color w:val="auto"/>
        </w:rPr>
        <w:t>outstanding Capital; and</w:t>
      </w:r>
    </w:p>
    <w:p>
      <w:pPr>
        <w:spacing w:after="0" w:line="219" w:lineRule="exact"/>
        <w:rPr>
          <w:rFonts w:ascii="Arial" w:cs="Arial" w:eastAsia="Arial" w:hAnsi="Arial"/>
          <w:sz w:val="22"/>
          <w:szCs w:val="22"/>
          <w:color w:val="auto"/>
        </w:rPr>
      </w:pPr>
    </w:p>
    <w:p>
      <w:pPr>
        <w:ind w:left="1300" w:firstLine="652"/>
        <w:spacing w:after="0" w:line="343" w:lineRule="auto"/>
        <w:tabs>
          <w:tab w:leader="none" w:pos="2811" w:val="left"/>
        </w:tabs>
        <w:numPr>
          <w:ilvl w:val="2"/>
          <w:numId w:val="158"/>
        </w:numPr>
        <w:rPr>
          <w:rFonts w:ascii="Arial" w:cs="Arial" w:eastAsia="Arial" w:hAnsi="Arial"/>
          <w:sz w:val="19"/>
          <w:szCs w:val="19"/>
          <w:color w:val="auto"/>
        </w:rPr>
      </w:pPr>
      <w:r>
        <w:rPr>
          <w:rFonts w:ascii="Arial" w:cs="Arial" w:eastAsia="Arial" w:hAnsi="Arial"/>
          <w:sz w:val="19"/>
          <w:szCs w:val="19"/>
          <w:color w:val="auto"/>
        </w:rPr>
        <w:t>the total amount of the Servicing Fee for the related Collection Period and unpaid Servicing Fees from prior Collection Periods payable to the Servicer with respect to the related Collection Period.</w:t>
      </w:r>
    </w:p>
    <w:p>
      <w:pPr>
        <w:spacing w:after="0" w:line="104" w:lineRule="exact"/>
        <w:rPr>
          <w:rFonts w:ascii="Arial" w:cs="Arial" w:eastAsia="Arial" w:hAnsi="Arial"/>
          <w:sz w:val="19"/>
          <w:szCs w:val="19"/>
          <w:color w:val="auto"/>
        </w:rPr>
      </w:pPr>
    </w:p>
    <w:p>
      <w:pPr>
        <w:jc w:val="both"/>
        <w:ind w:firstLine="1304"/>
        <w:spacing w:after="0" w:line="253" w:lineRule="auto"/>
        <w:tabs>
          <w:tab w:leader="none" w:pos="220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Backup Servicer shall, on or before the second (2nd) Business Day preceding each Payment Date with respect to any Collection Period, review the Servicer’s Data File and verify the accuracy of the following as reported in the Monthly Report:</w:t>
      </w:r>
    </w:p>
    <w:p>
      <w:pPr>
        <w:spacing w:after="0" w:line="185" w:lineRule="exact"/>
        <w:rPr>
          <w:rFonts w:ascii="Arial" w:cs="Arial" w:eastAsia="Arial" w:hAnsi="Arial"/>
          <w:sz w:val="22"/>
          <w:szCs w:val="22"/>
          <w:color w:val="auto"/>
        </w:rPr>
      </w:pPr>
    </w:p>
    <w:p>
      <w:pPr>
        <w:ind w:left="1300" w:firstLine="448"/>
        <w:spacing w:after="0" w:line="263" w:lineRule="auto"/>
        <w:tabs>
          <w:tab w:leader="none" w:pos="2183"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Aggregate Outstanding Eligible Loan Balance and the aggregate Outstanding Balance of all Eligible Contracts as of the close of business on the last day of the preceding Collection Period;</w:t>
      </w:r>
    </w:p>
    <w:p>
      <w:pPr>
        <w:spacing w:after="0" w:line="174" w:lineRule="exact"/>
        <w:rPr>
          <w:rFonts w:ascii="Arial" w:cs="Arial" w:eastAsia="Arial" w:hAnsi="Arial"/>
          <w:sz w:val="22"/>
          <w:szCs w:val="22"/>
          <w:color w:val="auto"/>
        </w:rPr>
      </w:pPr>
    </w:p>
    <w:p>
      <w:pPr>
        <w:ind w:left="2160" w:hanging="472"/>
        <w:spacing w:after="0"/>
        <w:tabs>
          <w:tab w:leader="none" w:pos="216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accrued and unpaid Interest and Yield;</w:t>
      </w:r>
    </w:p>
    <w:p>
      <w:pPr>
        <w:spacing w:after="0" w:line="219" w:lineRule="exact"/>
        <w:rPr>
          <w:rFonts w:ascii="Arial" w:cs="Arial" w:eastAsia="Arial" w:hAnsi="Arial"/>
          <w:sz w:val="22"/>
          <w:szCs w:val="22"/>
          <w:color w:val="auto"/>
        </w:rPr>
      </w:pPr>
    </w:p>
    <w:p>
      <w:pPr>
        <w:ind w:left="2160" w:hanging="532"/>
        <w:spacing w:after="0"/>
        <w:tabs>
          <w:tab w:leader="none" w:pos="216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total amount of Collections for the related Collection Period; and</w:t>
      </w:r>
    </w:p>
    <w:p>
      <w:pPr>
        <w:spacing w:after="0" w:line="219" w:lineRule="exact"/>
        <w:rPr>
          <w:rFonts w:ascii="Arial" w:cs="Arial" w:eastAsia="Arial" w:hAnsi="Arial"/>
          <w:sz w:val="22"/>
          <w:szCs w:val="22"/>
          <w:color w:val="auto"/>
        </w:rPr>
      </w:pPr>
    </w:p>
    <w:p>
      <w:pPr>
        <w:ind w:left="1300" w:right="20" w:firstLine="340"/>
        <w:spacing w:after="0" w:line="263" w:lineRule="auto"/>
        <w:tabs>
          <w:tab w:leader="none" w:pos="2164"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aggregate Release Price for the Ineligible Loans and for the Ineligible Contracts, if any, that was paid in such period.</w:t>
      </w:r>
    </w:p>
    <w:p>
      <w:pPr>
        <w:spacing w:after="0" w:line="174" w:lineRule="exact"/>
        <w:rPr>
          <w:rFonts w:ascii="Arial" w:cs="Arial" w:eastAsia="Arial" w:hAnsi="Arial"/>
          <w:sz w:val="22"/>
          <w:szCs w:val="22"/>
          <w:color w:val="auto"/>
        </w:rPr>
      </w:pPr>
    </w:p>
    <w:p>
      <w:pPr>
        <w:jc w:val="both"/>
        <w:ind w:firstLine="1304"/>
        <w:spacing w:after="0" w:line="259" w:lineRule="auto"/>
        <w:tabs>
          <w:tab w:leader="none" w:pos="2213" w:val="left"/>
        </w:tabs>
        <w:numPr>
          <w:ilvl w:val="0"/>
          <w:numId w:val="158"/>
        </w:numPr>
        <w:rPr>
          <w:rFonts w:ascii="Arial" w:cs="Arial" w:eastAsia="Arial" w:hAnsi="Arial"/>
          <w:sz w:val="21"/>
          <w:szCs w:val="21"/>
          <w:color w:val="auto"/>
        </w:rPr>
      </w:pPr>
      <w:r>
        <w:rPr>
          <w:rFonts w:ascii="Arial" w:cs="Arial" w:eastAsia="Arial" w:hAnsi="Arial"/>
          <w:sz w:val="21"/>
          <w:szCs w:val="21"/>
          <w:color w:val="auto"/>
        </w:rPr>
        <w:t>No later than the second (2nd) Business Day preceding each Payment Date, the Backup Servicer shall provide written notice to the Deal Agent with respect to whether there are any inconsistencies or deficiencies with respect to its review and verification set forth in paragraphs (a) and (b) above and, if any, shall provide a description thereof as set forth in Section 2.10 hereof. In the event of any discrepancy between the information set forth in subparagraphs (a) and (b) above, as calculated by the Servicer, from that determined or calculated by the Backup Servicer, the Backup Servicer shall promptly notify the Servicer and, if within five (5) days of such notice being provided to the Servicer, the Backup Servicer and the Servicer are unable to resolve such discrepancy, the Backup Servicer shall promptly (but in any event within two (2) Business Days) notify the Deal Agent of such discrepancy.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62" w:name="page163"/>
    <w:bookmarkEnd w:id="162"/>
    <w:p>
      <w:pPr>
        <w:jc w:val="both"/>
        <w:ind w:left="180" w:firstLine="448"/>
        <w:spacing w:after="0" w:line="312" w:lineRule="auto"/>
        <w:tabs>
          <w:tab w:leader="none" w:pos="1155" w:val="left"/>
        </w:tabs>
        <w:numPr>
          <w:ilvl w:val="0"/>
          <w:numId w:val="159"/>
        </w:numPr>
        <w:rPr>
          <w:rFonts w:ascii="Arial" w:cs="Arial" w:eastAsia="Arial" w:hAnsi="Arial"/>
          <w:sz w:val="19"/>
          <w:szCs w:val="19"/>
          <w:color w:val="auto"/>
        </w:rPr>
      </w:pPr>
      <w:r>
        <w:rPr>
          <w:rFonts w:ascii="Arial" w:cs="Arial" w:eastAsia="Arial" w:hAnsi="Arial"/>
          <w:sz w:val="19"/>
          <w:szCs w:val="19"/>
          <w:color w:val="auto"/>
        </w:rPr>
        <w:t>Other than as specifically set forth elsewhere in this Agreement, the Backup Servicer shall have no obligation to supervise, verify, monitor or administer the performance of the Servicer and shall have no duty, responsibility, obligation, or liability (collectively “</w:t>
      </w:r>
      <w:r>
        <w:rPr>
          <w:rFonts w:ascii="Arial" w:cs="Arial" w:eastAsia="Arial" w:hAnsi="Arial"/>
          <w:sz w:val="19"/>
          <w:szCs w:val="19"/>
          <w:u w:val="single" w:color="auto"/>
          <w:color w:val="auto"/>
        </w:rPr>
        <w:t>Liability</w:t>
      </w:r>
      <w:r>
        <w:rPr>
          <w:rFonts w:ascii="Arial" w:cs="Arial" w:eastAsia="Arial" w:hAnsi="Arial"/>
          <w:sz w:val="19"/>
          <w:szCs w:val="19"/>
          <w:color w:val="auto"/>
        </w:rPr>
        <w:t>”) for any action taken or omitted by the Servicer.</w:t>
      </w:r>
    </w:p>
    <w:p>
      <w:pPr>
        <w:spacing w:after="0" w:line="133" w:lineRule="exact"/>
        <w:rPr>
          <w:rFonts w:ascii="Arial" w:cs="Arial" w:eastAsia="Arial" w:hAnsi="Arial"/>
          <w:sz w:val="19"/>
          <w:szCs w:val="19"/>
          <w:color w:val="auto"/>
        </w:rPr>
      </w:pPr>
    </w:p>
    <w:p>
      <w:pPr>
        <w:jc w:val="both"/>
        <w:ind w:left="180" w:right="20" w:firstLine="388"/>
        <w:spacing w:after="0" w:line="312" w:lineRule="auto"/>
        <w:tabs>
          <w:tab w:leader="none" w:pos="108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Backup Servicer shall consult with the Servicer as may be necessary from time to time to perform or carry out the Backup Servicer’s obligations hereunder, including the obligation, if requested in writing by the Deal Agent, to succeed within thirty (30) days to the duties and obligations of the Servicer pursuant to Section 2.3.</w:t>
      </w:r>
    </w:p>
    <w:p>
      <w:pPr>
        <w:spacing w:after="0" w:line="133" w:lineRule="exact"/>
        <w:rPr>
          <w:rFonts w:ascii="Arial" w:cs="Arial" w:eastAsia="Arial" w:hAnsi="Arial"/>
          <w:sz w:val="19"/>
          <w:szCs w:val="19"/>
          <w:color w:val="auto"/>
        </w:rPr>
      </w:pPr>
    </w:p>
    <w:p>
      <w:pPr>
        <w:jc w:val="both"/>
        <w:ind w:left="180" w:firstLine="328"/>
        <w:spacing w:after="0" w:line="286" w:lineRule="auto"/>
        <w:tabs>
          <w:tab w:leader="none" w:pos="1047" w:val="left"/>
        </w:tabs>
        <w:numPr>
          <w:ilvl w:val="0"/>
          <w:numId w:val="159"/>
        </w:numPr>
        <w:rPr>
          <w:rFonts w:ascii="Arial" w:cs="Arial" w:eastAsia="Arial" w:hAnsi="Arial"/>
          <w:sz w:val="19"/>
          <w:szCs w:val="19"/>
          <w:color w:val="auto"/>
        </w:rPr>
      </w:pPr>
      <w:r>
        <w:rPr>
          <w:rFonts w:ascii="Arial" w:cs="Arial" w:eastAsia="Arial" w:hAnsi="Arial"/>
          <w:sz w:val="19"/>
          <w:szCs w:val="19"/>
          <w:color w:val="auto"/>
        </w:rPr>
        <w:t>Except as otherwise provided in this Agreement, the Backup Servicer may accept and reasonably rely on all accounting, records and work of the Servicer without audit, and the Backup Servicer shall have no Liability for the acts or omissions of the Servicer or for the inaccuracy of any data provided, produced or supplied by the Servicer. If any error, inaccuracy or omission (collectively, “</w:t>
      </w:r>
      <w:r>
        <w:rPr>
          <w:rFonts w:ascii="Arial" w:cs="Arial" w:eastAsia="Arial" w:hAnsi="Arial"/>
          <w:sz w:val="19"/>
          <w:szCs w:val="19"/>
          <w:u w:val="single" w:color="auto"/>
          <w:color w:val="auto"/>
        </w:rPr>
        <w:t>Errors</w:t>
      </w:r>
      <w:r>
        <w:rPr>
          <w:rFonts w:ascii="Arial" w:cs="Arial" w:eastAsia="Arial" w:hAnsi="Arial"/>
          <w:sz w:val="19"/>
          <w:szCs w:val="19"/>
          <w:color w:val="auto"/>
        </w:rPr>
        <w:t>”) exists in any information received from the Servicer, and such Errors should cause or materially contribute to the Backup Servicer making or continuing any Errors (collectively, “</w:t>
      </w:r>
      <w:r>
        <w:rPr>
          <w:rFonts w:ascii="Arial" w:cs="Arial" w:eastAsia="Arial" w:hAnsi="Arial"/>
          <w:sz w:val="19"/>
          <w:szCs w:val="19"/>
          <w:u w:val="single" w:color="auto"/>
          <w:color w:val="auto"/>
        </w:rPr>
        <w:t>Continued Errors</w:t>
      </w:r>
      <w:r>
        <w:rPr>
          <w:rFonts w:ascii="Arial" w:cs="Arial" w:eastAsia="Arial" w:hAnsi="Arial"/>
          <w:sz w:val="19"/>
          <w:szCs w:val="19"/>
          <w:color w:val="auto"/>
        </w:rPr>
        <w:t xml:space="preserve">”), the Backup Servicer shall have no Liability for such Continued Errors;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provision shall not protect the Backup Servicer against any Liability which would otherwise be imposed by reason of willful misconduct, bad faith or gross negligence in discovering or correcting any Error or in the performance of its duties hereunder or under the Loan Agreement. In the event the Backup Servicer has actual knowledge of Errors or Continued Errors which, in the opinion of the Backup Servicer impairs its ability to perform its services hereunder, the Backup Servicer shall promptly notify the Servicer and the Deal Agent of such Errors and/or Continued Errors and may, with the prior consent of the Deal Agent, undertake to reconstruct and reconcile such data as it deems appropriate to correct such Errors and Continued Errors and prevent future Continued Errors. The Backup Servicer shall be entitled to recover its costs thereby expended from the Servicer and to the extent not reimbursed by the Servicer, such amounts shall be reimbursed by the Borrower pursuant to Section 2.7(a) of the Loan Agreement.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180" w:firstLine="340"/>
        <w:spacing w:after="0" w:line="260" w:lineRule="auto"/>
        <w:tabs>
          <w:tab w:leader="none" w:pos="1181"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Backup Servicer and its officers, directors, employees and agents shall be indemnified by the Servicer from and against all claims, damages, losses or expenses reasonably incurred by the Backup Servicer (including reasonable attorney’s fees and expenses) arising out of claims asserted against the Backup Servicer on any matter arising out of this Agreement to the extent the act or omission giving rise to the claim accrues before the Assumption Date, except for any claims, damages, losses or expenses arising from the Backup Servicer’s own willful misconduct, bad faith or gross negligence, as determined by a court of competent jurisdiction. The obligations of the Servicer under this Section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20"/>
          </w:cols>
          <w:pgMar w:left="1440" w:top="1428" w:right="339" w:bottom="1440" w:gutter="0" w:footer="0" w:header="0"/>
        </w:sectPr>
      </w:pPr>
    </w:p>
    <w:bookmarkStart w:id="163" w:name="page164"/>
    <w:bookmarkEnd w:id="163"/>
    <w:p>
      <w:pPr>
        <w:ind w:left="1300"/>
        <w:spacing w:after="0" w:line="263" w:lineRule="auto"/>
        <w:rPr>
          <w:sz w:val="20"/>
          <w:szCs w:val="20"/>
          <w:color w:val="auto"/>
        </w:rPr>
      </w:pPr>
      <w:r>
        <w:rPr>
          <w:rFonts w:ascii="Arial" w:cs="Arial" w:eastAsia="Arial" w:hAnsi="Arial"/>
          <w:sz w:val="22"/>
          <w:szCs w:val="22"/>
          <w:color w:val="auto"/>
        </w:rPr>
        <w:t>survive the termination or assignment of this Agreement and the earlier resignation or removal of the Backup Servicer.</w:t>
      </w:r>
    </w:p>
    <w:p>
      <w:pPr>
        <w:spacing w:after="0" w:line="175" w:lineRule="exact"/>
        <w:rPr>
          <w:sz w:val="20"/>
          <w:szCs w:val="20"/>
          <w:color w:val="auto"/>
        </w:rPr>
      </w:pPr>
    </w:p>
    <w:p>
      <w:pPr>
        <w:jc w:val="both"/>
        <w:ind w:left="1300" w:firstLine="400"/>
        <w:spacing w:after="0" w:line="312" w:lineRule="auto"/>
        <w:tabs>
          <w:tab w:leader="none" w:pos="220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To the extent the Backup Servicer requires any information, supplementary reports or data that is to be provided to it pursuant to the Transaction Documents in order to complete its verification duties, the Backup Servicer’s verification duties are conditioned upon timely receipt by the Backup Servicer of such information.</w:t>
      </w:r>
    </w:p>
    <w:p>
      <w:pPr>
        <w:spacing w:after="0" w:line="13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Assumption of Servicer’s Obligations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61" w:lineRule="auto"/>
        <w:tabs>
          <w:tab w:leader="none" w:pos="2212" w:val="left"/>
        </w:tabs>
        <w:numPr>
          <w:ilvl w:val="0"/>
          <w:numId w:val="161"/>
        </w:numPr>
        <w:rPr>
          <w:rFonts w:ascii="Arial" w:cs="Arial" w:eastAsia="Arial" w:hAnsi="Arial"/>
          <w:sz w:val="21"/>
          <w:szCs w:val="21"/>
          <w:color w:val="auto"/>
        </w:rPr>
      </w:pPr>
      <w:r>
        <w:rPr>
          <w:rFonts w:ascii="Arial" w:cs="Arial" w:eastAsia="Arial" w:hAnsi="Arial"/>
          <w:sz w:val="21"/>
          <w:szCs w:val="21"/>
          <w:color w:val="auto"/>
        </w:rPr>
        <w:t>The Backup Servicer agrees that on the date specified in accordance with the Loan Agreement (but in any event no later than 30 days of receipt of a Servicer Termination Notice), the Backup Servicer shall, subject to the exclusions stated herein, assume the Service-Related Activities of Credit Acceptance under the Loan Agreement (the “</w:t>
      </w:r>
      <w:r>
        <w:rPr>
          <w:rFonts w:ascii="Arial" w:cs="Arial" w:eastAsia="Arial" w:hAnsi="Arial"/>
          <w:sz w:val="21"/>
          <w:szCs w:val="21"/>
          <w:u w:val="single" w:color="auto"/>
          <w:color w:val="auto"/>
        </w:rPr>
        <w:t>Assumption Date</w:t>
      </w:r>
      <w:r>
        <w:rPr>
          <w:rFonts w:ascii="Arial" w:cs="Arial" w:eastAsia="Arial" w:hAnsi="Arial"/>
          <w:sz w:val="21"/>
          <w:szCs w:val="21"/>
          <w:color w:val="auto"/>
        </w:rPr>
        <w:t>”) and further agrees that it shall assume all such Service-Related Activities in accordance with the requirements, terms and conditions set forth in the Loan Agreement and this Agreement. In the event of a conflict between any provision of the Loan Agreement and this Agreement, this Agreement shall be controlling.</w:t>
      </w:r>
    </w:p>
    <w:p>
      <w:pPr>
        <w:spacing w:after="0" w:line="179" w:lineRule="exact"/>
        <w:rPr>
          <w:rFonts w:ascii="Arial" w:cs="Arial" w:eastAsia="Arial" w:hAnsi="Arial"/>
          <w:sz w:val="21"/>
          <w:szCs w:val="21"/>
          <w:color w:val="auto"/>
        </w:rPr>
      </w:pPr>
    </w:p>
    <w:p>
      <w:pPr>
        <w:jc w:val="both"/>
        <w:ind w:firstLine="1304"/>
        <w:spacing w:after="0" w:line="290" w:lineRule="auto"/>
        <w:tabs>
          <w:tab w:leader="none" w:pos="231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the event of an assumption by the Backup Servicer of the Service-Related Activities of Credit Acceptance under the Loan Agreement, the Backup Servicer shall be obligated to perform the Service-Related Activities of the Servicer under the Loan Agreement as expressly provided herein. The Backup Servicer shall have no obligation (i) to perform any repurchase or advancing obligations, if any, of the terminated Servicer, (ii) to pay any taxes required to be paid by the terminated Servicer, (iii) to pay any of the fees and expenses of any other party in this transaction including but not limited to the Borrower, (iv) to provide access to any party to any books and records other than those relating to the Contracts or Loans, (v) to provide any indemnification except as expressly provided herein, or (vi) to pay fees and expenses or perform such other duties of Servicer under any Transaction Document except as expressly provided herein.</w:t>
      </w:r>
    </w:p>
    <w:p>
      <w:pPr>
        <w:spacing w:after="0" w:line="155" w:lineRule="exact"/>
        <w:rPr>
          <w:rFonts w:ascii="Arial" w:cs="Arial" w:eastAsia="Arial" w:hAnsi="Arial"/>
          <w:sz w:val="19"/>
          <w:szCs w:val="19"/>
          <w:color w:val="auto"/>
        </w:rPr>
      </w:pPr>
    </w:p>
    <w:p>
      <w:pPr>
        <w:jc w:val="both"/>
        <w:ind w:firstLine="1304"/>
        <w:spacing w:after="0" w:line="294" w:lineRule="auto"/>
        <w:tabs>
          <w:tab w:leader="none" w:pos="2167" w:val="left"/>
        </w:tabs>
        <w:numPr>
          <w:ilvl w:val="0"/>
          <w:numId w:val="161"/>
        </w:numPr>
        <w:rPr>
          <w:rFonts w:ascii="Arial" w:cs="Arial" w:eastAsia="Arial" w:hAnsi="Arial"/>
          <w:sz w:val="19"/>
          <w:szCs w:val="19"/>
          <w:color w:val="auto"/>
        </w:rPr>
      </w:pPr>
      <w:r>
        <w:rPr>
          <w:rFonts w:ascii="Arial" w:cs="Arial" w:eastAsia="Arial" w:hAnsi="Arial"/>
          <w:sz w:val="19"/>
          <w:szCs w:val="19"/>
          <w:color w:val="auto"/>
        </w:rPr>
        <w:t>Following the Assumption Date, the Deal Agent, in its sole and absolute discretion, may terminate all of the Backup Servicer’s management, administrative, servicing and collection rights and obligations as Successor Servicer with respect to the Loans and Contracts upon ninety (90) days prior written notice (such notice, a “</w:t>
      </w:r>
      <w:r>
        <w:rPr>
          <w:rFonts w:ascii="Arial" w:cs="Arial" w:eastAsia="Arial" w:hAnsi="Arial"/>
          <w:sz w:val="19"/>
          <w:szCs w:val="19"/>
          <w:u w:val="single" w:color="auto"/>
          <w:color w:val="auto"/>
        </w:rPr>
        <w:t>Discretionary Termination Notice</w:t>
      </w:r>
      <w:r>
        <w:rPr>
          <w:rFonts w:ascii="Arial" w:cs="Arial" w:eastAsia="Arial" w:hAnsi="Arial"/>
          <w:sz w:val="19"/>
          <w:szCs w:val="19"/>
          <w:color w:val="auto"/>
        </w:rPr>
        <w:t>”) of such termination to the Backup Servicer (any such termination of servicing, a “</w:t>
      </w:r>
      <w:r>
        <w:rPr>
          <w:rFonts w:ascii="Arial" w:cs="Arial" w:eastAsia="Arial" w:hAnsi="Arial"/>
          <w:sz w:val="19"/>
          <w:szCs w:val="19"/>
          <w:u w:val="single" w:color="auto"/>
          <w:color w:val="auto"/>
        </w:rPr>
        <w:t>Discretionary Termination</w:t>
      </w:r>
      <w:r>
        <w:rPr>
          <w:rFonts w:ascii="Arial" w:cs="Arial" w:eastAsia="Arial" w:hAnsi="Arial"/>
          <w:sz w:val="19"/>
          <w:szCs w:val="19"/>
          <w:color w:val="auto"/>
        </w:rPr>
        <w:t>”). A Termination Fee equal to the product of three (3) times the Servicing Fee for the month in which the Discretionary Termination Notice is received shall be payable by the Borrower with respect to any such Discretionary Termination.</w:t>
      </w:r>
    </w:p>
    <w:p>
      <w:pPr>
        <w:spacing w:after="0" w:line="39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Servicing and Retention of Servicer</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263" w:lineRule="auto"/>
        <w:tabs>
          <w:tab w:leader="none" w:pos="2167" w:val="left"/>
        </w:tabs>
        <w:numPr>
          <w:ilvl w:val="0"/>
          <w:numId w:val="162"/>
        </w:numPr>
        <w:rPr>
          <w:rFonts w:ascii="Arial" w:cs="Arial" w:eastAsia="Arial" w:hAnsi="Arial"/>
          <w:sz w:val="22"/>
          <w:szCs w:val="22"/>
          <w:color w:val="auto"/>
        </w:rPr>
      </w:pPr>
      <w:r>
        <w:rPr>
          <w:rFonts w:ascii="Arial" w:cs="Arial" w:eastAsia="Arial" w:hAnsi="Arial"/>
          <w:sz w:val="22"/>
          <w:szCs w:val="22"/>
          <w:color w:val="auto"/>
        </w:rPr>
        <w:t>Subject to early termination of the Backup Servicer due to the occurrence of a Backup Servicer Event of Default, or pursuant to Article 4, or as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64" w:name="page165"/>
    <w:bookmarkEnd w:id="164"/>
    <w:p>
      <w:pPr>
        <w:ind w:right="20"/>
        <w:spacing w:after="0" w:line="263" w:lineRule="auto"/>
        <w:rPr>
          <w:sz w:val="20"/>
          <w:szCs w:val="20"/>
          <w:color w:val="auto"/>
        </w:rPr>
      </w:pPr>
      <w:r>
        <w:rPr>
          <w:rFonts w:ascii="Arial" w:cs="Arial" w:eastAsia="Arial" w:hAnsi="Arial"/>
          <w:sz w:val="22"/>
          <w:szCs w:val="22"/>
          <w:color w:val="auto"/>
        </w:rPr>
        <w:t>provided in this Section 2.4, on and after the Assumption Date, the Backup Servicer shall be responsible for the Service-Related Activities in accordance with the Loan Agreement and this Agreement.</w:t>
      </w:r>
    </w:p>
    <w:p>
      <w:pPr>
        <w:spacing w:after="0" w:line="175" w:lineRule="exact"/>
        <w:rPr>
          <w:sz w:val="20"/>
          <w:szCs w:val="20"/>
          <w:color w:val="auto"/>
        </w:rPr>
      </w:pPr>
    </w:p>
    <w:p>
      <w:pPr>
        <w:jc w:val="both"/>
        <w:ind w:firstLine="1304"/>
        <w:spacing w:after="0" w:line="286" w:lineRule="auto"/>
        <w:tabs>
          <w:tab w:leader="none" w:pos="218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In the event of a Backup Servicer Event of Default, the Deal Agent shall have the right to terminate the Backup Servicer as Successor Servicer and Backup Servicer hereunder. Upon the termination or resignation of the Backup Servicer hereunder, the Deal Agent shall have the right to appoint a successor Backup Servicer (the “</w:t>
      </w:r>
      <w:r>
        <w:rPr>
          <w:rFonts w:ascii="Arial" w:cs="Arial" w:eastAsia="Arial" w:hAnsi="Arial"/>
          <w:sz w:val="19"/>
          <w:szCs w:val="19"/>
          <w:u w:val="single" w:color="auto"/>
          <w:color w:val="auto"/>
        </w:rPr>
        <w:t>Successor Backup</w:t>
      </w:r>
      <w:r>
        <w:rPr>
          <w:rFonts w:ascii="Arial" w:cs="Arial" w:eastAsia="Arial" w:hAnsi="Arial"/>
          <w:sz w:val="19"/>
          <w:szCs w:val="19"/>
          <w:color w:val="auto"/>
        </w:rPr>
        <w:t xml:space="preserve"> </w:t>
      </w:r>
      <w:r>
        <w:rPr>
          <w:rFonts w:ascii="Arial" w:cs="Arial" w:eastAsia="Arial" w:hAnsi="Arial"/>
          <w:sz w:val="19"/>
          <w:szCs w:val="19"/>
          <w:u w:val="single" w:color="auto"/>
          <w:color w:val="auto"/>
        </w:rPr>
        <w:t>Servicer</w:t>
      </w:r>
      <w:r>
        <w:rPr>
          <w:rFonts w:ascii="Arial" w:cs="Arial" w:eastAsia="Arial" w:hAnsi="Arial"/>
          <w:sz w:val="19"/>
          <w:szCs w:val="19"/>
          <w:color w:val="auto"/>
        </w:rPr>
        <w:t xml:space="preserve">”) and enter into a backup servicing agreement with such Successor Backup Servicer at such time and exercise all of its rights under Section 6.12(a) of the Loan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termination or resignation of the Backup Servicer occurs prior to the Assumption Date at a time when no Termination Event has occurred and is continuing, the appointment of the Successor Backup Servicer shall be mutually acceptable to Credit Acceptance and the Deal Agent. Such backup servicing agreement shall specify the duties and obligations of the Successor Backup Servicer, and all references herein and in the Loan Agreement to the Backup Servicer shall be deemed to refer to such Successor Backup Servicer. If a successor Backup Servicer does not take office within 30 days after the termination or resignation of the Backup Servicer, the Backup Servicer may petition any court of competent jurisdiction for the appointment of a successor Backup Servicer. Any reasonable and documented fees, costs or expenses incurred by the retiring Backup Servicer in connection with such petition shall be reimbursed to it as an expense of the Backup Servicer in accordance with Section 2.7(a) of the Loan Agreement.</w:t>
      </w:r>
    </w:p>
    <w:p>
      <w:pPr>
        <w:spacing w:after="0" w:line="165" w:lineRule="exact"/>
        <w:rPr>
          <w:rFonts w:ascii="Arial" w:cs="Arial" w:eastAsia="Arial" w:hAnsi="Arial"/>
          <w:sz w:val="19"/>
          <w:szCs w:val="19"/>
          <w:color w:val="auto"/>
        </w:rPr>
      </w:pPr>
    </w:p>
    <w:p>
      <w:pPr>
        <w:jc w:val="both"/>
        <w:ind w:firstLine="1304"/>
        <w:spacing w:after="0" w:line="285" w:lineRule="auto"/>
        <w:tabs>
          <w:tab w:leader="none" w:pos="218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Except as provided in Section 4.3 hereof, the Backup Servicer shall not resign from the obligations and duties imposed on it by this Agreement or the Loan Agreement, as successor servicer or as Backup Servicer, as applicable, except: (i) upon a determination that by reason of a change in legal requirements, the performance of its duties hereunder or under the Loan Agreement would cause it to be in violation of such legal requirements in a manner which would have a material adverse effect on the Backup Servicer, and the Deal Agent does not elect to waive the obligations of the Backup Servicer to perform the duties which render it legally unable to act or to delegate those duties to another Person; or (ii) any accrued fees, expenses or indemnities payable pursuant to Section 2.7(a)(ii) of the Loan Agreement (subject to the caps specified therein) remain unpaid sixty (60) days after written notice to Servicer, Borrower and the Deal Agent. Any such determination permitting the resignation of the Backup Servicer pursuant to this Section 2.4(c)(i) shall be evidenced by an opinion of counsel to such effect delivered and acceptable to the Deal Agent in its reasonable good faith judgment. No resignation of the Backup Servicer shall become effective until an entity reasonably acceptable to the Deal Agent and the Required Lenders shall have assumed the responsibilities and obligations of the Backup Servicer. If a successor Backup Servicer does not take office within 30 days after the resignation of the Backup Servicer, the Backup Servicer may petition any court of competent jurisdiction for the appointment of a successor Backup Servicer. Any reasonable and documented fees, costs or expenses incurred by the retiring Backup Servicer in connection with such petition shall be reimbursed to it as an expense of the Backup Servicer in accordance with Section 2.7(a) of the Loan Agreement. Notwithstanding the foregoing, any resignation for non-payment pursuant to clause (ii) above shall be effective upon expiration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65" w:name="page166"/>
    <w:bookmarkEnd w:id="165"/>
    <w:p>
      <w:pPr>
        <w:spacing w:after="0" w:line="263" w:lineRule="auto"/>
        <w:rPr>
          <w:sz w:val="20"/>
          <w:szCs w:val="20"/>
          <w:color w:val="auto"/>
        </w:rPr>
      </w:pPr>
      <w:r>
        <w:rPr>
          <w:rFonts w:ascii="Arial" w:cs="Arial" w:eastAsia="Arial" w:hAnsi="Arial"/>
          <w:sz w:val="22"/>
          <w:szCs w:val="22"/>
          <w:color w:val="auto"/>
        </w:rPr>
        <w:t>the cure period unless otherwise agreed in writing by the Backup Servicer (including in its capacity as Successor Servicer) in its sole discretion.</w:t>
      </w:r>
    </w:p>
    <w:p>
      <w:pPr>
        <w:spacing w:after="0" w:line="175" w:lineRule="exact"/>
        <w:rPr>
          <w:sz w:val="20"/>
          <w:szCs w:val="20"/>
          <w:color w:val="auto"/>
        </w:rPr>
      </w:pPr>
    </w:p>
    <w:p>
      <w:pPr>
        <w:jc w:val="both"/>
        <w:ind w:firstLine="1304"/>
        <w:spacing w:after="0" w:line="292" w:lineRule="auto"/>
        <w:tabs>
          <w:tab w:leader="none" w:pos="223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Any Person: (i) into which the Backup Servicer may be merged or consolidated; (ii) resulting from any merger or consolidation to which the Backup Servicer shall be a party; (iii) which acquires by conveyance, transfer or lease substantially all of the assets of the Backup Servicer; or (iv) succeeding to the business of the Backup Servicer, in any of the foregoing cases shall be the successor to the Backup Servicer under this Agreement and the Loan Agreement without the execution or filing of any paper or any further act on the part of any of the parties to this Agreement or the Loan Agreement, anything herein or therein to the contrary notwithstanding;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contained herein or therein shall be deemed to release the Backup Servicer from any obligation hereunder or under the Loan Agreement.</w:t>
      </w:r>
    </w:p>
    <w:p>
      <w:pPr>
        <w:spacing w:after="0" w:line="150" w:lineRule="exact"/>
        <w:rPr>
          <w:rFonts w:ascii="Arial" w:cs="Arial" w:eastAsia="Arial" w:hAnsi="Arial"/>
          <w:sz w:val="19"/>
          <w:szCs w:val="19"/>
          <w:color w:val="auto"/>
        </w:rPr>
      </w:pPr>
    </w:p>
    <w:p>
      <w:pPr>
        <w:jc w:val="both"/>
        <w:ind w:right="20" w:firstLine="1304"/>
        <w:spacing w:after="0" w:line="312" w:lineRule="auto"/>
        <w:tabs>
          <w:tab w:leader="none" w:pos="220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Following the Assumption Date, the Backup Servicer shall be required to deliver to the Deal Agent on or before one hundred twenty (120) days after the end of the Backup Servicer’s fiscal year, with respect to such fiscal year, a copy of its annual SOC 1 Type II and its audited (or reviewed) financial statements for such fiscal year.</w:t>
      </w:r>
    </w:p>
    <w:p>
      <w:pPr>
        <w:spacing w:after="0" w:line="133" w:lineRule="exact"/>
        <w:rPr>
          <w:rFonts w:ascii="Arial" w:cs="Arial" w:eastAsia="Arial" w:hAnsi="Arial"/>
          <w:sz w:val="19"/>
          <w:szCs w:val="19"/>
          <w:color w:val="auto"/>
        </w:rPr>
      </w:pPr>
    </w:p>
    <w:p>
      <w:pPr>
        <w:jc w:val="both"/>
        <w:ind w:firstLine="1304"/>
        <w:spacing w:after="0" w:line="247" w:lineRule="auto"/>
        <w:tabs>
          <w:tab w:leader="none" w:pos="216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Concurrently with the delivery of the financial reports delivered under clause (e) above, a certificate in a form satisfactory to the Deal Agent and certified by a Responsible Officer of the Backup Servicer, certifying that no Backup Servicer Event of Default and no event which, with the giving of notice or the passage of time, would become a Backup Servicer Event of Default has occurred and is continuing or, if any such Backup Servicer Event of Default or other event has occurred and is continuing, the action which the Backup Servicer has taken or proposes to take with respect thereto, shall be delivered to the Deal Agent.</w:t>
      </w:r>
    </w:p>
    <w:p>
      <w:pPr>
        <w:spacing w:after="0" w:line="19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Servicing Duties of the Backup Servicer</w:t>
      </w:r>
      <w:r>
        <w:rPr>
          <w:rFonts w:ascii="Arial" w:cs="Arial" w:eastAsia="Arial" w:hAnsi="Arial"/>
          <w:sz w:val="19"/>
          <w:szCs w:val="19"/>
          <w:color w:val="auto"/>
        </w:rPr>
        <w:t>. On and after the Assumption Date:</w:t>
      </w:r>
    </w:p>
    <w:p>
      <w:pPr>
        <w:spacing w:after="0" w:line="220" w:lineRule="exact"/>
        <w:rPr>
          <w:sz w:val="20"/>
          <w:szCs w:val="20"/>
          <w:color w:val="auto"/>
        </w:rPr>
      </w:pPr>
    </w:p>
    <w:p>
      <w:pPr>
        <w:jc w:val="both"/>
        <w:ind w:firstLine="1304"/>
        <w:spacing w:after="0" w:line="292" w:lineRule="auto"/>
        <w:tabs>
          <w:tab w:leader="none" w:pos="218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Backup Servicer shall take or cause to be taken all such action as may be necessary or advisable to collect all amounts due under the Loans and Contracts from time to time, all in accordance with applicable laws, rules and regulations, with reasonable care and diligence, and in accordance with the Collection Guidelines. There shall be no recourse to the Backup Servicer with regard to the Loans and Contracts. The Backup Servicer shall hold in trust for the Collateral Agent all records which evidence or relate to all or any part of the Collateral. In the event that a Successor Backup Servicer is appointed, the outgoing Backup Servicer shall deliver to the Successor Backup Servicer and the Successor Backup Servicer shall hold in trust for the Collateral Agent all records which evidence or relate to all or any part of the Collateral.</w:t>
      </w:r>
    </w:p>
    <w:p>
      <w:pPr>
        <w:spacing w:after="0" w:line="150" w:lineRule="exact"/>
        <w:rPr>
          <w:rFonts w:ascii="Arial" w:cs="Arial" w:eastAsia="Arial" w:hAnsi="Arial"/>
          <w:sz w:val="19"/>
          <w:szCs w:val="19"/>
          <w:color w:val="auto"/>
        </w:rPr>
      </w:pPr>
    </w:p>
    <w:p>
      <w:pPr>
        <w:ind w:firstLine="1304"/>
        <w:spacing w:after="0" w:line="287" w:lineRule="auto"/>
        <w:tabs>
          <w:tab w:leader="none" w:pos="2285" w:val="left"/>
        </w:tabs>
        <w:numPr>
          <w:ilvl w:val="0"/>
          <w:numId w:val="165"/>
        </w:numPr>
        <w:rPr>
          <w:rFonts w:ascii="Arial" w:cs="Arial" w:eastAsia="Arial" w:hAnsi="Arial"/>
          <w:sz w:val="21"/>
          <w:szCs w:val="21"/>
          <w:color w:val="auto"/>
        </w:rPr>
      </w:pPr>
      <w:r>
        <w:rPr>
          <w:rFonts w:ascii="Arial" w:cs="Arial" w:eastAsia="Arial" w:hAnsi="Arial"/>
          <w:sz w:val="21"/>
          <w:szCs w:val="21"/>
          <w:color w:val="auto"/>
        </w:rPr>
        <w:t>The Backup Servicer shall as soon as practicable upon demand, deliver to the Collateral Agent all records in its possession which evidence or relate to indebtedness of an Obligor which is not a Loan or Contract.</w:t>
      </w:r>
    </w:p>
    <w:p>
      <w:pPr>
        <w:spacing w:after="0" w:line="151" w:lineRule="exact"/>
        <w:rPr>
          <w:rFonts w:ascii="Arial" w:cs="Arial" w:eastAsia="Arial" w:hAnsi="Arial"/>
          <w:sz w:val="21"/>
          <w:szCs w:val="21"/>
          <w:color w:val="auto"/>
        </w:rPr>
      </w:pPr>
    </w:p>
    <w:p>
      <w:pPr>
        <w:ind w:left="2200" w:hanging="896"/>
        <w:spacing w:after="0"/>
        <w:tabs>
          <w:tab w:leader="none" w:pos="220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Backup Servicer shall remit to the Collection Account within two (2) Business Days of receipt all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66" w:name="page167"/>
    <w:bookmarkEnd w:id="166"/>
    <w:p>
      <w:pPr>
        <w:jc w:val="both"/>
        <w:ind w:firstLine="1304"/>
        <w:spacing w:after="0" w:line="259" w:lineRule="auto"/>
        <w:tabs>
          <w:tab w:leader="none" w:pos="2317"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 Backup Servicer shall perform the Service-Related Activities of the Servicer under the Loan Agreement, except as otherwise modified by this Agreement or the Loan Agreement. Without limiting the foregoing and anything provided for herein, the Backup Servicer shall perform the following in substantially the same manner and level at which Credit Acceptance performs such on the date hereof: (i) customer service inquiries/responsibilities; (ii) collections on delinquent and charged-off contracts; (iii) insurance monitoring and the making of claims with respect thereto; (iv) creating the Monthly Reports; (v) repossession and other legal actions; (vi) statements to performing contracts and other correspondence; (vii) reconciliation of dealer holdback payments; (viii) inventory management; (ix) maintenance of lock-box accounts; (x) electronic skip tracing; and (xi) document storage and title maintenance.</w:t>
      </w:r>
    </w:p>
    <w:p>
      <w:pPr>
        <w:spacing w:after="0" w:line="18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Other Obligations of the Backup Servicer and Servicer</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5" w:lineRule="auto"/>
        <w:tabs>
          <w:tab w:leader="none" w:pos="216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 connection with the delivery obligations of the Servicer under Section 2.1(d), Credit Acceptance shall provide a Live Data File (as defined below) transmission to the Backup Servicer, which shall include the Loans and Contracts master file, the transaction history file and all other files necessary to carry out the Service-Related Activities in connection herewith (the “</w:t>
      </w:r>
      <w:r>
        <w:rPr>
          <w:rFonts w:ascii="Arial" w:cs="Arial" w:eastAsia="Arial" w:hAnsi="Arial"/>
          <w:sz w:val="19"/>
          <w:szCs w:val="19"/>
          <w:u w:val="single" w:color="auto"/>
          <w:color w:val="auto"/>
        </w:rPr>
        <w:t>Live Data Files</w:t>
      </w:r>
      <w:r>
        <w:rPr>
          <w:rFonts w:ascii="Arial" w:cs="Arial" w:eastAsia="Arial" w:hAnsi="Arial"/>
          <w:sz w:val="19"/>
          <w:szCs w:val="19"/>
          <w:color w:val="auto"/>
        </w:rPr>
        <w:t xml:space="preserve">”). The Backup Servicer shall retain the most recent three (3) months' Live Data Files. Upon the written direction of the Deal Agent, the Backup Servicer shall convert the Live Data Files to its internal systems, and no later than five (5) Business Days after the receipt thereof, shall confirm in writing to Credit Acceptance and the Deal Agent the accuracy and completeness of the conversion;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confirmation shall not be deemed to apply to the accuracy of the Live Data Files as provided by Credit Acceptance, but shall be deemed only to apply to the accuracy of the conversion of the Live Data Files to the Backup Servicer’s internal systems. In the event of any changes in format with respect to either Credit Acceptance or the Backup Servicer, Credit Acceptance and the Backup Servicer shall coordinate with each other for the replacement of the data files with files in the correct format, modified accordingly. To verify that Live Data Files have been accurately converted to the Backup Servicer’s internal servicing system, the Backup Servicer will provide Credit Acceptance and the Deal Agent with such reports as are mutually agreed upon by Credit Acceptance and the Backup Servicer from time to time. Credit Acceptance reserves the right to review converted data on the Backup Servicer’s system either by performing an onsite review of the Backup Servicer’s systems or, at Credit Acceptance’s sole expense, by having remote access to the Backup Servicer’s systems. In connection with the conversion of the Live Data Files to its internal systems, the Backup Servicer shall be entitled to receive such compensation as shall be mutually agreed in writing by the Servicer, the Deal Agent and Backup Servicer pursuant to Section 2.7(a)(ii) of the Loan Agreement but in any event not to exceed $20,000 for set-up and initial conversion and $7,500 for each subsequent instance (if any) requested by the Deal Agent.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304"/>
        <w:spacing w:after="0" w:line="265" w:lineRule="auto"/>
        <w:tabs>
          <w:tab w:leader="none" w:pos="220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In connection with the Backup Servicer assuming the Service-Related Activities of Servicer hereunder and under the Loan Agreement, Credit Acceptance agrees that it shall: (i) promptly make available to the Backup Servicer access to all records and information in the possession of Credit Acceptance related to the Loans and the Contracts as may be necessary or reasonably requested by the Backup Servicer in connection with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67" w:name="page168"/>
    <w:bookmarkEnd w:id="167"/>
    <w:p>
      <w:pPr>
        <w:jc w:val="both"/>
        <w:spacing w:after="0" w:line="287" w:lineRule="auto"/>
        <w:rPr>
          <w:sz w:val="20"/>
          <w:szCs w:val="20"/>
          <w:color w:val="auto"/>
        </w:rPr>
      </w:pPr>
      <w:r>
        <w:rPr>
          <w:rFonts w:ascii="Arial" w:cs="Arial" w:eastAsia="Arial" w:hAnsi="Arial"/>
          <w:sz w:val="21"/>
          <w:szCs w:val="21"/>
          <w:color w:val="auto"/>
        </w:rPr>
        <w:t>of the Backup Servicer’s obligations hereunder and thereunder; and (ii) cooperate in good faith with the Backup Servicer and the Deal Agent in connection with any transition of the servicing of the Loans and Contracts to the Backup Servicer.</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Servicing Compensation</w:t>
      </w:r>
      <w:r>
        <w:rPr>
          <w:rFonts w:ascii="Arial" w:cs="Arial" w:eastAsia="Arial" w:hAnsi="Arial"/>
          <w:sz w:val="22"/>
          <w:szCs w:val="22"/>
          <w:color w:val="auto"/>
        </w:rPr>
        <w:t>. As compensation for the performance of its obligations under this Agreement and with respect to the Loan Agreement, the Backup Servicer is entitled to: (i) prior to the Assumption Date, the Backup Servicing Fee, and (ii) after the Assumption Date, the sum of: (A) the Servicing Fee, (B) any Repossession Expenses and (C) any Transition Expenses.</w:t>
      </w:r>
    </w:p>
    <w:p>
      <w:pPr>
        <w:spacing w:after="0" w:line="188"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Collateral Agent’s and Backup Servicer’s Rights</w:t>
      </w:r>
      <w:r>
        <w:rPr>
          <w:rFonts w:ascii="Arial" w:cs="Arial" w:eastAsia="Arial" w:hAnsi="Arial"/>
          <w:sz w:val="19"/>
          <w:szCs w:val="19"/>
          <w:color w:val="auto"/>
        </w:rPr>
        <w:t>. At any time following the Assumption Date:</w:t>
      </w:r>
    </w:p>
    <w:p>
      <w:pPr>
        <w:spacing w:after="0" w:line="220" w:lineRule="exact"/>
        <w:rPr>
          <w:sz w:val="20"/>
          <w:szCs w:val="20"/>
          <w:color w:val="auto"/>
        </w:rPr>
      </w:pPr>
    </w:p>
    <w:p>
      <w:pPr>
        <w:ind w:firstLine="1304"/>
        <w:spacing w:after="0" w:line="263" w:lineRule="auto"/>
        <w:tabs>
          <w:tab w:leader="none" w:pos="218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Collateral Agent or the Backup Servicer may direct that payment of all amounts payable under any Loans or Contracts be made directly to the Backup Servicer, the Collateral Agent or its designee.</w:t>
      </w:r>
    </w:p>
    <w:p>
      <w:pPr>
        <w:spacing w:after="0" w:line="174" w:lineRule="exact"/>
        <w:rPr>
          <w:rFonts w:ascii="Arial" w:cs="Arial" w:eastAsia="Arial" w:hAnsi="Arial"/>
          <w:sz w:val="22"/>
          <w:szCs w:val="22"/>
          <w:color w:val="auto"/>
        </w:rPr>
      </w:pPr>
    </w:p>
    <w:p>
      <w:pPr>
        <w:jc w:val="both"/>
        <w:ind w:firstLine="1304"/>
        <w:spacing w:after="0" w:line="292" w:lineRule="auto"/>
        <w:tabs>
          <w:tab w:leader="none" w:pos="224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The Servicer shall (unless otherwise directed by the Collateral Agent) (i) assemble all of the records relating to the Collateral and shall make the same available to the Backup Servicer (or the Collateral Agent if so directed by the Collateral Agent) at a place selected by the Backup Servicer or the Collateral Agent,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Servicer will be entitled to retain copies of all records provided pursuant to this Section 2.8(b), and (ii) segregate all cash, checks and other instruments received by it from time to time constituting Collections in a manner acceptable to the Collateral Agent and shall, promptly upon receipt but no later than one (1) Business Day after receipt, remit all such cash, checks and instruments, duly endorsed or with duly executed instruments of transfer, as directed by the Collateral Agent or the Backup Servicer.</w:t>
      </w:r>
    </w:p>
    <w:p>
      <w:pPr>
        <w:spacing w:after="0" w:line="150" w:lineRule="exact"/>
        <w:rPr>
          <w:rFonts w:ascii="Arial" w:cs="Arial" w:eastAsia="Arial" w:hAnsi="Arial"/>
          <w:sz w:val="19"/>
          <w:szCs w:val="19"/>
          <w:color w:val="auto"/>
        </w:rPr>
      </w:pPr>
    </w:p>
    <w:p>
      <w:pPr>
        <w:jc w:val="both"/>
        <w:ind w:firstLine="1304"/>
        <w:spacing w:after="0" w:line="261" w:lineRule="auto"/>
        <w:tabs>
          <w:tab w:leader="none" w:pos="2213" w:val="left"/>
        </w:tabs>
        <w:numPr>
          <w:ilvl w:val="0"/>
          <w:numId w:val="168"/>
        </w:numPr>
        <w:rPr>
          <w:rFonts w:ascii="Arial" w:cs="Arial" w:eastAsia="Arial" w:hAnsi="Arial"/>
          <w:sz w:val="21"/>
          <w:szCs w:val="21"/>
          <w:color w:val="auto"/>
        </w:rPr>
      </w:pPr>
      <w:r>
        <w:rPr>
          <w:rFonts w:ascii="Arial" w:cs="Arial" w:eastAsia="Arial" w:hAnsi="Arial"/>
          <w:sz w:val="21"/>
          <w:szCs w:val="21"/>
          <w:color w:val="auto"/>
        </w:rPr>
        <w:t xml:space="preserve">Credit Acceptance hereby authorizes the Collateral Agent and the Backup Servicer to take any and all steps in Credit Acceptance’s name and on behalf of Credit Acceptance necessary or desirable, in the determination of the Backup Servicer or the Collateral Agent acting in “good faith” (as such term is defined in Article 9 of the UCC), to collect all amounts due under any and all of the Loans, including, without limitation, endorsing Credit Acceptance’s name on checks and other instruments representing Collections and enforcing the Loans and Contracts;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Collateral Agent shall not have an affirmative obligation to carry out such duties.</w:t>
      </w:r>
    </w:p>
    <w:p>
      <w:pPr>
        <w:spacing w:after="0" w:line="179"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Liability of the Backup Servicer, the Servicer and the Borrower; Standard of Care</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3" w:lineRule="auto"/>
        <w:tabs>
          <w:tab w:leader="none" w:pos="2232"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Backup Servicer shall not be liable for its actions or omissions hereunder except (i) for its gross negligence, willful misconduct or breach of this Agreement not caused by another party to this Agreement or (ii) for any recitals, statements, representations or warranties made expressly by the Backup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68" w:name="page169"/>
    <w:bookmarkEnd w:id="168"/>
    <w:p>
      <w:pPr>
        <w:jc w:val="both"/>
        <w:ind w:firstLine="1304"/>
        <w:spacing w:after="0" w:line="261" w:lineRule="auto"/>
        <w:tabs>
          <w:tab w:leader="none" w:pos="221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Subject to the limitations of liability set forth herein, the Backup Servicer shall indemnify, defend and hold harmless the Servicer and its respective officers, directors, agents and employees from and against any and all costs, expenses, losses, claims, damages and liabilities to the extent that such cost, expense, loss, claim, damage or liability arose out of, or was imposed upon the Servicer through the Backup Servicer’s breach of this Agreement, the willful misconduct, bad faith or gross negligence of the Backup Servicer in the performance of its duties under this Agreement or by reason of reckless disregard of its obligations and duties under this Agreement.</w:t>
      </w:r>
    </w:p>
    <w:p>
      <w:pPr>
        <w:spacing w:after="0" w:line="179" w:lineRule="exact"/>
        <w:rPr>
          <w:rFonts w:ascii="Arial" w:cs="Arial" w:eastAsia="Arial" w:hAnsi="Arial"/>
          <w:sz w:val="21"/>
          <w:szCs w:val="21"/>
          <w:color w:val="auto"/>
        </w:rPr>
      </w:pPr>
    </w:p>
    <w:p>
      <w:pPr>
        <w:jc w:val="both"/>
        <w:ind w:firstLine="1304"/>
        <w:spacing w:after="0" w:line="290" w:lineRule="auto"/>
        <w:tabs>
          <w:tab w:leader="none" w:pos="230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Prior to the Assumption Date, the Servicer shall indemnify, defend and hold harmless the Backup Servicer as provided in Section 2.2(c)(iv). From and after the Assumption Date, the Borrower shall indemnify, defend and hold harmless the Backup Servicer and its respective officers, directors, agents and employees from and against any and all costs, expenses, losses, claims, damages and liabilities demanded, asserted or claimed against the Backup Servicer directly or indirectly relating to, or arising from the Backup Servicer's participation in the transactions contemplated hereby, except to the extent any such losses arose out of, or were imposed solely upon the Backup Servicer’s breach of this Agreement, the willful misconduct, bad faith or gross negligence of the Backup Servicer in the performance of its duties under this Agreement or by reason of reckless disregard of its obligations and duties under this Agreement.</w:t>
      </w:r>
    </w:p>
    <w:p>
      <w:pPr>
        <w:spacing w:after="0" w:line="155" w:lineRule="exact"/>
        <w:rPr>
          <w:rFonts w:ascii="Arial" w:cs="Arial" w:eastAsia="Arial" w:hAnsi="Arial"/>
          <w:sz w:val="19"/>
          <w:szCs w:val="19"/>
          <w:color w:val="auto"/>
        </w:rPr>
      </w:pPr>
    </w:p>
    <w:p>
      <w:pPr>
        <w:jc w:val="both"/>
        <w:ind w:firstLine="1304"/>
        <w:spacing w:after="0" w:line="287" w:lineRule="auto"/>
        <w:tabs>
          <w:tab w:leader="none" w:pos="218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Backup Servicer may accept and reasonably rely on all accounting and servicing records and other documentation provided to the Backup Servicer by or at the direction of the Servicer, including documents prepared or maintained by any originator, or previous servicer, or any party providing services related to the Loans or Contracts (collectively, the “</w:t>
      </w:r>
      <w:r>
        <w:rPr>
          <w:rFonts w:ascii="Arial" w:cs="Arial" w:eastAsia="Arial" w:hAnsi="Arial"/>
          <w:sz w:val="19"/>
          <w:szCs w:val="19"/>
          <w:u w:val="single" w:color="auto"/>
          <w:color w:val="auto"/>
        </w:rPr>
        <w:t>Third Party</w:t>
      </w:r>
      <w:r>
        <w:rPr>
          <w:rFonts w:ascii="Arial" w:cs="Arial" w:eastAsia="Arial" w:hAnsi="Arial"/>
          <w:sz w:val="19"/>
          <w:szCs w:val="19"/>
          <w:color w:val="auto"/>
        </w:rPr>
        <w:t xml:space="preserve">”). The Servicer agrees to indemnify (subject to the limitation provided in subsection (e) below) and hold harmless the Backup Servicer, its respective officers, employees and agents against any and all claims, losses, penalties, fines, forfeitures, legal fees and related costs, judgments, and any other costs, fees and expenses that the Backup Servicer may sustain in any way related to the negligence or misconduct of any Third Party with respect to the Loans or Contracts. The Backup Servicer shall have no Liability for the acts or omissions of any such Third Party or for the inaccuracy of any data provided, produced or supplied by such Third Party. If any Error exists in any information provided to the Backup Servicer and such Error causes or materially contributes to the Backup Servicer making a Continued Error, the Backup Servicer shall have no liability for such Continued Error;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provision shall not protect the Backup Servicer against any liability which would otherwise be imposed by reason of willful misconduct, bad faith or gross negligence in discovering or correcting any error or in the performance of its duties contemplated herein.</w:t>
      </w:r>
    </w:p>
    <w:p>
      <w:pPr>
        <w:spacing w:after="0" w:line="200" w:lineRule="exact"/>
        <w:rPr>
          <w:sz w:val="20"/>
          <w:szCs w:val="20"/>
          <w:color w:val="auto"/>
        </w:rPr>
      </w:pPr>
    </w:p>
    <w:p>
      <w:pPr>
        <w:spacing w:after="0" w:line="21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In the event the Backup Servicer becomes aware of Errors and/or Continued Errors which, in the opinion of the Backup Servicer, impair its ability to perform its services hereunder, the Backup Servicer shall promptly notify the Servicer and the Deal Agent of such Errors and/or Continued Errors. With the prior consent of the Servicer and the Deal Agent, the Backup Servicer may undertake to reconstruct any data or records appropriate to correct such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69" w:name="page170"/>
    <w:bookmarkEnd w:id="169"/>
    <w:p>
      <w:pPr>
        <w:spacing w:after="0" w:line="263" w:lineRule="auto"/>
        <w:rPr>
          <w:sz w:val="20"/>
          <w:szCs w:val="20"/>
          <w:color w:val="auto"/>
        </w:rPr>
      </w:pPr>
      <w:r>
        <w:rPr>
          <w:rFonts w:ascii="Arial" w:cs="Arial" w:eastAsia="Arial" w:hAnsi="Arial"/>
          <w:sz w:val="22"/>
          <w:szCs w:val="22"/>
          <w:color w:val="auto"/>
        </w:rPr>
        <w:t>Errors and/or Continued Errors and to prevent future Continued Errors. The Backup Servicer shall be entitled to recover its costs thereby expended from the Servicer.</w:t>
      </w:r>
    </w:p>
    <w:p>
      <w:pPr>
        <w:spacing w:after="0" w:line="202" w:lineRule="exact"/>
        <w:rPr>
          <w:sz w:val="20"/>
          <w:szCs w:val="20"/>
          <w:color w:val="auto"/>
        </w:rPr>
      </w:pPr>
    </w:p>
    <w:p>
      <w:pPr>
        <w:jc w:val="both"/>
        <w:ind w:firstLine="1304"/>
        <w:spacing w:after="0" w:line="250" w:lineRule="auto"/>
        <w:tabs>
          <w:tab w:leader="none" w:pos="225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Indemnification under this Section shall include, without limitation, reasonable fees and expenses of counsel and expenses of litigation. If the indemnifying party has made any indemnity payments pursuant to this Section and the recipient thereafter collects any of such amounts from others, the recipient shall promptly repay such amounts collected to the indemnifying party, together with any interest earned thereon.</w:t>
      </w:r>
    </w:p>
    <w:p>
      <w:pPr>
        <w:spacing w:after="0" w:line="187" w:lineRule="exact"/>
        <w:rPr>
          <w:rFonts w:ascii="Arial" w:cs="Arial" w:eastAsia="Arial" w:hAnsi="Arial"/>
          <w:sz w:val="22"/>
          <w:szCs w:val="22"/>
          <w:color w:val="auto"/>
        </w:rPr>
      </w:pPr>
    </w:p>
    <w:p>
      <w:pPr>
        <w:jc w:val="both"/>
        <w:ind w:firstLine="1304"/>
        <w:spacing w:after="0" w:line="261" w:lineRule="auto"/>
        <w:tabs>
          <w:tab w:leader="none" w:pos="2289" w:val="left"/>
        </w:tabs>
        <w:numPr>
          <w:ilvl w:val="0"/>
          <w:numId w:val="171"/>
        </w:numPr>
        <w:rPr>
          <w:rFonts w:ascii="Arial" w:cs="Arial" w:eastAsia="Arial" w:hAnsi="Arial"/>
          <w:sz w:val="21"/>
          <w:szCs w:val="21"/>
          <w:color w:val="auto"/>
        </w:rPr>
      </w:pPr>
      <w:r>
        <w:rPr>
          <w:rFonts w:ascii="Arial" w:cs="Arial" w:eastAsia="Arial" w:hAnsi="Arial"/>
          <w:sz w:val="21"/>
          <w:szCs w:val="21"/>
          <w:color w:val="auto"/>
        </w:rPr>
        <w:t>In performing the Service-Related Activities contemplated by this Agreement, the Backup Servicer agrees to comply in all respects with the applicable state and federal laws and will carry out such activities with the same degree of care as that provided for the Servicer under the Loan Agreement as modified hereunder. The Backup Servicer shall maintain all state and federal licenses and franchises necessary for it to perform Service-Related Activities. The Backup Servicer shall not have any Liability for any Error or Continued Error by the Servicer, or for any error, inaccuracy or omission of the Servicer before the Backup Servicer assumes the Service-Related Activities.</w:t>
      </w:r>
    </w:p>
    <w:p>
      <w:pPr>
        <w:spacing w:after="0" w:line="179" w:lineRule="exact"/>
        <w:rPr>
          <w:rFonts w:ascii="Arial" w:cs="Arial" w:eastAsia="Arial" w:hAnsi="Arial"/>
          <w:sz w:val="21"/>
          <w:szCs w:val="21"/>
          <w:color w:val="auto"/>
        </w:rPr>
      </w:pPr>
    </w:p>
    <w:p>
      <w:pPr>
        <w:jc w:val="both"/>
        <w:ind w:firstLine="1304"/>
        <w:spacing w:after="0" w:line="257" w:lineRule="auto"/>
        <w:tabs>
          <w:tab w:leader="none" w:pos="2209"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Neither the Backup Servicer nor any of the directors or officers or employees or agents of the Backup Servicer shall be under any liability to the Servicer or any party to this Agreement or the Loan Agreement except as provided in this Agreement, for any action taken or for refraining from the taking of any action in good faith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provision shall not protect the Backup Servicer or any such person against any liability that would otherwise be imposed by reason of a breach of this Agreement or willful misconduct, bad faith or gross negligence (excluding errors in judgment) in the performance of duties, by reason of reckless disregard of obligations and duties under this Agreement or any violation of law by the Backup Servicer or such person, as the case may be. The Backup Servicer and any director, officer, employee or agent of the Backup Servicer may conclusively rely and shall be fully protected in acting or refraining from acting upon any document, certificate, instrument, opinion, notice, statement, consent, resolution, entitlement order, approval or conversation believed by it to be genuine and made by the proper person and may request and may conclusively rely and shall be fully protected in acting or refraining from acting upon the advice or opinion of counsel or other experts selected by it. The Backup Servicer shall not be liable for an error of judgment or for any action taken, or omitted to be taken, in good faith by a Responsible Officer of the Backup Servicer, unless it shall be proven that the Backup Servicer was negligent in ascertaining the pertinent facts.</w:t>
      </w:r>
    </w:p>
    <w:p>
      <w:pPr>
        <w:spacing w:after="0" w:line="186" w:lineRule="exact"/>
        <w:rPr>
          <w:rFonts w:ascii="Arial" w:cs="Arial" w:eastAsia="Arial" w:hAnsi="Arial"/>
          <w:sz w:val="21"/>
          <w:szCs w:val="21"/>
          <w:color w:val="auto"/>
        </w:rPr>
      </w:pPr>
    </w:p>
    <w:p>
      <w:pPr>
        <w:jc w:val="both"/>
        <w:ind w:firstLine="1304"/>
        <w:spacing w:after="0" w:line="302" w:lineRule="auto"/>
        <w:tabs>
          <w:tab w:leader="none" w:pos="2281"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Backup Servicer shall maintain its existence and rights as a corporation under the laws of the jurisdiction of its incorporation and will obtain and preserve its qualification to do business in each jurisdiction in which the failure to so qualify would have an adverse effect on the validity or enforceability of any Contract, Dealer Agreement or this Agreement or on the ability of the Backup Servicer to perform its duties under this Agreement or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70" w:name="page171"/>
    <w:bookmarkEnd w:id="170"/>
    <w:p>
      <w:pPr>
        <w:jc w:val="both"/>
        <w:ind w:firstLine="1304"/>
        <w:spacing w:after="0" w:line="253" w:lineRule="auto"/>
        <w:tabs>
          <w:tab w:leader="none" w:pos="2161"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Backup Servicer shall not be bound to make any investigation into the facts or matters stated in any resolution, certificate, statement, instrument, opinion, report, notice, request, consent, entitlement order, approval or other paper or document.</w:t>
      </w:r>
    </w:p>
    <w:p>
      <w:pPr>
        <w:spacing w:after="0" w:line="185" w:lineRule="exact"/>
        <w:rPr>
          <w:rFonts w:ascii="Arial" w:cs="Arial" w:eastAsia="Arial" w:hAnsi="Arial"/>
          <w:sz w:val="22"/>
          <w:szCs w:val="22"/>
          <w:color w:val="auto"/>
        </w:rPr>
      </w:pPr>
    </w:p>
    <w:p>
      <w:pPr>
        <w:ind w:firstLine="1304"/>
        <w:spacing w:after="0" w:line="287" w:lineRule="auto"/>
        <w:tabs>
          <w:tab w:leader="none" w:pos="2147" w:val="left"/>
        </w:tabs>
        <w:numPr>
          <w:ilvl w:val="0"/>
          <w:numId w:val="172"/>
        </w:numPr>
        <w:rPr>
          <w:rFonts w:ascii="Arial" w:cs="Arial" w:eastAsia="Arial" w:hAnsi="Arial"/>
          <w:sz w:val="21"/>
          <w:szCs w:val="21"/>
          <w:color w:val="auto"/>
        </w:rPr>
      </w:pPr>
      <w:r>
        <w:rPr>
          <w:rFonts w:ascii="Arial" w:cs="Arial" w:eastAsia="Arial" w:hAnsi="Arial"/>
          <w:sz w:val="21"/>
          <w:szCs w:val="21"/>
          <w:color w:val="auto"/>
        </w:rPr>
        <w:t>The Backup Servicer may execute any of the trusts or powers hereunder or perform any duties hereunder either directly or by or through agents, attorneys, custodians or nominees appointed with due care.</w:t>
      </w:r>
    </w:p>
    <w:p>
      <w:pPr>
        <w:spacing w:after="0" w:line="151" w:lineRule="exact"/>
        <w:rPr>
          <w:rFonts w:ascii="Arial" w:cs="Arial" w:eastAsia="Arial" w:hAnsi="Arial"/>
          <w:sz w:val="21"/>
          <w:szCs w:val="21"/>
          <w:color w:val="auto"/>
        </w:rPr>
      </w:pPr>
    </w:p>
    <w:p>
      <w:pPr>
        <w:jc w:val="both"/>
        <w:ind w:firstLine="1304"/>
        <w:spacing w:after="0" w:line="253" w:lineRule="auto"/>
        <w:tabs>
          <w:tab w:leader="none" w:pos="229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To the extent that the Backup Servicer is not indemnified by the Servicer pursuant to Section 2.2 hereunder and under the Loan Agreement, such amounts shall be reimbursable by the Borrower pursuant to Section 2.7(a) of the Loan Agreement.</w:t>
      </w:r>
    </w:p>
    <w:p>
      <w:pPr>
        <w:spacing w:after="0" w:line="185" w:lineRule="exact"/>
        <w:rPr>
          <w:rFonts w:ascii="Arial" w:cs="Arial" w:eastAsia="Arial" w:hAnsi="Arial"/>
          <w:sz w:val="22"/>
          <w:szCs w:val="22"/>
          <w:color w:val="auto"/>
        </w:rPr>
      </w:pPr>
    </w:p>
    <w:p>
      <w:pPr>
        <w:jc w:val="both"/>
        <w:ind w:firstLine="1304"/>
        <w:spacing w:after="0" w:line="312" w:lineRule="auto"/>
        <w:tabs>
          <w:tab w:leader="none" w:pos="2244"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in no event shall the Backup Servicer be liable for special, indirect, or consequential damages of any kind whatsoever, including but not limited to lost profits, even if the Backup Servicer has been advised of the likelihood of such loss or damage and regardless of the form of action.</w:t>
      </w:r>
    </w:p>
    <w:p>
      <w:pPr>
        <w:spacing w:after="0" w:line="133" w:lineRule="exact"/>
        <w:rPr>
          <w:rFonts w:ascii="Arial" w:cs="Arial" w:eastAsia="Arial" w:hAnsi="Arial"/>
          <w:sz w:val="19"/>
          <w:szCs w:val="19"/>
          <w:color w:val="auto"/>
        </w:rPr>
      </w:pPr>
    </w:p>
    <w:p>
      <w:pPr>
        <w:jc w:val="both"/>
        <w:ind w:firstLine="1304"/>
        <w:spacing w:after="0" w:line="297" w:lineRule="auto"/>
        <w:tabs>
          <w:tab w:leader="none" w:pos="239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Backup Servicer and its permitted successors shall have no obligation to perform under this Agreement, to the extent prevented or hindered by an act of God, fire, riot, labor disturbances, accident, war, epidemic, pandemic or the acts of any government (whether domestic, federal, state, county or municipal or foreign) or any causes beyond the reasonable control of the Backup Servicer (each, a “Force Majeure Event”); provided that Backup Servicer shall use commercially reasonable efforts to meet its obligation under this Agreement, and remedy any Force Majeure Event.</w:t>
      </w:r>
    </w:p>
    <w:p>
      <w:pPr>
        <w:spacing w:after="0" w:line="146" w:lineRule="exact"/>
        <w:rPr>
          <w:rFonts w:ascii="Arial" w:cs="Arial" w:eastAsia="Arial" w:hAnsi="Arial"/>
          <w:sz w:val="19"/>
          <w:szCs w:val="19"/>
          <w:color w:val="auto"/>
        </w:rPr>
      </w:pPr>
    </w:p>
    <w:p>
      <w:pPr>
        <w:jc w:val="both"/>
        <w:ind w:firstLine="1304"/>
        <w:spacing w:after="0" w:line="343" w:lineRule="auto"/>
        <w:tabs>
          <w:tab w:leader="none" w:pos="229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provisions of this Section shall: (i) apply to the Backup Servicer in its capacity as Successor Servicer; and (ii) survive the termination or assignment of this Agreement and the resignation or removal of the Backup Servicer.</w:t>
      </w:r>
    </w:p>
    <w:p>
      <w:pPr>
        <w:spacing w:after="0" w:line="10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Backup Servicer’s Certificate</w:t>
      </w:r>
      <w:r>
        <w:rPr>
          <w:rFonts w:ascii="Arial" w:cs="Arial" w:eastAsia="Arial" w:hAnsi="Arial"/>
          <w:sz w:val="19"/>
          <w:szCs w:val="19"/>
          <w:color w:val="auto"/>
        </w:rPr>
        <w:t>. Prior to the Assumption Date, on or before 12:00 noon (New York City time) on the Business Day preceding each Payment Date, the Backup Servicer shall deliver or cause to be delivered to the Deal Agent a certificate (the “</w:t>
      </w:r>
      <w:r>
        <w:rPr>
          <w:rFonts w:ascii="Arial" w:cs="Arial" w:eastAsia="Arial" w:hAnsi="Arial"/>
          <w:sz w:val="19"/>
          <w:szCs w:val="19"/>
          <w:u w:val="single" w:color="auto"/>
          <w:color w:val="auto"/>
        </w:rPr>
        <w:t>Backup Servicer’s Certificate</w:t>
      </w:r>
      <w:r>
        <w:rPr>
          <w:rFonts w:ascii="Arial" w:cs="Arial" w:eastAsia="Arial" w:hAnsi="Arial"/>
          <w:sz w:val="19"/>
          <w:szCs w:val="19"/>
          <w:color w:val="auto"/>
        </w:rPr>
        <w:t>”), in form, which form may be electronic, and substance satisfactory to the Deal Agent, signed by an officer of the Backup Servicer, stating that (i) the Backup Servicer has loaded the Servicer’s Data File as described in Section 2.1(a) on its hardware, (ii) a review of the Monthly Report for the related Payment Date has been made under such officer’s supervision, (iii) the Backup Servicer has received the Live Data File described in Section 2.6(a); and</w:t>
      </w:r>
    </w:p>
    <w:p>
      <w:pPr>
        <w:jc w:val="both"/>
        <w:ind w:firstLine="8"/>
        <w:spacing w:after="0" w:line="257" w:lineRule="auto"/>
        <w:tabs>
          <w:tab w:leader="none" w:pos="379"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to such officer’s knowledge, (x) the electronic media is in readable form, (y) with respect to the review and verification set forth in Sections 2.2(a) and 2.2(b), the data on the Servicer’s Data File tie to the related Monthly Report resulting in no discrepancies between them, and (z) the Monthly Report does not contain any errors in accordance with the review criteria set forth in Section 2.2(a) hereunder. If the preceding statements cannot be made in the affirmative, the applicable officer shall state the nature of any and all anomalies, discrepancies and errors, and indicate all actions it is currently taking with the Servicer to reconcile and/or correct the same. Each Backup Servicer’s Certificate shall be dated as of the related date of delivery. Upon the request of the Deal Agent, a Backup Servicer’s Certificate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71" w:name="page172"/>
    <w:bookmarkEnd w:id="171"/>
    <w:p>
      <w:pPr>
        <w:jc w:val="both"/>
        <w:spacing w:after="0" w:line="263" w:lineRule="auto"/>
        <w:rPr>
          <w:sz w:val="20"/>
          <w:szCs w:val="20"/>
          <w:color w:val="auto"/>
        </w:rPr>
      </w:pPr>
      <w:r>
        <w:rPr>
          <w:rFonts w:ascii="Arial" w:cs="Arial" w:eastAsia="Arial" w:hAnsi="Arial"/>
          <w:sz w:val="21"/>
          <w:szCs w:val="21"/>
          <w:color w:val="auto"/>
        </w:rPr>
        <w:t>accompanied by copies of any third party reports relied on or obtained in connection with the Backup Servicer’s duties hereunder. The Backup Servicer, with respect to the Backup Servicer’s Certificate, shall not be responsible for delays attributable to the Servicer’s or Borrower’s failure to deliver information, defects in the information supplied by the Servicer or other circumstances beyond the control of the Backup Servicer. After the Assumption Date, the Backup Servicer shall deliver the Monthly Report in accordance with Section 6.5(a) of the Loan Agreement.</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2.12 </w:t>
      </w:r>
      <w:r>
        <w:rPr>
          <w:rFonts w:ascii="Arial" w:cs="Arial" w:eastAsia="Arial" w:hAnsi="Arial"/>
          <w:sz w:val="21"/>
          <w:szCs w:val="21"/>
          <w:u w:val="single" w:color="auto"/>
          <w:color w:val="auto"/>
        </w:rPr>
        <w:t>Backup Servicer’s Expenses</w:t>
      </w:r>
      <w:r>
        <w:rPr>
          <w:rFonts w:ascii="Arial" w:cs="Arial" w:eastAsia="Arial" w:hAnsi="Arial"/>
          <w:sz w:val="21"/>
          <w:szCs w:val="21"/>
          <w:color w:val="auto"/>
        </w:rPr>
        <w:t>. The Backup Servicer shall be required to pay all ordinary expenses incurred by it in connection with its activities hereunder, including fees and disbursements of independent accountants, taxes imposed on the Backup Servicer and expenses incurred in connection with distributions and reports to the Servicer and the Deal Agent. When the Backup Servicer incurs expenses after the occurrence of a Servicer Termination Event specified in Section 6.11 of the Loan Agreement, the parties hereto intend that such expenses constitute expenses of administration under the Bankruptcy Code or any other applicable Federal or State bankruptcy, insolvency or similar law.</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Backup Servicer as Successor Servicer</w:t>
      </w:r>
      <w:r>
        <w:rPr>
          <w:rFonts w:ascii="Arial" w:cs="Arial" w:eastAsia="Arial" w:hAnsi="Arial"/>
          <w:sz w:val="19"/>
          <w:szCs w:val="19"/>
          <w:color w:val="auto"/>
        </w:rPr>
        <w:t>. Notwithstanding anything to the contrary contained herein, and for the avoidance of doubt, any reference herein to the Backup Servicer and/or its rights, obligations and duties after the Assumption Date shall be deemed to relate to the Backup Servicer acting solely in its capacity as Successor Servicer.</w:t>
      </w:r>
    </w:p>
    <w:p>
      <w:pPr>
        <w:spacing w:after="0" w:line="133"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3</w:t>
      </w:r>
    </w:p>
    <w:p>
      <w:pPr>
        <w:spacing w:after="0" w:line="220"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REPRESENTATIONS AND WARRANTIES</w:t>
      </w:r>
    </w:p>
    <w:p>
      <w:pPr>
        <w:spacing w:after="0" w:line="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Representations, Warranties and Covenants of the Backup Servicer</w:t>
      </w:r>
      <w:r>
        <w:rPr>
          <w:rFonts w:ascii="Arial" w:cs="Arial" w:eastAsia="Arial" w:hAnsi="Arial"/>
          <w:sz w:val="19"/>
          <w:szCs w:val="19"/>
          <w:color w:val="auto"/>
        </w:rPr>
        <w:t>. The Backup Servicer (i) represents and warrants as of the date of execution and delivery of this Agreement and (ii) covenants with respect to clauses (i) through (l) below from the date hereof until the termination of this Agreement in accordance with its terms, as follows:</w:t>
      </w:r>
    </w:p>
    <w:p>
      <w:pPr>
        <w:spacing w:after="0" w:line="143" w:lineRule="exact"/>
        <w:rPr>
          <w:sz w:val="20"/>
          <w:szCs w:val="20"/>
          <w:color w:val="auto"/>
        </w:rPr>
      </w:pPr>
    </w:p>
    <w:p>
      <w:pPr>
        <w:jc w:val="both"/>
        <w:ind w:firstLine="1304"/>
        <w:spacing w:after="0" w:line="265" w:lineRule="auto"/>
        <w:tabs>
          <w:tab w:leader="none" w:pos="2184"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The Backup Servicer has been duly organized, and is validly existing as a corporation and is in good standing under the laws of Delaware, with all requisite power and authority to own or lease its properties and to conduct its business as such business is presently conducted and to enter into and perform its obligations pursuant to this Agreement and each other Transaction Document to which it is a party.</w:t>
      </w:r>
    </w:p>
    <w:p>
      <w:pPr>
        <w:spacing w:after="0" w:line="175" w:lineRule="exact"/>
        <w:rPr>
          <w:rFonts w:ascii="Arial" w:cs="Arial" w:eastAsia="Arial" w:hAnsi="Arial"/>
          <w:sz w:val="21"/>
          <w:szCs w:val="21"/>
          <w:color w:val="auto"/>
        </w:rPr>
      </w:pPr>
    </w:p>
    <w:p>
      <w:pPr>
        <w:jc w:val="both"/>
        <w:ind w:firstLine="1304"/>
        <w:spacing w:after="0" w:line="271" w:lineRule="auto"/>
        <w:tabs>
          <w:tab w:leader="none" w:pos="2304" w:val="left"/>
        </w:tabs>
        <w:numPr>
          <w:ilvl w:val="0"/>
          <w:numId w:val="174"/>
        </w:numPr>
        <w:rPr>
          <w:rFonts w:ascii="Arial" w:cs="Arial" w:eastAsia="Arial" w:hAnsi="Arial"/>
          <w:sz w:val="21"/>
          <w:szCs w:val="21"/>
          <w:color w:val="auto"/>
        </w:rPr>
      </w:pPr>
      <w:r>
        <w:rPr>
          <w:rFonts w:ascii="Arial" w:cs="Arial" w:eastAsia="Arial" w:hAnsi="Arial"/>
          <w:sz w:val="21"/>
          <w:szCs w:val="21"/>
          <w:u w:val="single" w:color="auto"/>
          <w:color w:val="auto"/>
        </w:rPr>
        <w:t>Due Qualification</w:t>
      </w:r>
      <w:r>
        <w:rPr>
          <w:rFonts w:ascii="Arial" w:cs="Arial" w:eastAsia="Arial" w:hAnsi="Arial"/>
          <w:sz w:val="21"/>
          <w:szCs w:val="21"/>
          <w:color w:val="auto"/>
        </w:rPr>
        <w:t>. The Backup Servicer is duly qualified to do business as a corporation in good standing, and has obtained all necessary licenses and approvals, in all jurisdictions where the failure to do so would materially and adversely affect the performance of its obligations under this Agreement or the Loan Agreement.</w:t>
      </w:r>
    </w:p>
    <w:p>
      <w:pPr>
        <w:spacing w:after="0" w:line="167" w:lineRule="exact"/>
        <w:rPr>
          <w:rFonts w:ascii="Arial" w:cs="Arial" w:eastAsia="Arial" w:hAnsi="Arial"/>
          <w:sz w:val="21"/>
          <w:szCs w:val="21"/>
          <w:color w:val="auto"/>
        </w:rPr>
      </w:pPr>
    </w:p>
    <w:p>
      <w:pPr>
        <w:jc w:val="both"/>
        <w:ind w:firstLine="1304"/>
        <w:spacing w:after="0" w:line="253" w:lineRule="auto"/>
        <w:tabs>
          <w:tab w:leader="none" w:pos="2265"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Power and Authority</w:t>
      </w:r>
      <w:r>
        <w:rPr>
          <w:rFonts w:ascii="Arial" w:cs="Arial" w:eastAsia="Arial" w:hAnsi="Arial"/>
          <w:sz w:val="22"/>
          <w:szCs w:val="22"/>
          <w:color w:val="auto"/>
        </w:rPr>
        <w:t>. The Backup Servicer has the power and authority to execute and deliver this Agreement and to carry out the terms hereof; and the execution, delivery and performance of this Agreement have been duly authorized by the Backup Servicer by all necessary corporate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72" w:name="page173"/>
    <w:bookmarkEnd w:id="172"/>
    <w:p>
      <w:pPr>
        <w:jc w:val="both"/>
        <w:ind w:firstLine="1304"/>
        <w:spacing w:after="0" w:line="302" w:lineRule="auto"/>
        <w:tabs>
          <w:tab w:leader="none" w:pos="2304"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Binding Obligation</w:t>
      </w:r>
      <w:r>
        <w:rPr>
          <w:rFonts w:ascii="Arial" w:cs="Arial" w:eastAsia="Arial" w:hAnsi="Arial"/>
          <w:sz w:val="19"/>
          <w:szCs w:val="19"/>
          <w:color w:val="auto"/>
        </w:rPr>
        <w:t>. This Agreement shall constitute the legal, valid and binding obligation of the Backup Servicer enforceable in accordance with its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142" w:lineRule="exact"/>
        <w:rPr>
          <w:rFonts w:ascii="Arial" w:cs="Arial" w:eastAsia="Arial" w:hAnsi="Arial"/>
          <w:sz w:val="19"/>
          <w:szCs w:val="19"/>
          <w:color w:val="auto"/>
        </w:rPr>
      </w:pPr>
    </w:p>
    <w:p>
      <w:pPr>
        <w:jc w:val="both"/>
        <w:ind w:firstLine="1304"/>
        <w:spacing w:after="0" w:line="245" w:lineRule="auto"/>
        <w:tabs>
          <w:tab w:leader="none" w:pos="2278"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No Violation</w:t>
      </w:r>
      <w:r>
        <w:rPr>
          <w:rFonts w:ascii="Arial" w:cs="Arial" w:eastAsia="Arial" w:hAnsi="Arial"/>
          <w:sz w:val="22"/>
          <w:szCs w:val="22"/>
          <w:color w:val="auto"/>
        </w:rPr>
        <w:t>. The execution and delivery of this Agreement, the consummation of the transactions contemplated by this Agreement, and the fulfillment of the terms hereof shall not conflict with, result in any breach of any of the terms and provisions of, or constitute (with or without notice or lapse of time, or both) a default under, the certificate of incorporation or bylaws of the Backup Servicer, or any indenture, agreement, mortgage, deed of trust or other instrument to which the Backup Servicer is a party or by which it is bound, or result in the creation or imposition of any lien upon any of its properties pursuant to the terms of any such indenture, agreement, mortgage, deed of trust or other instrument, other than this Agreement, or violate any law, order, rule or regulation applicable to the Backup Servicer of any court or of any federal or state regulatory body, administrative agency or other governmental instrumentality having jurisdiction over the Backup Servicer or any of its properties.</w:t>
      </w:r>
    </w:p>
    <w:p>
      <w:pPr>
        <w:spacing w:after="0" w:line="200" w:lineRule="exact"/>
        <w:rPr>
          <w:rFonts w:ascii="Arial" w:cs="Arial" w:eastAsia="Arial" w:hAnsi="Arial"/>
          <w:sz w:val="22"/>
          <w:szCs w:val="22"/>
          <w:color w:val="auto"/>
        </w:rPr>
      </w:pPr>
    </w:p>
    <w:p>
      <w:pPr>
        <w:jc w:val="both"/>
        <w:ind w:firstLine="1304"/>
        <w:spacing w:after="0" w:line="261" w:lineRule="auto"/>
        <w:tabs>
          <w:tab w:leader="none" w:pos="2322"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No Proceedings</w:t>
      </w:r>
      <w:r>
        <w:rPr>
          <w:rFonts w:ascii="Arial" w:cs="Arial" w:eastAsia="Arial" w:hAnsi="Arial"/>
          <w:sz w:val="21"/>
          <w:szCs w:val="21"/>
          <w:color w:val="auto"/>
        </w:rPr>
        <w:t>. There are no proceedings or investigations pending or, to the Backup Servicer’s knowledge, threatened against the Backup Servicer, before any court, regulatory body, administrative agency or other tribunal or governmental instrumentality having jurisdiction over the Backup Servicer or its properties: (i) asserting the invalidity of this Agreement, (ii) seeking to prevent the consummation of any of the transactions contemplated by this Agreement, or (iii) seeking any determination or ruling that might materially and adversely affect the performance by the Backup Servicer of its obligations under, or the validity or enforceability of, this Agreement.</w:t>
      </w:r>
    </w:p>
    <w:p>
      <w:pPr>
        <w:spacing w:after="0" w:line="179" w:lineRule="exact"/>
        <w:rPr>
          <w:rFonts w:ascii="Arial" w:cs="Arial" w:eastAsia="Arial" w:hAnsi="Arial"/>
          <w:sz w:val="21"/>
          <w:szCs w:val="21"/>
          <w:color w:val="auto"/>
        </w:rPr>
      </w:pPr>
    </w:p>
    <w:p>
      <w:pPr>
        <w:jc w:val="both"/>
        <w:ind w:firstLine="1304"/>
        <w:spacing w:after="0" w:line="271" w:lineRule="auto"/>
        <w:tabs>
          <w:tab w:leader="none" w:pos="2236" w:val="left"/>
        </w:tabs>
        <w:numPr>
          <w:ilvl w:val="0"/>
          <w:numId w:val="175"/>
        </w:numPr>
        <w:rPr>
          <w:rFonts w:ascii="Arial" w:cs="Arial" w:eastAsia="Arial" w:hAnsi="Arial"/>
          <w:sz w:val="21"/>
          <w:szCs w:val="21"/>
          <w:color w:val="auto"/>
        </w:rPr>
      </w:pPr>
      <w:r>
        <w:rPr>
          <w:rFonts w:ascii="Arial" w:cs="Arial" w:eastAsia="Arial" w:hAnsi="Arial"/>
          <w:sz w:val="21"/>
          <w:szCs w:val="21"/>
          <w:u w:val="single" w:color="auto"/>
          <w:color w:val="auto"/>
        </w:rPr>
        <w:t>No Consents</w:t>
      </w:r>
      <w:r>
        <w:rPr>
          <w:rFonts w:ascii="Arial" w:cs="Arial" w:eastAsia="Arial" w:hAnsi="Arial"/>
          <w:sz w:val="21"/>
          <w:szCs w:val="21"/>
          <w:color w:val="auto"/>
        </w:rPr>
        <w:t>. The Backup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w:t>
      </w:r>
    </w:p>
    <w:p>
      <w:pPr>
        <w:spacing w:after="0" w:line="167" w:lineRule="exact"/>
        <w:rPr>
          <w:rFonts w:ascii="Arial" w:cs="Arial" w:eastAsia="Arial" w:hAnsi="Arial"/>
          <w:sz w:val="21"/>
          <w:szCs w:val="21"/>
          <w:color w:val="auto"/>
        </w:rPr>
      </w:pPr>
    </w:p>
    <w:p>
      <w:pPr>
        <w:jc w:val="both"/>
        <w:ind w:right="20" w:firstLine="1304"/>
        <w:spacing w:after="0" w:line="253" w:lineRule="auto"/>
        <w:tabs>
          <w:tab w:leader="none" w:pos="2182"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The Backup Servicer has, or prior to the Assumption Date, shall have adequate facilities and employees in place to perform the Service-Related Activities set forth in Section 2.5(d), in accordance with its Collection Guidelines.</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2256"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Timing for Succession</w:t>
      </w:r>
      <w:r>
        <w:rPr>
          <w:rFonts w:ascii="Arial" w:cs="Arial" w:eastAsia="Arial" w:hAnsi="Arial"/>
          <w:sz w:val="22"/>
          <w:szCs w:val="22"/>
          <w:color w:val="auto"/>
        </w:rPr>
        <w:t>. The Backup Servicer shall take all actions it deems necessary to commence servicing no later than thirty (30) days of receipt of a Servicer Termination Notice from the Deal Agent, including without limitation, hiring and training new personnel and purchasing any necessary equipment.</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2175"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Systems Compatibility</w:t>
      </w:r>
      <w:r>
        <w:rPr>
          <w:rFonts w:ascii="Arial" w:cs="Arial" w:eastAsia="Arial" w:hAnsi="Arial"/>
          <w:sz w:val="22"/>
          <w:szCs w:val="22"/>
          <w:color w:val="auto"/>
        </w:rPr>
        <w:t>. The Backup Servicer shall keep gateways, hardware, software, systems and the interface used to fulfill its obligations hereunder up-to-date as necessary to ensure continuing compatibility with Credit Acceptance’s systems, utilized by Credit Acceptance in its capacity as Servicer, and otherwise maintain a technology platform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73" w:name="page174"/>
    <w:bookmarkEnd w:id="173"/>
    <w:p>
      <w:pPr>
        <w:jc w:val="both"/>
        <w:spacing w:after="0" w:line="253" w:lineRule="auto"/>
        <w:rPr>
          <w:sz w:val="20"/>
          <w:szCs w:val="20"/>
          <w:color w:val="auto"/>
        </w:rPr>
      </w:pPr>
      <w:r>
        <w:rPr>
          <w:rFonts w:ascii="Arial" w:cs="Arial" w:eastAsia="Arial" w:hAnsi="Arial"/>
          <w:sz w:val="22"/>
          <w:szCs w:val="22"/>
          <w:color w:val="auto"/>
        </w:rPr>
        <w:t xml:space="preserve">will enable the Backup Servicer to fulfill its obligations at all times;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Backup Servicer will not be responsible for ensuring compatibility with systems changed or modified by Credit Acceptance unless Credit Acceptance notifies the Backup Servicer of such changes or modifications.</w:t>
      </w:r>
    </w:p>
    <w:p>
      <w:pPr>
        <w:spacing w:after="0" w:line="200" w:lineRule="exact"/>
        <w:rPr>
          <w:sz w:val="20"/>
          <w:szCs w:val="20"/>
          <w:color w:val="auto"/>
        </w:rPr>
      </w:pPr>
    </w:p>
    <w:p>
      <w:pPr>
        <w:spacing w:after="0" w:line="228" w:lineRule="exact"/>
        <w:rPr>
          <w:sz w:val="20"/>
          <w:szCs w:val="20"/>
          <w:color w:val="auto"/>
        </w:rPr>
      </w:pPr>
    </w:p>
    <w:p>
      <w:pPr>
        <w:jc w:val="both"/>
        <w:ind w:firstLine="1304"/>
        <w:spacing w:after="0" w:line="250" w:lineRule="auto"/>
        <w:tabs>
          <w:tab w:leader="none" w:pos="2250"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Standard of Care</w:t>
      </w:r>
      <w:r>
        <w:rPr>
          <w:rFonts w:ascii="Arial" w:cs="Arial" w:eastAsia="Arial" w:hAnsi="Arial"/>
          <w:sz w:val="22"/>
          <w:szCs w:val="22"/>
          <w:color w:val="auto"/>
        </w:rPr>
        <w:t>. The Backup Servicer will perform the services described hereunder in accordance with industry standards applicable to the performance of such services and will perform its duties hereunder with the same degree of care as it applies to the performance of such services for any assets which the Backup Servicer holds for its own account or services for other Persons.</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2242"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Notice of Backup Servicer Event of Default</w:t>
      </w:r>
      <w:r>
        <w:rPr>
          <w:rFonts w:ascii="Arial" w:cs="Arial" w:eastAsia="Arial" w:hAnsi="Arial"/>
          <w:sz w:val="22"/>
          <w:szCs w:val="22"/>
          <w:color w:val="auto"/>
        </w:rPr>
        <w:t>. Upon a Backup Servicer Event of Default, the Backup Servicer shall promptly (but in any event within two (2) Business Days) notify the Deal Agent, the Servicer and the Borrower that a Backup Servicer Event of Default has occurred.</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4</w:t>
      </w:r>
    </w:p>
    <w:p>
      <w:pPr>
        <w:spacing w:after="0" w:line="22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TERMINATION</w:t>
      </w:r>
    </w:p>
    <w:p>
      <w:pPr>
        <w:spacing w:after="0" w:line="2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Backup Servicer Event of Default</w:t>
      </w:r>
      <w:r>
        <w:rPr>
          <w:rFonts w:ascii="Arial" w:cs="Arial" w:eastAsia="Arial" w:hAnsi="Arial"/>
          <w:sz w:val="19"/>
          <w:szCs w:val="19"/>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For purposes of this Agreement, any of the following shall constitute a “</w:t>
      </w:r>
      <w:r>
        <w:rPr>
          <w:rFonts w:ascii="Arial" w:cs="Arial" w:eastAsia="Arial" w:hAnsi="Arial"/>
          <w:sz w:val="21"/>
          <w:szCs w:val="21"/>
          <w:u w:val="single" w:color="auto"/>
          <w:color w:val="auto"/>
        </w:rPr>
        <w:t>Backup Servicer Event of Default</w:t>
      </w:r>
      <w:r>
        <w:rPr>
          <w:rFonts w:ascii="Arial" w:cs="Arial" w:eastAsia="Arial" w:hAnsi="Arial"/>
          <w:sz w:val="21"/>
          <w:szCs w:val="21"/>
          <w:color w:val="auto"/>
        </w:rPr>
        <w:t>”:</w:t>
      </w:r>
    </w:p>
    <w:p>
      <w:pPr>
        <w:spacing w:after="0" w:line="231" w:lineRule="exact"/>
        <w:rPr>
          <w:sz w:val="20"/>
          <w:szCs w:val="20"/>
          <w:color w:val="auto"/>
        </w:rPr>
      </w:pPr>
    </w:p>
    <w:p>
      <w:pPr>
        <w:jc w:val="both"/>
        <w:ind w:firstLine="1304"/>
        <w:spacing w:after="0" w:line="302" w:lineRule="auto"/>
        <w:tabs>
          <w:tab w:leader="none" w:pos="2288" w:val="left"/>
        </w:tabs>
        <w:numPr>
          <w:ilvl w:val="1"/>
          <w:numId w:val="177"/>
        </w:numPr>
        <w:rPr>
          <w:rFonts w:ascii="Arial" w:cs="Arial" w:eastAsia="Arial" w:hAnsi="Arial"/>
          <w:sz w:val="19"/>
          <w:szCs w:val="19"/>
          <w:color w:val="auto"/>
        </w:rPr>
      </w:pPr>
      <w:r>
        <w:rPr>
          <w:rFonts w:ascii="Arial" w:cs="Arial" w:eastAsia="Arial" w:hAnsi="Arial"/>
          <w:sz w:val="19"/>
          <w:szCs w:val="19"/>
          <w:color w:val="auto"/>
        </w:rPr>
        <w:t>Failure on the part of the Backup Servicer duly to observe or perform in any material respect any covenant or agreement of the Backup Servicer set forth in this Agreement, which failure continues unremedied for a period of 30 days after the date on which a Responsible Officer of the Backup Servicer has actual knowledge thereof or written notice of such failure, requiring the same to be remedied, shall have been given to the Backup Servicer by the Deal Agent.</w:t>
      </w:r>
    </w:p>
    <w:p>
      <w:pPr>
        <w:spacing w:after="0" w:line="142" w:lineRule="exact"/>
        <w:rPr>
          <w:rFonts w:ascii="Arial" w:cs="Arial" w:eastAsia="Arial" w:hAnsi="Arial"/>
          <w:sz w:val="19"/>
          <w:szCs w:val="19"/>
          <w:color w:val="auto"/>
        </w:rPr>
      </w:pPr>
    </w:p>
    <w:p>
      <w:pPr>
        <w:jc w:val="both"/>
        <w:ind w:firstLine="1304"/>
        <w:spacing w:after="0" w:line="291" w:lineRule="auto"/>
        <w:tabs>
          <w:tab w:leader="none" w:pos="218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Any failure by the Backup Servicer (x) after the Assumption Date to deposit to the Collection Account any amount required to be deposited by the Servicer and such failure shall continue unremedied for a period of two (2) days or</w:t>
      </w:r>
    </w:p>
    <w:p>
      <w:pPr>
        <w:spacing w:after="0" w:line="1" w:lineRule="exact"/>
        <w:rPr>
          <w:rFonts w:ascii="Arial" w:cs="Arial" w:eastAsia="Arial" w:hAnsi="Arial"/>
          <w:sz w:val="19"/>
          <w:szCs w:val="19"/>
          <w:color w:val="auto"/>
        </w:rPr>
      </w:pPr>
    </w:p>
    <w:p>
      <w:pPr>
        <w:ind w:right="20" w:firstLine="8"/>
        <w:spacing w:after="0" w:line="246" w:lineRule="auto"/>
        <w:tabs>
          <w:tab w:leader="none" w:pos="34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to deliver to the Deal Agent, any Backup Servicer’s Certificate in accordance with Section 2.10 and such failure shall continue unremedied for a period of one (1) Business Day.</w:t>
      </w:r>
    </w:p>
    <w:p>
      <w:pPr>
        <w:spacing w:after="0" w:line="192" w:lineRule="exact"/>
        <w:rPr>
          <w:rFonts w:ascii="Arial" w:cs="Arial" w:eastAsia="Arial" w:hAnsi="Arial"/>
          <w:sz w:val="22"/>
          <w:szCs w:val="22"/>
          <w:color w:val="auto"/>
        </w:rPr>
      </w:pPr>
    </w:p>
    <w:p>
      <w:pPr>
        <w:jc w:val="both"/>
        <w:ind w:firstLine="1304"/>
        <w:spacing w:after="0" w:line="247" w:lineRule="auto"/>
        <w:tabs>
          <w:tab w:leader="none" w:pos="2212" w:val="left"/>
        </w:tabs>
        <w:numPr>
          <w:ilvl w:val="1"/>
          <w:numId w:val="178"/>
        </w:numPr>
        <w:rPr>
          <w:rFonts w:ascii="Arial" w:cs="Arial" w:eastAsia="Arial" w:hAnsi="Arial"/>
          <w:sz w:val="22"/>
          <w:szCs w:val="22"/>
          <w:color w:val="auto"/>
        </w:rPr>
      </w:pPr>
      <w:r>
        <w:rPr>
          <w:rFonts w:ascii="Arial" w:cs="Arial" w:eastAsia="Arial" w:hAnsi="Arial"/>
          <w:sz w:val="22"/>
          <w:szCs w:val="22"/>
          <w:color w:val="auto"/>
        </w:rPr>
        <w:t>The entry of a decree or order by a court or agency or supervisory authority having jurisdiction in the premises for the appointment of a conservator, receiver, or liquidator for the Backup Servicer in any insolvency, readjustment of debt, marshalling of assets and liabilities, or similar proceedings, or for the winding up or liquidation of its respective affairs, and the continuance of any such decree or order unstayed and in effect for a period of 60 consecutive days or the entry of any decree or order for relief in respect of the Backup Servicer under any bankruptcy, reorganization, compromise, arrangement, insolvency, readjustment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74" w:name="page175"/>
    <w:bookmarkEnd w:id="174"/>
    <w:p>
      <w:pPr>
        <w:ind w:right="20"/>
        <w:spacing w:after="0" w:line="263" w:lineRule="auto"/>
        <w:rPr>
          <w:sz w:val="20"/>
          <w:szCs w:val="20"/>
          <w:color w:val="auto"/>
        </w:rPr>
      </w:pPr>
      <w:r>
        <w:rPr>
          <w:rFonts w:ascii="Arial" w:cs="Arial" w:eastAsia="Arial" w:hAnsi="Arial"/>
          <w:sz w:val="22"/>
          <w:szCs w:val="22"/>
          <w:color w:val="auto"/>
        </w:rPr>
        <w:t>debt, or similar law, whether now or hereafter in effect, which decree or order for relief continues unstayed and in effect for a period of 60 consecutive days.</w:t>
      </w:r>
    </w:p>
    <w:p>
      <w:pPr>
        <w:spacing w:after="0" w:line="175" w:lineRule="exact"/>
        <w:rPr>
          <w:sz w:val="20"/>
          <w:szCs w:val="20"/>
          <w:color w:val="auto"/>
        </w:rPr>
      </w:pPr>
    </w:p>
    <w:p>
      <w:pPr>
        <w:jc w:val="both"/>
        <w:ind w:firstLine="1304"/>
        <w:spacing w:after="0" w:line="261" w:lineRule="auto"/>
        <w:tabs>
          <w:tab w:leader="none" w:pos="2177"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consent by the Backup Servicer to the appointment of a conservator or receiver or liquidator in any insolvency, readjustment of debt, marshalling of assets and liabilities, or similar proceedings of or relating to the Backup Servicer or relating to substantially all of its property; or the admission by the Backup Servicer in writing of its inability to pay its debts generally as they become due, the filing by the Backup Servicer of a petition to take advantage of any applicable insolvency or reorganization statute, the making by the Backup Servicer of an assignment for the benefit of its creditors, or the voluntarily suspension by the Backup Servicer of payment of its obligations.</w:t>
      </w:r>
    </w:p>
    <w:p>
      <w:pPr>
        <w:spacing w:after="0" w:line="179" w:lineRule="exact"/>
        <w:rPr>
          <w:rFonts w:ascii="Arial" w:cs="Arial" w:eastAsia="Arial" w:hAnsi="Arial"/>
          <w:sz w:val="21"/>
          <w:szCs w:val="21"/>
          <w:color w:val="auto"/>
        </w:rPr>
      </w:pPr>
    </w:p>
    <w:p>
      <w:pPr>
        <w:jc w:val="both"/>
        <w:ind w:firstLine="1304"/>
        <w:spacing w:after="0" w:line="247" w:lineRule="auto"/>
        <w:tabs>
          <w:tab w:leader="none" w:pos="229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representation, warranty or statement of the Backup Servicer made in this Agreement or any certificate, report or other writing delivered by the Backup Servicer pursuant hereto shall prove to be incorrect in any material respect as of the time when the same shall have been made and, within 30 days after the date on which a Responsible Officer of the Backup Servicer has actual knowledge thereof or written notice thereof shall have been given to the Backup Servicer by the Deal Agent, the circumstances or condition in respect of which such representation, warranty or statement was incorrect shall not have been eliminated or otherwise cured.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Consequences of a Backup Servicer Event of Default</w:t>
      </w:r>
      <w:r>
        <w:rPr>
          <w:rFonts w:ascii="Arial" w:cs="Arial" w:eastAsia="Arial" w:hAnsi="Arial"/>
          <w:sz w:val="22"/>
          <w:szCs w:val="22"/>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If a Backup Servicer Event of Default has occurred and is continuing, the Deal Agent may, by notice given in writing to the Backup Servicer, terminate all of the rights and obligations of the Backup Servicer under this Agreement as provided in Section 2.4(b). On or after the receipt by the Backup Servicer of such written notice, all authority, power, obligations and responsibilities of the Backup Servicer under this Agreement shall be terminated. The Backup Servicer agrees to cooperate with the Deal Agent in effecting the termination of the responsibilities and rights of the terminated Backup Servicer under this Agreement.</w:t>
      </w:r>
    </w:p>
    <w:p>
      <w:pPr>
        <w:spacing w:after="0" w:line="193"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Backup Servicing Termination</w:t>
      </w:r>
      <w:r>
        <w:rPr>
          <w:rFonts w:ascii="Arial" w:cs="Arial" w:eastAsia="Arial" w:hAnsi="Arial"/>
          <w:sz w:val="19"/>
          <w:szCs w:val="19"/>
          <w:color w:val="auto"/>
        </w:rPr>
        <w:t>.</w:t>
      </w:r>
    </w:p>
    <w:p>
      <w:pPr>
        <w:spacing w:after="0" w:line="166" w:lineRule="exact"/>
        <w:rPr>
          <w:sz w:val="20"/>
          <w:szCs w:val="20"/>
          <w:color w:val="auto"/>
        </w:rPr>
      </w:pPr>
    </w:p>
    <w:p>
      <w:pPr>
        <w:ind w:firstLine="1304"/>
        <w:spacing w:after="0" w:line="343" w:lineRule="auto"/>
        <w:tabs>
          <w:tab w:leader="none" w:pos="226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Unless earlier terminated pursuant to the following clause (b) or (c), this Agreement shall terminate upon written notice delivered to the Backup Servicer by the Deal Agent that the Loan Agreement has been terminated.</w:t>
      </w:r>
    </w:p>
    <w:p>
      <w:pPr>
        <w:spacing w:after="0" w:line="104" w:lineRule="exact"/>
        <w:rPr>
          <w:rFonts w:ascii="Arial" w:cs="Arial" w:eastAsia="Arial" w:hAnsi="Arial"/>
          <w:sz w:val="19"/>
          <w:szCs w:val="19"/>
          <w:color w:val="auto"/>
        </w:rPr>
      </w:pPr>
    </w:p>
    <w:p>
      <w:pPr>
        <w:jc w:val="both"/>
        <w:ind w:firstLine="1304"/>
        <w:spacing w:after="0" w:line="253" w:lineRule="auto"/>
        <w:tabs>
          <w:tab w:leader="none" w:pos="217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Backup Servicer may terminate this Agreement (i) prior to the time the Backup Servicer receives a Servicer Termination Notice, for any reason in its sole judgment and discretion upon delivery of 90 days advance written notice to the Deal Agent of such termination; or (ii) as permitted by Section 2.4(c).</w:t>
      </w:r>
    </w:p>
    <w:p>
      <w:pPr>
        <w:spacing w:after="0" w:line="185" w:lineRule="exact"/>
        <w:rPr>
          <w:rFonts w:ascii="Arial" w:cs="Arial" w:eastAsia="Arial" w:hAnsi="Arial"/>
          <w:sz w:val="22"/>
          <w:szCs w:val="22"/>
          <w:color w:val="auto"/>
        </w:rPr>
      </w:pPr>
    </w:p>
    <w:p>
      <w:pPr>
        <w:ind w:left="2160" w:hanging="856"/>
        <w:spacing w:after="0"/>
        <w:tabs>
          <w:tab w:leader="none" w:pos="216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Deal Agent may terminate this Agreement (i) as permitted by Sections 2.3(c), 2.4(b) or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75" w:name="page176"/>
    <w:bookmarkEnd w:id="175"/>
    <w:p>
      <w:pPr>
        <w:jc w:val="both"/>
        <w:ind w:firstLine="648"/>
        <w:spacing w:after="0" w:line="246"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Upon termination of this Agreement, the receiving party shall, at the direction of the disclosing party, promptly return all written confidential information and any related electronic and written files and correspondence in its possession as are related to this Agreement and the Service-Related Activities contemplated hereunder. Notwithstanding the foregoing, it is understood that information received in an intangible or electronic format cannot be removed, erased or otherwise deleted from archival systems (also known as “computer or system back-ups”) but that such Confidential Information will continue to be protected under the confidentiality requirements of Section 14.13 of the Loan Agreement. The receiving party may retain one (1) copy of such information to the extent required to comply with applicable law.</w:t>
      </w:r>
    </w:p>
    <w:p>
      <w:pPr>
        <w:spacing w:after="0" w:line="19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u w:val="single" w:color="auto"/>
          <w:color w:val="auto"/>
        </w:rPr>
        <w:t>Access to Facilities and Information</w:t>
      </w:r>
      <w:r>
        <w:rPr>
          <w:rFonts w:ascii="Arial" w:cs="Arial" w:eastAsia="Arial" w:hAnsi="Arial"/>
          <w:sz w:val="19"/>
          <w:szCs w:val="19"/>
          <w:color w:val="auto"/>
        </w:rPr>
        <w:t xml:space="preserve">. The Backup Servicer shall provide reasonable access to its facilities and assistance to any Successor Servicer or other party assuming the servicing responsibilities,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access shall not unreasonably interfere with the Backup Servicer conducting its day to day operations. The Backup Servicer will furnish to the Deal Agent or the Collateral Agent, as applicable, promptly, from time to time, such other information, documents, records or reports respecting the Collateral or the condition or operations, financial or otherwise, of the Backup Servicer as the Deal Agent or the Collateral Agent may from time to time reasonably request in order to protect the interests of the Collateral Agent or the Secured Parties under or as contemplated by this Agreement or the Loan Agreement.</w:t>
      </w:r>
    </w:p>
    <w:p>
      <w:pPr>
        <w:spacing w:after="0" w:line="151"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5</w:t>
      </w:r>
    </w:p>
    <w:p>
      <w:pPr>
        <w:spacing w:after="0" w:line="166"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MISCELLANEOUS</w:t>
      </w:r>
    </w:p>
    <w:p>
      <w:pPr>
        <w:spacing w:after="0" w:line="2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Notices, Etc.</w:t>
      </w:r>
    </w:p>
    <w:p>
      <w:pPr>
        <w:spacing w:after="0" w:line="202" w:lineRule="exact"/>
        <w:rPr>
          <w:sz w:val="20"/>
          <w:szCs w:val="20"/>
          <w:color w:val="auto"/>
        </w:rPr>
      </w:pPr>
    </w:p>
    <w:p>
      <w:pPr>
        <w:jc w:val="both"/>
        <w:ind w:firstLine="1304"/>
        <w:spacing w:after="0" w:line="250" w:lineRule="auto"/>
        <w:tabs>
          <w:tab w:leader="none" w:pos="218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On and after the Assumption Date, the Borrower, the Collateral Agent, Credit Acceptance and the Deal Agent hereby agree to provide to the Backup Servicer all notices required to be provided to the Servicer pursuant to the Loan Agreement and the other Transaction Documents, as well as a hard copy sent by a nationally recognized courier service with item tracking capability.</w:t>
      </w:r>
    </w:p>
    <w:p>
      <w:pPr>
        <w:spacing w:after="0" w:line="187" w:lineRule="exact"/>
        <w:rPr>
          <w:rFonts w:ascii="Arial" w:cs="Arial" w:eastAsia="Arial" w:hAnsi="Arial"/>
          <w:sz w:val="22"/>
          <w:szCs w:val="22"/>
          <w:color w:val="auto"/>
        </w:rPr>
      </w:pPr>
    </w:p>
    <w:p>
      <w:pPr>
        <w:jc w:val="both"/>
        <w:ind w:firstLine="1304"/>
        <w:spacing w:after="0" w:line="290" w:lineRule="auto"/>
        <w:tabs>
          <w:tab w:leader="none" w:pos="219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Except where telephonic instructions or notices are authorized herein to be given, all notices, demands, instructions and other communications required or permitted to be given to or made upon any party hereto shall be in writing and shall be sent electronically or by facsimile transmission with a confirmation of the receipt thereof and shall be deemed to be given for purposes of this Agreement on the day that the receipt thereof is confirmed in accordance with the provisions of this Section 5.1.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and accounts indicated below, and, in the case of telephonic instructions or notices, by calling the telephone number or numbers indicated for such party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If to the Borrower:</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Credit Acceptance Funding LLC 2021-1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Silver Triangle Building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25505 West Twelve Mile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Southfield, Michigan 48034-8339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Douglas W. Busk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(866) 743-2704</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Confirmation No.: (248) 353-2700 (ext. 4432)</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If to the Servicer:</w:t>
      </w:r>
    </w:p>
    <w:p>
      <w:pPr>
        <w:spacing w:after="0" w:line="1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Credit Acceptance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Silver Triangle Building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25505 West Twelve Mile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Southfield, Michigan 48034-8339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Douglas W. Busk</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No. (866) 743-2704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Confirmation No.: (248) 353-2700 (ext. 4432)</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If to Fifth Third in any of its capacities:</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Fifth Third Bank,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38 Fountain Square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MD 109046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Cincinnati, Ohio 45263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Steven Maysonet and Joy Rutan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Office: 704.688.1121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steven.maysonet@53.com and ABF.Reporting@53.com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If to the Backup Servicer: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Systems &amp; Services Technologies,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Alorica Inc.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5161 California Avenue, Suite 100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Irvine, CA 92617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Attn: Chief Financial Officer</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Systems &amp; Services Technologies,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4315 Pickett Road</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St. Joseph, MO 64503</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a.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shall be binding upon the Backup Servicer, and shall inure to the benefit of the Collateral Agent for the benefit of the Secured Parties, the Deal Agent and their respective successors and permitted assigns; </w:t>
      </w:r>
      <w:r>
        <w:rPr>
          <w:rFonts w:ascii="Arial" w:cs="Arial" w:eastAsia="Arial" w:hAnsi="Arial"/>
          <w:sz w:val="22"/>
          <w:szCs w:val="22"/>
          <w:u w:val="single" w:color="auto"/>
          <w:color w:val="auto"/>
        </w:rPr>
        <w:t>provided</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428" w:right="339" w:bottom="1440" w:gutter="0" w:footer="0" w:header="0"/>
          <w:type w:val="continuous"/>
        </w:sectPr>
      </w:pPr>
    </w:p>
    <w:bookmarkStart w:id="177" w:name="page178"/>
    <w:bookmarkEnd w:id="177"/>
    <w:p>
      <w:pPr>
        <w:jc w:val="both"/>
        <w:spacing w:after="0" w:line="263" w:lineRule="auto"/>
        <w:rPr>
          <w:sz w:val="20"/>
          <w:szCs w:val="20"/>
          <w:color w:val="auto"/>
        </w:rPr>
      </w:pPr>
      <w:r>
        <w:rPr>
          <w:rFonts w:ascii="Arial" w:cs="Arial" w:eastAsia="Arial" w:hAnsi="Arial"/>
          <w:sz w:val="22"/>
          <w:szCs w:val="22"/>
          <w:u w:val="single" w:color="auto"/>
          <w:color w:val="auto"/>
        </w:rPr>
        <w:t>that</w:t>
      </w:r>
      <w:r>
        <w:rPr>
          <w:rFonts w:ascii="Arial" w:cs="Arial" w:eastAsia="Arial" w:hAnsi="Arial"/>
          <w:sz w:val="22"/>
          <w:szCs w:val="22"/>
          <w:color w:val="auto"/>
        </w:rPr>
        <w:t>, the Backup Servicer shall not assign any of its rights or obligations hereunder without the prior written consent of the Deal Agent, and any assignment in contradiction of the foregoing shall be null and void.</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SECTION b. </w:t>
      </w:r>
      <w:r>
        <w:rPr>
          <w:rFonts w:ascii="Arial" w:cs="Arial" w:eastAsia="Arial" w:hAnsi="Arial"/>
          <w:sz w:val="22"/>
          <w:szCs w:val="22"/>
          <w:u w:val="single" w:color="auto"/>
          <w:color w:val="auto"/>
        </w:rPr>
        <w:t>No Bankruptcy Petition Against the Borrower</w:t>
      </w:r>
      <w:r>
        <w:rPr>
          <w:rFonts w:ascii="Arial" w:cs="Arial" w:eastAsia="Arial" w:hAnsi="Arial"/>
          <w:sz w:val="22"/>
          <w:szCs w:val="22"/>
          <w:color w:val="auto"/>
        </w:rPr>
        <w:t>. Each of the parties hereto hereby agrees that it will not institute against, or join any other Person in instituting against the Borrower any Insolvency Proceeding so long as there shall not have elapsed one year and one day since the Collection Date.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c. </w:t>
      </w:r>
      <w:r>
        <w:rPr>
          <w:rFonts w:ascii="Arial" w:cs="Arial" w:eastAsia="Arial" w:hAnsi="Arial"/>
          <w:sz w:val="22"/>
          <w:szCs w:val="22"/>
          <w:u w:val="single" w:color="auto"/>
          <w:color w:val="auto"/>
        </w:rPr>
        <w:t>Severability Clause</w:t>
      </w:r>
      <w:r>
        <w:rPr>
          <w:rFonts w:ascii="Arial" w:cs="Arial" w:eastAsia="Arial" w:hAnsi="Arial"/>
          <w:sz w:val="22"/>
          <w:szCs w:val="22"/>
          <w:color w:val="auto"/>
        </w:rPr>
        <w:t>.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d. </w:t>
      </w: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and the rights and obligations of the parties hereunder may not be changed orally but only by an instrument in writing signed by the parties hereto.</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e. </w:t>
      </w:r>
      <w:r>
        <w:rPr>
          <w:rFonts w:ascii="Arial" w:cs="Arial" w:eastAsia="Arial" w:hAnsi="Arial"/>
          <w:sz w:val="21"/>
          <w:szCs w:val="21"/>
          <w:u w:val="single" w:color="auto"/>
          <w:color w:val="auto"/>
        </w:rPr>
        <w:t>Governing Law; consent to jurisdiction; waiver of objection to venue</w:t>
      </w:r>
      <w:r>
        <w:rPr>
          <w:rFonts w:ascii="Arial" w:cs="Arial" w:eastAsia="Arial" w:hAnsi="Arial"/>
          <w:sz w:val="21"/>
          <w:szCs w:val="21"/>
          <w:color w:val="auto"/>
        </w:rPr>
        <w:t>. THIS AGREEMENT SHALL BE GOVERNED BY, AND CONSTRUED IN ACCORDANCE WITH, THE LAWS OF THE STATE OF NEW YORK. EACH OF THE PARTIES HERETO HEREBY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SECTION f.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TO THE EXTENT PERMITTED BY APPLICABLE LAW, EACH OF THE PARTIES HERETO HEREBY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g.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copies, and by the different parties hereto on the same or separate counterparts, each of which shall be deemed to be an original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78" w:name="page179"/>
    <w:bookmarkEnd w:id="178"/>
    <w:p>
      <w:pPr>
        <w:jc w:val="both"/>
        <w:ind w:firstLine="648"/>
        <w:spacing w:after="0" w:line="263" w:lineRule="auto"/>
        <w:rPr>
          <w:sz w:val="20"/>
          <w:szCs w:val="20"/>
          <w:color w:val="auto"/>
        </w:rPr>
      </w:pPr>
      <w:r>
        <w:rPr>
          <w:rFonts w:ascii="Arial" w:cs="Arial" w:eastAsia="Arial" w:hAnsi="Arial"/>
          <w:sz w:val="22"/>
          <w:szCs w:val="22"/>
          <w:color w:val="auto"/>
        </w:rPr>
        <w:t xml:space="preserve">SECTION h.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used in this Agreement are for convenience of reference only and shall not affect the construction or interpretation of this Agreement.</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i. </w:t>
      </w:r>
      <w:r>
        <w:rPr>
          <w:rFonts w:ascii="Arial" w:cs="Arial" w:eastAsia="Arial" w:hAnsi="Arial"/>
          <w:sz w:val="22"/>
          <w:szCs w:val="22"/>
          <w:u w:val="single" w:color="auto"/>
          <w:color w:val="auto"/>
        </w:rPr>
        <w:t>Patriot Act Compliance</w:t>
      </w:r>
      <w:r>
        <w:rPr>
          <w:rFonts w:ascii="Arial" w:cs="Arial" w:eastAsia="Arial" w:hAnsi="Arial"/>
          <w:sz w:val="22"/>
          <w:szCs w:val="22"/>
          <w:color w:val="auto"/>
        </w:rPr>
        <w:t>. Each of the Deal Agent, the Collateral Agent and the Backup Servicer hereby notifies the Borrower that pursuant to the requirements of the Patriot Act, it and any Lender may be required to obtain, verify and record information that identifies the Borrower, which information includes the name and address of the Borrower, organizational documentation, director and member information, and other information that will allow each of the Deal Agent, the Collateral Agent and the Backup Servicer and the Lenders to identify the Borrower in accordance with the Patriot Act. This notice is given in accordance with the requirements of the Patriot Act and is effective for each of the Deal Agent, the Collateral Agent and the Backup Servicer and the Lenders.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79" w:name="page180"/>
    <w:bookmarkEnd w:id="179"/>
    <w:p>
      <w:pPr>
        <w:jc w:val="both"/>
        <w:ind w:firstLine="1296"/>
        <w:spacing w:after="0" w:line="253" w:lineRule="auto"/>
        <w:rPr>
          <w:sz w:val="20"/>
          <w:szCs w:val="20"/>
          <w:color w:val="auto"/>
        </w:rPr>
      </w:pPr>
      <w:r>
        <w:rPr>
          <w:rFonts w:ascii="Arial" w:cs="Arial" w:eastAsia="Arial" w:hAnsi="Arial"/>
          <w:sz w:val="22"/>
          <w:szCs w:val="22"/>
          <w:color w:val="auto"/>
        </w:rPr>
        <w:t>IN WITNESS WHEREOF, the Servicer, the Deal Agent, the Collateral Agent, the Backup Servicer and the Borrower have caused this Agreement to be executed by their respective officers thereunto duly authorized as of the day and year first above written.</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CREDIT ACCEPTANCE CORPORATION</w:t>
      </w:r>
      <w:r>
        <w:rPr>
          <w:rFonts w:ascii="Arial" w:cs="Arial" w:eastAsia="Arial" w:hAnsi="Arial"/>
          <w:sz w:val="22"/>
          <w:szCs w:val="22"/>
          <w:color w:val="auto"/>
        </w:rPr>
        <w:t>,</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970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W. Busk</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FIFTH THIRD BANK, NATIONAL ASSOCIATION</w:t>
      </w:r>
      <w:r>
        <w:rPr>
          <w:rFonts w:ascii="Arial" w:cs="Arial" w:eastAsia="Arial" w:hAnsi="Arial"/>
          <w:sz w:val="22"/>
          <w:szCs w:val="22"/>
          <w:color w:val="auto"/>
        </w:rPr>
        <w:t>,</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Deal Agent and 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Brian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226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Brian Gardner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SYSTEMS &amp; SERVICES TECHNOLOGIES, INC.</w:t>
      </w:r>
      <w:r>
        <w:rPr>
          <w:rFonts w:ascii="Arial" w:cs="Arial" w:eastAsia="Arial" w:hAnsi="Arial"/>
          <w:sz w:val="22"/>
          <w:szCs w:val="22"/>
          <w:color w:val="auto"/>
        </w:rPr>
        <w:t>,</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Backup Servicer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Elizabeth (Cece) Lan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8434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Elizabeth (Cece) Lan Pan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CREDIT ACCEPTANCE FUNDING LLC 2021-1</w:t>
      </w:r>
      <w:r>
        <w:rPr>
          <w:rFonts w:ascii="Arial" w:cs="Arial" w:eastAsia="Arial" w:hAnsi="Arial"/>
          <w:sz w:val="22"/>
          <w:szCs w:val="22"/>
          <w:color w:val="auto"/>
        </w:rPr>
        <w:t>,</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397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W. Busk</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ectPr>
          <w:pgSz w:w="11900" w:h="16838" w:orient="portrait"/>
          <w:cols w:equalWidth="0" w:num="1">
            <w:col w:w="11240"/>
          </w:cols>
          <w:pgMar w:left="320" w:top="1428" w:right="339" w:bottom="1440" w:gutter="0" w:footer="0" w:header="0"/>
        </w:sectPr>
      </w:pPr>
    </w:p>
    <w:bookmarkStart w:id="180" w:name="page181"/>
    <w:bookmarkEnd w:id="180"/>
    <w:p>
      <w:pPr>
        <w:spacing w:after="0"/>
        <w:tabs>
          <w:tab w:leader="none" w:pos="4560" w:val="left"/>
        </w:tabs>
        <w:rPr>
          <w:sz w:val="20"/>
          <w:szCs w:val="20"/>
          <w:color w:val="auto"/>
        </w:rPr>
      </w:pP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b w:val="1"/>
          <w:bCs w:val="1"/>
          <w:color w:val="auto"/>
        </w:rPr>
        <w:t>sale and CONTRIBUTION AGREEMENT</w:t>
      </w:r>
    </w:p>
    <w:p>
      <w:pPr>
        <w:spacing w:after="0" w:line="22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This sale and CONTRIBUTION AGREEMENT, dated as of January 29, 2021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between CREDIT ACCEPTANCE CORPORATION, a Michigan corporation (“</w:t>
      </w:r>
      <w:r>
        <w:rPr>
          <w:rFonts w:ascii="Arial" w:cs="Arial" w:eastAsia="Arial" w:hAnsi="Arial"/>
          <w:sz w:val="22"/>
          <w:szCs w:val="22"/>
          <w:u w:val="single" w:color="auto"/>
          <w:color w:val="auto"/>
        </w:rPr>
        <w:t>CAC</w:t>
      </w:r>
      <w:r>
        <w:rPr>
          <w:rFonts w:ascii="Arial" w:cs="Arial" w:eastAsia="Arial" w:hAnsi="Arial"/>
          <w:sz w:val="22"/>
          <w:szCs w:val="22"/>
          <w:color w:val="auto"/>
        </w:rPr>
        <w:t>”), and CREDIT ACCEPTANCE FUNDING LLC 2021-1, a Delaware limited liability company (“</w:t>
      </w:r>
      <w:r>
        <w:rPr>
          <w:rFonts w:ascii="Arial" w:cs="Arial" w:eastAsia="Arial" w:hAnsi="Arial"/>
          <w:sz w:val="22"/>
          <w:szCs w:val="22"/>
          <w:u w:val="single" w:color="auto"/>
          <w:color w:val="auto"/>
        </w:rPr>
        <w:t>Funding</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Funding desires to acquire from time to time certain Loans and related rights and collateral, including certain of CAC’s rights in any related Dealer Agreements and Purchase Agreements, all of the related Contracts, and the Collections (other than Dealer Collections) derived therefrom during the full term of this Agreement, and CAC desires to transfer, convey and assign from time to time such Loans and related property to Funding upon the terms and conditions hereinafter set forth. CAC has also agreed to service the Loans and related property to be transferred, conveyed and assigned to Funding.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premises and the mutual agreements set forth herein, it is hereby agreed by and between CAC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Funding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herein shall have the respective meanings specified herein or, if not so specified, the respective meanings specified in, or incorporated by reference into the Loan and Security Agreement and shall include in the singular number the plural and in the plural number the singular: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Assignment</w:t>
      </w:r>
      <w:r>
        <w:rPr>
          <w:rFonts w:ascii="Arial" w:cs="Arial" w:eastAsia="Arial" w:hAnsi="Arial"/>
          <w:sz w:val="21"/>
          <w:szCs w:val="21"/>
          <w:color w:val="auto"/>
        </w:rPr>
        <w:t xml:space="preserve">” means an Assignment, substantially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executed by CAC and Funding.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Conveyed Property</w:t>
      </w:r>
      <w:r>
        <w:rPr>
          <w:rFonts w:ascii="Arial" w:cs="Arial" w:eastAsia="Arial" w:hAnsi="Arial"/>
          <w:sz w:val="22"/>
          <w:szCs w:val="22"/>
          <w:color w:val="auto"/>
        </w:rPr>
        <w:t>” means the Initial Conveyed Property and the Subsequent Conveyed Property.</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Conveyed Property</w:t>
      </w:r>
      <w:r>
        <w:rPr>
          <w:rFonts w:ascii="Arial" w:cs="Arial" w:eastAsia="Arial" w:hAnsi="Arial"/>
          <w:sz w:val="22"/>
          <w:szCs w:val="22"/>
          <w:color w:val="auto"/>
        </w:rPr>
        <w:t xml:space="preserve">” means (i) the Loans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delivered to the Servicer, the Collateral Agent and the Backup Servicer on the Initial Funding Date, and in any event, all Loans identified by the loan numbers and contract origination dates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and (ii) all Related Security with respect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Funding Date</w:t>
      </w:r>
      <w:r>
        <w:rPr>
          <w:rFonts w:ascii="Arial" w:cs="Arial" w:eastAsia="Arial" w:hAnsi="Arial"/>
          <w:sz w:val="22"/>
          <w:szCs w:val="22"/>
          <w:color w:val="auto"/>
        </w:rPr>
        <w:t>” means January 29, 2021.</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and Security Agreement</w:t>
      </w:r>
      <w:r>
        <w:rPr>
          <w:rFonts w:ascii="Arial" w:cs="Arial" w:eastAsia="Arial" w:hAnsi="Arial"/>
          <w:sz w:val="19"/>
          <w:szCs w:val="19"/>
          <w:color w:val="auto"/>
        </w:rPr>
        <w:t>” means the Loan and Security Agreement dated as of January 29, 2021, by and among Funding, CAC, Fifth Third Bank, National Association, as the Deal Agent and as the Collateral Agent, Fifth Third Bank, National Association, as Lender, the other Lenders from time to time party thereto, and Systems &amp; Services Technologies, Inc., as the Backup Servicer, as such agreement may be amended, modified or supplemented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1978105-NYCSR03A - MSW</w:t>
      </w:r>
    </w:p>
    <w:p>
      <w:pPr>
        <w:sectPr>
          <w:pgSz w:w="11900" w:h="16838" w:orient="portrait"/>
          <w:cols w:equalWidth="0" w:num="1">
            <w:col w:w="11240"/>
          </w:cols>
          <w:pgMar w:left="320" w:top="1422" w:right="339" w:bottom="1440" w:gutter="0" w:footer="0" w:header="0"/>
        </w:sectPr>
      </w:pPr>
    </w:p>
    <w:bookmarkStart w:id="182" w:name="page183"/>
    <w:bookmarkEnd w:id="18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Security</w:t>
      </w:r>
      <w:r>
        <w:rPr>
          <w:rFonts w:ascii="Arial" w:cs="Arial" w:eastAsia="Arial" w:hAnsi="Arial"/>
          <w:sz w:val="22"/>
          <w:szCs w:val="22"/>
          <w:color w:val="auto"/>
        </w:rPr>
        <w:t>” means, with respect to any Loan, all of CAC’s interest in:</w:t>
      </w:r>
    </w:p>
    <w:p>
      <w:pPr>
        <w:spacing w:after="0" w:line="220" w:lineRule="exact"/>
        <w:rPr>
          <w:sz w:val="20"/>
          <w:szCs w:val="20"/>
          <w:color w:val="auto"/>
        </w:rPr>
      </w:pPr>
    </w:p>
    <w:p>
      <w:pPr>
        <w:jc w:val="both"/>
        <w:ind w:firstLine="1304"/>
        <w:spacing w:after="0" w:line="250" w:lineRule="auto"/>
        <w:tabs>
          <w:tab w:leader="none" w:pos="1932"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Dealer Agreements (other than Excluded Dealer Agreement Rights, but including CAC’s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38"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spacing w:after="0" w:line="187" w:lineRule="exact"/>
        <w:rPr>
          <w:rFonts w:ascii="Arial" w:cs="Arial" w:eastAsia="Arial" w:hAnsi="Arial"/>
          <w:sz w:val="22"/>
          <w:szCs w:val="22"/>
          <w:color w:val="auto"/>
        </w:rPr>
      </w:pPr>
    </w:p>
    <w:p>
      <w:pPr>
        <w:jc w:val="both"/>
        <w:ind w:firstLine="1304"/>
        <w:spacing w:after="0" w:line="312" w:lineRule="auto"/>
        <w:tabs>
          <w:tab w:leader="none" w:pos="19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all guarantees, insurance (including insurance insuring the priority of perfection of any lien) or other agreements or arrangements of any kind from time to time supporting or securing payment of each Contract whether pursuant to such Contract or otherwise, including any of the foregoing relating to any Contract securing payment of such Loan;</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all of CAC’s interests in all Records, documents and writing evidencing or related to such Loan;</w:t>
      </w:r>
    </w:p>
    <w:p>
      <w:pPr>
        <w:spacing w:after="0" w:line="219" w:lineRule="exact"/>
        <w:rPr>
          <w:rFonts w:ascii="Arial" w:cs="Arial" w:eastAsia="Arial" w:hAnsi="Arial"/>
          <w:sz w:val="22"/>
          <w:szCs w:val="22"/>
          <w:color w:val="auto"/>
        </w:rPr>
      </w:pPr>
    </w:p>
    <w:p>
      <w:pPr>
        <w:ind w:firstLine="1304"/>
        <w:spacing w:after="0" w:line="263" w:lineRule="auto"/>
        <w:tabs>
          <w:tab w:leader="none" w:pos="1939"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all Collections (other than Dealer Collections), the Collection Account, the Reserve Account, and all amounts on deposit therein and investments thereof; and</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Proceeds of each of the foregoing.</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Subsequent Conveyed Property</w:t>
      </w:r>
      <w:r>
        <w:rPr>
          <w:rFonts w:ascii="Arial" w:cs="Arial" w:eastAsia="Arial" w:hAnsi="Arial"/>
          <w:sz w:val="19"/>
          <w:szCs w:val="19"/>
          <w:color w:val="auto"/>
        </w:rPr>
        <w:t>” means, with respect to any Addition Date and/or date of a Dealer Collections Purchase,</w:t>
      </w:r>
    </w:p>
    <w:p>
      <w:pPr>
        <w:spacing w:after="0" w:line="56" w:lineRule="exact"/>
        <w:rPr>
          <w:sz w:val="20"/>
          <w:szCs w:val="20"/>
          <w:color w:val="auto"/>
        </w:rPr>
      </w:pPr>
    </w:p>
    <w:p>
      <w:pPr>
        <w:jc w:val="both"/>
        <w:ind w:firstLine="8"/>
        <w:spacing w:after="0" w:line="244" w:lineRule="auto"/>
        <w:tabs>
          <w:tab w:leader="none" w:pos="28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the Loans added to Exhibit A hereto as of such date (including all rights of CAC under any Dealer Collections Purchase Agreement and any Purchased Loans and Related Security arising thereunder), which Loans are identified in the related Assignment and in the related computer file delivered by CAC in connection therewith pursuant to </w:t>
      </w:r>
      <w:r>
        <w:rPr>
          <w:rFonts w:ascii="Arial" w:cs="Arial" w:eastAsia="Arial" w:hAnsi="Arial"/>
          <w:sz w:val="22"/>
          <w:szCs w:val="22"/>
          <w:u w:val="single" w:color="auto"/>
          <w:color w:val="auto"/>
        </w:rPr>
        <w:t>Section 2.1(h)</w:t>
      </w:r>
      <w:r>
        <w:rPr>
          <w:rFonts w:ascii="Arial" w:cs="Arial" w:eastAsia="Arial" w:hAnsi="Arial"/>
          <w:sz w:val="22"/>
          <w:szCs w:val="22"/>
          <w:color w:val="auto"/>
        </w:rPr>
        <w:t>, and (ii) all Related Security with respect thereto.</w:t>
      </w:r>
    </w:p>
    <w:p>
      <w:pPr>
        <w:spacing w:after="0" w:line="19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Terms</w:t>
      </w:r>
      <w:r>
        <w:rPr>
          <w:rFonts w:ascii="Arial" w:cs="Arial" w:eastAsia="Arial" w:hAnsi="Arial"/>
          <w:sz w:val="19"/>
          <w:szCs w:val="19"/>
          <w:color w:val="auto"/>
        </w:rPr>
        <w:t>. All accounting terms not specifically defined herein shall be construed in accordance with GAAP. All terms used in Article 9 of the UCC, and not specifically defined herein, are used herein as defined in such Article 9.</w:t>
      </w:r>
    </w:p>
    <w:p>
      <w:pPr>
        <w:spacing w:after="0" w:line="10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Computation of Time Periods</w:t>
      </w:r>
      <w:r>
        <w:rPr>
          <w:rFonts w:ascii="Arial" w:cs="Arial" w:eastAsia="Arial" w:hAnsi="Arial"/>
          <w:sz w:val="22"/>
          <w:szCs w:val="22"/>
          <w:color w:val="auto"/>
        </w:rPr>
        <w:t>. Unless otherwise stated in this Agreement, in the computation of a period of time from a specified date to a later specified date, the word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“from” means “from and including” and the words “to” and “until” each means “to but excluding.”</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CONTRIBUTION AND SERVICING OF LOANS</w:t>
      </w:r>
    </w:p>
    <w:p>
      <w:pPr>
        <w:spacing w:after="0" w:line="2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Contribution and Sale of Loans</w:t>
      </w:r>
      <w:r>
        <w:rPr>
          <w:rFonts w:ascii="Arial" w:cs="Arial" w:eastAsia="Arial" w:hAnsi="Arial"/>
          <w:sz w:val="19"/>
          <w:szCs w:val="19"/>
          <w:color w:val="auto"/>
        </w:rPr>
        <w:t>. (a) In consideration of the payments described in Section 3.1, effective as of the Initial Funding Date, CAC shall and hereby does convey, assign, sell, contribute and transfer to Funding without recourse, except as set forth herein, and Funding shall and hereby does accept and purchase, all of CAC’s right, title and interest in, to and under (whether now owned or hereafter acquired or arising and wherever located) the Initial Conveyed Property.</w:t>
      </w:r>
    </w:p>
    <w:p>
      <w:pPr>
        <w:spacing w:after="0" w:line="150" w:lineRule="exact"/>
        <w:rPr>
          <w:sz w:val="20"/>
          <w:szCs w:val="20"/>
          <w:color w:val="auto"/>
        </w:rPr>
      </w:pPr>
    </w:p>
    <w:p>
      <w:pPr>
        <w:jc w:val="both"/>
        <w:ind w:firstLine="656"/>
        <w:spacing w:after="0" w:line="261" w:lineRule="auto"/>
        <w:tabs>
          <w:tab w:leader="none" w:pos="1291" w:val="left"/>
        </w:tabs>
        <w:numPr>
          <w:ilvl w:val="0"/>
          <w:numId w:val="184"/>
        </w:numPr>
        <w:rPr>
          <w:rFonts w:ascii="Arial" w:cs="Arial" w:eastAsia="Arial" w:hAnsi="Arial"/>
          <w:sz w:val="21"/>
          <w:szCs w:val="21"/>
          <w:color w:val="auto"/>
        </w:rPr>
      </w:pPr>
      <w:r>
        <w:rPr>
          <w:rFonts w:ascii="Arial" w:cs="Arial" w:eastAsia="Arial" w:hAnsi="Arial"/>
          <w:sz w:val="21"/>
          <w:szCs w:val="21"/>
          <w:color w:val="auto"/>
        </w:rPr>
        <w:t>CAC hereby further agrees that on each Addition Date during the Revolving Period on which it decides to transfer additional Loans to Funding and the date of each Dealer Collections Purchase, in consideration of the payment described in Article III with respect to such date, CAC shall, and CAC hereby does agree to, convey, assign, sell, contribute and transfer to Funding without recourse, except as set forth herein, and Funding shall and hereby does agree to accept and purchase, all of CAC’s right, title and interest in, to and under (whether now owned or hereafter acquired or arising and wherever located) the Subsequent Conveyed Property with respect to such date.</w:t>
      </w:r>
    </w:p>
    <w:p>
      <w:pPr>
        <w:spacing w:after="0" w:line="179" w:lineRule="exact"/>
        <w:rPr>
          <w:rFonts w:ascii="Arial" w:cs="Arial" w:eastAsia="Arial" w:hAnsi="Arial"/>
          <w:sz w:val="21"/>
          <w:szCs w:val="21"/>
          <w:color w:val="auto"/>
        </w:rPr>
      </w:pPr>
    </w:p>
    <w:p>
      <w:pPr>
        <w:jc w:val="both"/>
        <w:ind w:firstLine="656"/>
        <w:spacing w:after="0" w:line="247" w:lineRule="auto"/>
        <w:tabs>
          <w:tab w:leader="none" w:pos="129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CAC hereby further agrees that the above-described conveyances shall, without the need for any further action on the part of CAC or Funding, include (i) all rights arising under any Dealer Loan included in the Initial Conveyed Property or Subsequent Conveyed Property which rights are attributable to advances made under such Dealer Loan as the result of such Dealer Loan being secured by an Open Pool on the date such Dealer Loan was sold and additional Dealer Loan Contracts being added to such Open Pool and (ii) all rights arising under any Dealer Collections Purchase Agreement, including any Purchased Loans and Related Security arising thereunder.</w:t>
      </w:r>
    </w:p>
    <w:p>
      <w:pPr>
        <w:spacing w:after="0" w:line="192" w:lineRule="exact"/>
        <w:rPr>
          <w:rFonts w:ascii="Arial" w:cs="Arial" w:eastAsia="Arial" w:hAnsi="Arial"/>
          <w:sz w:val="22"/>
          <w:szCs w:val="22"/>
          <w:color w:val="auto"/>
        </w:rPr>
      </w:pPr>
    </w:p>
    <w:p>
      <w:pPr>
        <w:jc w:val="both"/>
        <w:ind w:firstLine="656"/>
        <w:spacing w:after="0" w:line="312" w:lineRule="auto"/>
        <w:tabs>
          <w:tab w:leader="none" w:pos="1291" w:val="left"/>
        </w:tabs>
        <w:numPr>
          <w:ilvl w:val="0"/>
          <w:numId w:val="184"/>
        </w:numPr>
        <w:rPr>
          <w:rFonts w:ascii="Arial" w:cs="Arial" w:eastAsia="Arial" w:hAnsi="Arial"/>
          <w:sz w:val="19"/>
          <w:szCs w:val="19"/>
          <w:color w:val="auto"/>
        </w:rPr>
      </w:pPr>
      <w:r>
        <w:rPr>
          <w:rFonts w:ascii="Arial" w:cs="Arial" w:eastAsia="Arial" w:hAnsi="Arial"/>
          <w:sz w:val="19"/>
          <w:szCs w:val="19"/>
          <w:color w:val="auto"/>
        </w:rPr>
        <w:t>Each such contribution, sale, assignment, transfer and conveyance does not constitute an assumption by Funding of any obligations of CAC or any other Person to Obligors or to any other Person in connection with the Loans or under any Contract, Dealer Agreement, Purchase Agreement or other agreement and instrument relating to the Loans.</w:t>
      </w:r>
    </w:p>
    <w:p>
      <w:pPr>
        <w:spacing w:after="0" w:line="133" w:lineRule="exact"/>
        <w:rPr>
          <w:rFonts w:ascii="Arial" w:cs="Arial" w:eastAsia="Arial" w:hAnsi="Arial"/>
          <w:sz w:val="19"/>
          <w:szCs w:val="19"/>
          <w:color w:val="auto"/>
        </w:rPr>
      </w:pPr>
    </w:p>
    <w:p>
      <w:pPr>
        <w:jc w:val="both"/>
        <w:ind w:firstLine="656"/>
        <w:spacing w:after="0" w:line="261" w:lineRule="auto"/>
        <w:tabs>
          <w:tab w:leader="none" w:pos="1293"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In connection with any such foregoing conveyance, CAC agrees to record and file on or prior to the Initial Funding Date, at its own expense, a financing statement or statements (and authorizes the filing of any continuation statements with respect thereto) with respect to the Conveyed Property conveyed by CAC hereunder meeting the requirements of applicable state law in such manner and in such jurisdictions as are necessary to perfect the interests of Funding created hereby, and to deliver either the originals of such financing statements or a file-stamped copy of such financing statements or other evidence of such filings to Funding on or before the Initial Funding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184" w:name="page185"/>
    <w:bookmarkEnd w:id="184"/>
    <w:p>
      <w:pPr>
        <w:jc w:val="both"/>
        <w:ind w:firstLine="656"/>
        <w:spacing w:after="0" w:line="246" w:lineRule="auto"/>
        <w:tabs>
          <w:tab w:leader="none" w:pos="129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CAC agrees that from time to time, at its expense, it will promptly execute and deliver all instruments and documents and take all actions as may be necessary or as Funding may reasonably request in order to perfect or protect the interest of Funding in the Loans and other Conveyed Property purchased hereunder or to enable Funding to exercise or enforce any of its rights hereunder. CAC shall, upon request of Funding, obtain such additional search reports as Funding shall request. To the fullest extent permitted by applicable law, Funding shall be and hereby is authorized and permitted to file continuation statements and amendments to financing statements and assignments thereof to preserve and protect its right, title and interest in, to and under the Conveyed Property.</w:t>
      </w:r>
    </w:p>
    <w:p>
      <w:pPr>
        <w:spacing w:after="0" w:line="196" w:lineRule="exact"/>
        <w:rPr>
          <w:rFonts w:ascii="Arial" w:cs="Arial" w:eastAsia="Arial" w:hAnsi="Arial"/>
          <w:sz w:val="22"/>
          <w:szCs w:val="22"/>
          <w:color w:val="auto"/>
        </w:rPr>
      </w:pPr>
    </w:p>
    <w:p>
      <w:pPr>
        <w:jc w:val="both"/>
        <w:ind w:firstLine="656"/>
        <w:spacing w:after="0" w:line="285" w:lineRule="auto"/>
        <w:tabs>
          <w:tab w:leader="none" w:pos="129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It is the express intent of CAC and Funding that the conveyance of the Loans and other Conveyed Property by CAC to Funding pursuant to this Agreement be construed as an absolute sale and conveyance of all CAC’s right, title and interest in, to and under such Loans and other Conveyed Property by CAC to Funding and that CAC relinquishes control over, and all right, title and interest (legal or equitable) in, to and under, any such Loan or other Conveyed Property immediately upon the transfer of each such Conveyed Property under this Agreement; except that, for the avoidance of doubt, CAC may effect a Dealer Collections Purchase from time to time and CAC in its capacity as Servicer will continue to service the Conveyed Property, in each case, in accordance with the terms of this Agreement and the Loan and Security Agreement. Further, it is not the intention of CAC and Funding that such conveyance be deemed a grant of a security interest in the Loans and other Conveyed Property by CAC to Funding in the nature of a consensual lien securing an obligation. However, notwithstanding the express intent of the parties, if and to the extent the Loans or other Conveyed Property are construed to constitute property of CAC, then (i) this Agreement also shall be deemed to be, and hereby is, a security agreement within the meaning of the UCC as enacted in the State of New York and any other applicable jurisdiction; and (ii) the conveyance by CAC provided for in this Agreement shall be deemed to be, and CAC hereby grants to Funding, a security interest in, to and under all of CAC’s right, title and interest in, to and under the Conveyed Property, to secure the obligations of CAC set forth in this Agreement. CAC and Funding shall, to the extent consistent with this Agreement, take such actions as may be necessary to ensure that, if this Agreement were deemed to create such a security interest in the Loans and other Conveyed Property, such security interest would be a perfected security interest in favor of Funding under applicable law and will be maintained as such throughout the term of this Agreement and until the earlier of such time as Funding shall have received all Collections (or CAC shall have purchased the Loans and other Conveyed Property).</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656"/>
        <w:spacing w:after="0" w:line="292" w:lineRule="auto"/>
        <w:tabs>
          <w:tab w:leader="none" w:pos="129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In connection with such conveyance, CAC agrees to deliver to Funding on the Initial Funding Date and each Addition Date on which Subsequent Conveyed Property is conveyed by CAC to Funding, as the case may be, an Assignment executed by CAC and one or more computer files containing true and complete lists of all Loans conveyed to Funding on the Initial Funding Date and each Addition Date, and all Contracts securing or evidencing all such Loans, identified by, account number, original contract date and, as applicable dealer number and pool number as of the end of the Collection Period immediately preceding the Addition Date. Such file or list shall be marked as Exhibit A to this Agreement, shall be delivered to Funding as confidential and proprietary, and is hereby incorporated into and made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85" w:name="page186"/>
    <w:bookmarkEnd w:id="185"/>
    <w:p>
      <w:pPr>
        <w:jc w:val="both"/>
        <w:spacing w:after="0" w:line="258" w:lineRule="auto"/>
        <w:rPr>
          <w:sz w:val="20"/>
          <w:szCs w:val="20"/>
          <w:color w:val="auto"/>
        </w:rPr>
      </w:pPr>
      <w:r>
        <w:rPr>
          <w:rFonts w:ascii="Arial" w:cs="Arial" w:eastAsia="Arial" w:hAnsi="Arial"/>
          <w:sz w:val="21"/>
          <w:szCs w:val="21"/>
          <w:color w:val="auto"/>
        </w:rPr>
        <w:t>Such list and such Exhibit A shall be supplemented and updated on each Addition Date in the Revolving Period to include all Conveyed Property conveyed on each such Addition Date so that, on each such date, Funding will have an aggregate list constituting Exhibit A that describes all Loans conveyed by CAC to Funding hereunder on or prior to such Addition Date. Such updated Exhibit A shall be deemed to replace any existing Exhibit A as of such Addition Date. Furthermore, CAC agrees to supplement and update Exhibit A by delivering to Funding a copy of the related list delivered pursuant to Section 6.15(c) of the Loan and Security Agreement, identifying the Purchased Loan Contracts and related Subsequent Conveyed Property identified therein arising from a Dealer Collections Purchase. For the avoidance of doubt, any deletions or omissions from Exhibit A shall not be effective except upon the satisfaction of the conditions precedent in Section 3.2 of the Loan and Security Agreement and/or upon compliance with the procedures and requirements of Section 4.5 or Section 9.2 of the Loan and Security Agreement or Section 6.1 of this Agreement.</w:t>
      </w:r>
    </w:p>
    <w:p>
      <w:pPr>
        <w:spacing w:after="0" w:line="185" w:lineRule="exact"/>
        <w:rPr>
          <w:sz w:val="20"/>
          <w:szCs w:val="20"/>
          <w:color w:val="auto"/>
        </w:rPr>
      </w:pPr>
    </w:p>
    <w:p>
      <w:pPr>
        <w:jc w:val="both"/>
        <w:ind w:firstLine="656"/>
        <w:spacing w:after="0" w:line="294" w:lineRule="auto"/>
        <w:tabs>
          <w:tab w:leader="none" w:pos="1284" w:val="left"/>
        </w:tabs>
        <w:numPr>
          <w:ilvl w:val="0"/>
          <w:numId w:val="186"/>
        </w:numPr>
        <w:rPr>
          <w:rFonts w:ascii="Arial" w:cs="Arial" w:eastAsia="Arial" w:hAnsi="Arial"/>
          <w:sz w:val="19"/>
          <w:szCs w:val="19"/>
          <w:color w:val="auto"/>
        </w:rPr>
      </w:pPr>
      <w:r>
        <w:rPr>
          <w:rFonts w:ascii="Arial" w:cs="Arial" w:eastAsia="Arial" w:hAnsi="Arial"/>
          <w:sz w:val="19"/>
          <w:szCs w:val="19"/>
          <w:color w:val="auto"/>
        </w:rPr>
        <w:t>CAC will reflect the transactions described in paragraphs (a) and (b) of this Section 2.1 on its internal non-consolidated financial statements and on any applicable non-consolidated state tax returns as a sale or other absolute transfer or contribution of the Loans from CAC to Funding, even though CAC will reflect this transaction on its consolidated financial statements as an “on-balance sheet” item in accordance with generally accepted accounting principles. CAC will present the data in its consolidated financial statements with an accompanying footnote describing Funding’s separate existence and stating that such item is a sale or absolute transfer or contribution of the Loans and is non-recourse to CAC.</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Servicing of Loans</w:t>
      </w:r>
      <w:r>
        <w:rPr>
          <w:rFonts w:ascii="Arial" w:cs="Arial" w:eastAsia="Arial" w:hAnsi="Arial"/>
          <w:sz w:val="22"/>
          <w:szCs w:val="22"/>
          <w:color w:val="auto"/>
        </w:rPr>
        <w:t>. The servicing, administering and collection of the Loans shall be conducted by the Servicer then authorized to act as such under the Loan and Security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CONSIDERATION AND PAYMENT; LOANS</w:t>
      </w:r>
    </w:p>
    <w:p>
      <w:pPr>
        <w:spacing w:after="0" w:line="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Consideration</w:t>
      </w:r>
      <w:r>
        <w:rPr>
          <w:rFonts w:ascii="Arial" w:cs="Arial" w:eastAsia="Arial" w:hAnsi="Arial"/>
          <w:sz w:val="19"/>
          <w:szCs w:val="19"/>
          <w:color w:val="auto"/>
        </w:rPr>
        <w:t xml:space="preserve">. The consideration for the Loans and other Conveyed Property conveyed on the Initial Funding Date to Funding by CAC under this Agreement shall be an amount equal to (i) the net cash proceeds of each loan to Funding under the Loan and Security Agreement used by Funding to purchase the Loans and other Conveyed Property conveyed on the Initial Funding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value attributable to CAC’s sole membership interest in Funding (which constitutes and will constitute all of the equity interests issued by Funding) as a result of the conveyance of such Loans and other Conveyed Property. Thereafter, on each Addition Date in the Revolving Period, the consideration for the Loans and other Conveyed Property conveyed on such Addition Date will equal the Outstanding Balance of the Loans conveyed as in effect as of such Addition Date. Such consideration shall be payable (i) in cash to the extent Funding has cash available therefor and such cash payment is not prohibited by the terms of the Loan and Security Agreement, plus, if applicable, (ii) an increase in the value attributable to CAC’s sole membership interest in Funding (which constitutes and will constitute all of the equity interests issued by Funding) as a result of the conveyance of such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86" w:name="page187"/>
    <w:bookmarkEnd w:id="186"/>
    <w:p>
      <w:pPr>
        <w:jc w:val="both"/>
        <w:spacing w:after="0" w:line="297" w:lineRule="auto"/>
        <w:rPr>
          <w:sz w:val="20"/>
          <w:szCs w:val="20"/>
          <w:color w:val="auto"/>
        </w:rPr>
      </w:pPr>
      <w:r>
        <w:rPr>
          <w:rFonts w:ascii="Arial" w:cs="Arial" w:eastAsia="Arial" w:hAnsi="Arial"/>
          <w:sz w:val="19"/>
          <w:szCs w:val="19"/>
          <w:color w:val="auto"/>
        </w:rPr>
        <w:t>other Conveyed Property. On the date of each Dealer Collections Purchase, the consideration for the Purchased Loans arising under the related Dealer Collections Purchase Agreement and other related Subsequent Conveyed Property will be an increase in the value attributable to CAC’s sole membership interest in Funding (which constitutes and will constitute all of the equity interests issued by Funding) as a result of the conveyance of such Purchased Loans and other related Subsequent Conveyed Property and the extinguishment of the Dealer Loans subject to such Dealer Collections Purchase Agreement.</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3.1 </w:t>
      </w:r>
      <w:r>
        <w:rPr>
          <w:rFonts w:ascii="Arial" w:cs="Arial" w:eastAsia="Arial" w:hAnsi="Arial"/>
          <w:sz w:val="19"/>
          <w:szCs w:val="19"/>
          <w:u w:val="single" w:color="auto"/>
          <w:color w:val="auto"/>
        </w:rPr>
        <w:t>Dealer Collections Purchases</w:t>
      </w:r>
      <w:r>
        <w:rPr>
          <w:rFonts w:ascii="Arial" w:cs="Arial" w:eastAsia="Arial" w:hAnsi="Arial"/>
          <w:sz w:val="19"/>
          <w:szCs w:val="19"/>
          <w:color w:val="auto"/>
        </w:rPr>
        <w:t>. During its ordinary course of business in managing its serviced portfolio of dealer loans (and not based on the poor credit quality of particular dealer loans), CAC may from time to time agree to enter into agreements (each a “</w:t>
      </w:r>
      <w:r>
        <w:rPr>
          <w:rFonts w:ascii="Arial" w:cs="Arial" w:eastAsia="Arial" w:hAnsi="Arial"/>
          <w:sz w:val="19"/>
          <w:szCs w:val="19"/>
          <w:u w:val="single" w:color="auto"/>
          <w:color w:val="auto"/>
        </w:rPr>
        <w:t>Dealer Collections Purchase Agreemen</w:t>
      </w:r>
      <w:r>
        <w:rPr>
          <w:rFonts w:ascii="Arial" w:cs="Arial" w:eastAsia="Arial" w:hAnsi="Arial"/>
          <w:sz w:val="19"/>
          <w:szCs w:val="19"/>
          <w:color w:val="auto"/>
        </w:rPr>
        <w:t>t”) with Dealers, pursuant to which the applicable Dealer agrees to sell and assign to CAC all of its rights, interests and entitlement in and to one or more Pools of Dealer Loan Contracts securing the related Dealer Loans, including such Dealer’s ownership interest in such Dealer Loan Contracts and rights to receive the related Dealer Collections (a “</w:t>
      </w:r>
      <w:r>
        <w:rPr>
          <w:rFonts w:ascii="Arial" w:cs="Arial" w:eastAsia="Arial" w:hAnsi="Arial"/>
          <w:sz w:val="19"/>
          <w:szCs w:val="19"/>
          <w:u w:val="single" w:color="auto"/>
          <w:color w:val="auto"/>
        </w:rPr>
        <w:t>Dealer Collections Purchase</w:t>
      </w:r>
      <w:r>
        <w:rPr>
          <w:rFonts w:ascii="Arial" w:cs="Arial" w:eastAsia="Arial" w:hAnsi="Arial"/>
          <w:sz w:val="19"/>
          <w:szCs w:val="19"/>
          <w:color w:val="auto"/>
        </w:rPr>
        <w:t>”). On the date of each Dealer Collections Purchase, CAC will pay the applicable Dealer under a Dealer Collections Purchase Agreement the applicable purchase price specified therein (the “</w:t>
      </w:r>
      <w:r>
        <w:rPr>
          <w:rFonts w:ascii="Arial" w:cs="Arial" w:eastAsia="Arial" w:hAnsi="Arial"/>
          <w:sz w:val="19"/>
          <w:szCs w:val="19"/>
          <w:u w:val="single" w:color="auto"/>
          <w:color w:val="auto"/>
        </w:rPr>
        <w:t>Dealer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Collections Purchase Price</w:t>
      </w:r>
      <w:r>
        <w:rPr>
          <w:rFonts w:ascii="Arial" w:cs="Arial" w:eastAsia="Arial" w:hAnsi="Arial"/>
          <w:sz w:val="19"/>
          <w:szCs w:val="19"/>
          <w:color w:val="auto"/>
        </w:rPr>
        <w:t>”). Upon such payment, the related Dealer Loans (including the rights to the related Dealer Collections thereunder) shall be deemed to have been satisfied and, pursuant to Section 2.1(b) of this Agreement, the Dealer Loan Contracts previously securing such Dealer Loans shall be automatically and immediately assigned by CAC to Funding as Purchased Loan Contracts, and the loans thereunder shall be deemed Purchased Loans for all purposes of this Agreement. Funding agrees to accept the assignment of the Purchased Loans and Purchased Loan Contracts arising from the satisfaction of a Dealer Loan resulting from a Dealer Collections Purchase by CAC in satisfaction of such Dealer Loan secured by the related Dealer Loan Contracts. The consideration for the conveyance from CAC to Funding of the Purchased Loan Contracts and Purchased Loans arising under the related Dealer Collections Purchase Agreement and other related Subsequent Conveyed Property will be (i) the satisfaction of the Dealer Loans previously secured by such Purchased Loan Contracts as provided herein, plus (ii) an increase in the value of CAC’s membership interest in Funding (which constitutes and will constitute all of the equity interests issued by Funding) that results from such conveyance.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REPRESENTATIONS AND WARRANTIES</w:t>
      </w:r>
    </w:p>
    <w:p>
      <w:pPr>
        <w:spacing w:after="0" w:line="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CAC represents and warrants to Funding as of the Closing Date, the Initial Funding Date and each Addition Date during the Revolving Period, that:</w:t>
      </w:r>
    </w:p>
    <w:p>
      <w:pPr>
        <w:spacing w:after="0" w:line="192" w:lineRule="exact"/>
        <w:rPr>
          <w:sz w:val="20"/>
          <w:szCs w:val="20"/>
          <w:color w:val="auto"/>
        </w:rPr>
      </w:pPr>
    </w:p>
    <w:p>
      <w:pPr>
        <w:jc w:val="both"/>
        <w:ind w:firstLine="656"/>
        <w:spacing w:after="0" w:line="312" w:lineRule="auto"/>
        <w:tabs>
          <w:tab w:leader="none" w:pos="1293"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CAC is duly organized and is validly existing as a corporation in good standing under the laws of the State of Michigan, with power and authority to own its properties and to conduct its business as such properties are currently owned and such business is presently conducted, and has and had at all relevant times, full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87" w:name="page188"/>
    <w:bookmarkEnd w:id="187"/>
    <w:p>
      <w:pPr>
        <w:spacing w:after="0" w:line="263" w:lineRule="auto"/>
        <w:rPr>
          <w:sz w:val="20"/>
          <w:szCs w:val="20"/>
          <w:color w:val="auto"/>
        </w:rPr>
      </w:pPr>
      <w:r>
        <w:rPr>
          <w:rFonts w:ascii="Arial" w:cs="Arial" w:eastAsia="Arial" w:hAnsi="Arial"/>
          <w:sz w:val="22"/>
          <w:szCs w:val="22"/>
          <w:color w:val="auto"/>
        </w:rPr>
        <w:t>authority, and legal right to acquire, own, sell, and service the Loans and the related Contracts, and to perform its obligations under the Transaction Documents to which it is a party.</w:t>
      </w:r>
    </w:p>
    <w:p>
      <w:pPr>
        <w:spacing w:after="0" w:line="175" w:lineRule="exact"/>
        <w:rPr>
          <w:sz w:val="20"/>
          <w:szCs w:val="20"/>
          <w:color w:val="auto"/>
        </w:rPr>
      </w:pPr>
    </w:p>
    <w:p>
      <w:pPr>
        <w:jc w:val="both"/>
        <w:ind w:firstLine="656"/>
        <w:spacing w:after="0" w:line="250" w:lineRule="auto"/>
        <w:tabs>
          <w:tab w:leader="none" w:pos="1291"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Due Qualification</w:t>
      </w:r>
      <w:r>
        <w:rPr>
          <w:rFonts w:ascii="Arial" w:cs="Arial" w:eastAsia="Arial" w:hAnsi="Arial"/>
          <w:sz w:val="22"/>
          <w:szCs w:val="22"/>
          <w:color w:val="auto"/>
        </w:rPr>
        <w:t>. CAC is duly qualified to do business as a foreign corporation in good standing, and has obtained all necessary material licenses and approvals in all jurisdictions in which the ownership or lease of property or the conduct of its business, including the servicing of the Loans and the related Contracts as required by this Agreement, requires such qualifications except where such failure will not have a Material Adverse Effect.</w:t>
      </w:r>
    </w:p>
    <w:p>
      <w:pPr>
        <w:spacing w:after="0" w:line="187"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Power and Authority</w:t>
      </w:r>
      <w:r>
        <w:rPr>
          <w:rFonts w:ascii="Arial" w:cs="Arial" w:eastAsia="Arial" w:hAnsi="Arial"/>
          <w:sz w:val="22"/>
          <w:szCs w:val="22"/>
          <w:color w:val="auto"/>
        </w:rPr>
        <w:t>. CAC has the power and authority to execute and deliver this Agreement and the other Transaction Documents to which it is a party and to carry out their respective terms; and the execution, delivery, and performance of this Agreement and the other Transaction Documents to which it is a party have been duly authorized by CAC by all necessary corporate action.</w:t>
      </w:r>
    </w:p>
    <w:p>
      <w:pPr>
        <w:spacing w:after="0" w:line="187" w:lineRule="exact"/>
        <w:rPr>
          <w:rFonts w:ascii="Arial" w:cs="Arial" w:eastAsia="Arial" w:hAnsi="Arial"/>
          <w:sz w:val="22"/>
          <w:szCs w:val="22"/>
          <w:color w:val="auto"/>
        </w:rPr>
      </w:pPr>
    </w:p>
    <w:p>
      <w:pPr>
        <w:jc w:val="both"/>
        <w:ind w:firstLine="656"/>
        <w:spacing w:after="0" w:line="263" w:lineRule="auto"/>
        <w:tabs>
          <w:tab w:leader="none" w:pos="1291"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Valid Sale; Binding Obligations</w:t>
      </w:r>
      <w:r>
        <w:rPr>
          <w:rFonts w:ascii="Arial" w:cs="Arial" w:eastAsia="Arial" w:hAnsi="Arial"/>
          <w:sz w:val="21"/>
          <w:szCs w:val="21"/>
          <w:color w:val="auto"/>
        </w:rPr>
        <w:t>. This Agreement evidences a valid sale, transfer, and assignment of the Conveyed Property enforceable against creditors of and purchasers from CAC; and this Agreement and the other Transaction Documents to which CAC is a party constitute legal, valid and binding obligations of CAC enforceable in accordance with their terms, subject to the effects of bankruptcy, insolvency, reorganization, or other similar laws affecting the enforcement of creditors’ or secured creditors’ rights generally and to general principles of equity.</w:t>
      </w:r>
    </w:p>
    <w:p>
      <w:pPr>
        <w:spacing w:after="0" w:line="175" w:lineRule="exact"/>
        <w:rPr>
          <w:rFonts w:ascii="Arial" w:cs="Arial" w:eastAsia="Arial" w:hAnsi="Arial"/>
          <w:sz w:val="21"/>
          <w:szCs w:val="21"/>
          <w:color w:val="auto"/>
        </w:rPr>
      </w:pPr>
    </w:p>
    <w:p>
      <w:pPr>
        <w:jc w:val="both"/>
        <w:ind w:firstLine="656"/>
        <w:spacing w:after="0" w:line="290" w:lineRule="auto"/>
        <w:tabs>
          <w:tab w:leader="none" w:pos="1293"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No Violation</w:t>
      </w:r>
      <w:r>
        <w:rPr>
          <w:rFonts w:ascii="Arial" w:cs="Arial" w:eastAsia="Arial" w:hAnsi="Arial"/>
          <w:sz w:val="19"/>
          <w:szCs w:val="19"/>
          <w:color w:val="auto"/>
        </w:rPr>
        <w:t>. The consummation of the transactions contemplated by this Agreement and the other Transaction Documents to which it is a party and the fulfillment of the terms hereof and thereof do not conflict with, result in any breach of any of the terms and provisions of, or constitute (with or without notice or lapse of time) a default under, the Articles of Incorporation or by-laws of CAC, or any indenture, agreement, or other instrument to which CAC is a party or by which it is or may be bound; nor result in the creation or imposition of any Lien upon any of its properties pursuant to the terms of any such indenture, agreement (other than this Agreement), or other instrument; or violate any law or, to the best of CAC’s knowledge, any order, rule, or regulation applicable to CAC of any court or of any federal or state regulatory body, administrative agency, or other governmental instrumentality having jurisdiction over CAC or its properties.</w:t>
      </w:r>
    </w:p>
    <w:p>
      <w:pPr>
        <w:spacing w:after="0" w:line="155" w:lineRule="exact"/>
        <w:rPr>
          <w:rFonts w:ascii="Arial" w:cs="Arial" w:eastAsia="Arial" w:hAnsi="Arial"/>
          <w:sz w:val="19"/>
          <w:szCs w:val="19"/>
          <w:color w:val="auto"/>
        </w:rPr>
      </w:pPr>
    </w:p>
    <w:p>
      <w:pPr>
        <w:jc w:val="both"/>
        <w:ind w:firstLine="656"/>
        <w:spacing w:after="0" w:line="246" w:lineRule="auto"/>
        <w:tabs>
          <w:tab w:leader="none" w:pos="1296"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No Proceedings</w:t>
      </w:r>
      <w:r>
        <w:rPr>
          <w:rFonts w:ascii="Arial" w:cs="Arial" w:eastAsia="Arial" w:hAnsi="Arial"/>
          <w:sz w:val="22"/>
          <w:szCs w:val="22"/>
          <w:color w:val="auto"/>
        </w:rPr>
        <w:t>. There are no proceedings or investigations pending, or to CAC’s best knowledge threatened, before any court, regulatory body, administrative agency, or other governmental instrumentality having jurisdiction over CAC or its properties: A) asserting the invalidity of this Agreement or any other Transaction Document to which it is a party; B) seeking to prevent the consummation of any of the transactions contemplated by this Agreement or any other Transaction Document to which it is a party; or C) seeking any determination or ruling that might materially and adversely affect the performance by CAC of its obligations under, or the validity or enforceability of, this Agreement, or any other Transaction Document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88" w:name="page189"/>
    <w:bookmarkEnd w:id="188"/>
    <w:p>
      <w:pPr>
        <w:jc w:val="both"/>
        <w:ind w:firstLine="656"/>
        <w:spacing w:after="0" w:line="245" w:lineRule="auto"/>
        <w:tabs>
          <w:tab w:leader="none" w:pos="1291"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Solvency; Fraudulent Conveyance</w:t>
      </w:r>
      <w:r>
        <w:rPr>
          <w:rFonts w:ascii="Arial" w:cs="Arial" w:eastAsia="Arial" w:hAnsi="Arial"/>
          <w:sz w:val="22"/>
          <w:szCs w:val="22"/>
          <w:color w:val="auto"/>
        </w:rPr>
        <w:t>. CAC is solvent, is able to pay its debts as they become due and will not be rendered insolvent by the transactions contemplated by the Transaction Documents and, after giving effect thereto, will not be left with an unreasonably small amount of capital with which to engage in its business. CAC does not intend to incur, nor does it believe that it has incurred, debts beyond its ability to pay such debts as they mature. CAC does not contemplate the commencement of insolvency, bankruptcy, liquidation or consolidation proceedings or the appointment of a receiver, liquidator, conservator, trustee or similar official for any of its assets. The amount of consideration being received by CAC upon the sale or other absolute transfer of the Conveyed Property to Funding constitutes reasonably equivalent value and fair consideration for the Conveyed Property. CAC is not transferring the Conveyed Property to Funding with any intent to hinder, delay or defraud any of its creditors.</w:t>
      </w:r>
    </w:p>
    <w:p>
      <w:pPr>
        <w:spacing w:after="0" w:line="200" w:lineRule="exact"/>
        <w:rPr>
          <w:rFonts w:ascii="Arial" w:cs="Arial" w:eastAsia="Arial" w:hAnsi="Arial"/>
          <w:sz w:val="22"/>
          <w:szCs w:val="22"/>
          <w:color w:val="auto"/>
        </w:rPr>
      </w:pPr>
    </w:p>
    <w:p>
      <w:pPr>
        <w:jc w:val="both"/>
        <w:ind w:firstLine="656"/>
        <w:spacing w:after="0" w:line="297" w:lineRule="auto"/>
        <w:tabs>
          <w:tab w:leader="none" w:pos="1291"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Security Interest</w:t>
      </w:r>
      <w:r>
        <w:rPr>
          <w:rFonts w:ascii="Arial" w:cs="Arial" w:eastAsia="Arial" w:hAnsi="Arial"/>
          <w:sz w:val="19"/>
          <w:szCs w:val="19"/>
          <w:color w:val="auto"/>
        </w:rPr>
        <w:t>. As of the Initial Funding Date, CAC has granted a security interest (as defined in the UCC as enacted in the State of New York) to Funding in the Conveyed Property, which is enforceable in accordance with Applicable Law upon the Initial Funding Date. Upon the filing of UCC financing statements naming Funding as secured party and CAC as debtor, Funding shall have a first priority perfected security interest in the Conveyed Property. All filings (including, without limitation, UCC filings) as are necessary in any jurisdiction to perfect the interest of Funding in the Conveyed Property have been made.</w:t>
      </w:r>
    </w:p>
    <w:p>
      <w:pPr>
        <w:spacing w:after="0" w:line="146" w:lineRule="exact"/>
        <w:rPr>
          <w:rFonts w:ascii="Arial" w:cs="Arial" w:eastAsia="Arial" w:hAnsi="Arial"/>
          <w:sz w:val="19"/>
          <w:szCs w:val="19"/>
          <w:color w:val="auto"/>
        </w:rPr>
      </w:pPr>
    </w:p>
    <w:p>
      <w:pPr>
        <w:ind w:left="1300" w:hanging="644"/>
        <w:spacing w:after="0"/>
        <w:tabs>
          <w:tab w:leader="none" w:pos="1300"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Contribution Agreement</w:t>
      </w:r>
      <w:r>
        <w:rPr>
          <w:rFonts w:ascii="Arial" w:cs="Arial" w:eastAsia="Arial" w:hAnsi="Arial"/>
          <w:sz w:val="19"/>
          <w:szCs w:val="19"/>
          <w:color w:val="auto"/>
        </w:rPr>
        <w:t>. This Agreement is the only agreement pursuant to which Funding purchases Loans from</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CAC.</w:t>
      </w:r>
    </w:p>
    <w:p>
      <w:pPr>
        <w:spacing w:after="0" w:line="201" w:lineRule="exact"/>
        <w:rPr>
          <w:rFonts w:ascii="Arial" w:cs="Arial" w:eastAsia="Arial" w:hAnsi="Arial"/>
          <w:sz w:val="19"/>
          <w:szCs w:val="19"/>
          <w:color w:val="auto"/>
        </w:rPr>
      </w:pPr>
    </w:p>
    <w:p>
      <w:pPr>
        <w:jc w:val="both"/>
        <w:ind w:firstLine="656"/>
        <w:spacing w:after="0" w:line="294" w:lineRule="auto"/>
        <w:tabs>
          <w:tab w:leader="none" w:pos="1284"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Perfection</w:t>
      </w:r>
      <w:r>
        <w:rPr>
          <w:rFonts w:ascii="Arial" w:cs="Arial" w:eastAsia="Arial" w:hAnsi="Arial"/>
          <w:sz w:val="19"/>
          <w:szCs w:val="19"/>
          <w:color w:val="auto"/>
        </w:rPr>
        <w:t>. As of the Initial Funding Date, CAC will be the owner of all of the Loans and the other Conveyed Property, free and clear of all Liens. On or prior to the date of each contribution of Loans and the other Conveyed Property to Funding pursuant to this Agreement, all financing statements and other documents required to be recorded or filed in order to perfect and protect the ownership interest of Funding in and to the Loans and the other Conveyed Property against all creditors of and purchasers from CAC will have been duly filed in each filing office necessary for such purpose and all filing fees and taxes, if any, payable in connection with such filings shall have been paid in full.</w:t>
      </w:r>
    </w:p>
    <w:p>
      <w:pPr>
        <w:spacing w:after="0" w:line="149" w:lineRule="exact"/>
        <w:rPr>
          <w:rFonts w:ascii="Arial" w:cs="Arial" w:eastAsia="Arial" w:hAnsi="Arial"/>
          <w:sz w:val="19"/>
          <w:szCs w:val="19"/>
          <w:color w:val="auto"/>
        </w:rPr>
      </w:pPr>
    </w:p>
    <w:p>
      <w:pPr>
        <w:jc w:val="both"/>
        <w:ind w:firstLine="656"/>
        <w:spacing w:after="0" w:line="259" w:lineRule="auto"/>
        <w:tabs>
          <w:tab w:leader="none" w:pos="1291" w:val="left"/>
        </w:tabs>
        <w:numPr>
          <w:ilvl w:val="0"/>
          <w:numId w:val="189"/>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CAC has filed on or before their respective due dates, all tax returns which are required to be filed in any jurisdiction or has obtained extensions for filing such tax returns and has paid all material taxes, assessments, fees and other governmental charges against CAC or any of its properties, income or franchises, to the extent that such taxes have become due, other than any taxes or assessments, the validity of which are being contested in good faith by appropriate proceedings and with respect to which adequate provision has been made on the books of CAC as may be required by GAAP. To the best knowledge of CAC, all such tax returns were true and correct in all material respects and CAC knows of no proposed material additional tax assessment against it nor any basis therefor. Any taxes, assessments, fees and other governmental charges payable by CAC in connection with the execution and delivery of the Transaction Documents have been paid or shall have been paid at or prior to the Closing Date.</w:t>
      </w:r>
    </w:p>
    <w:p>
      <w:pPr>
        <w:spacing w:after="0" w:line="179" w:lineRule="exact"/>
        <w:rPr>
          <w:rFonts w:ascii="Arial" w:cs="Arial" w:eastAsia="Arial" w:hAnsi="Arial"/>
          <w:sz w:val="21"/>
          <w:szCs w:val="21"/>
          <w:color w:val="auto"/>
        </w:rPr>
      </w:pPr>
    </w:p>
    <w:p>
      <w:pPr>
        <w:ind w:firstLine="656"/>
        <w:spacing w:after="0" w:line="263" w:lineRule="auto"/>
        <w:tabs>
          <w:tab w:leader="none" w:pos="1284" w:val="left"/>
        </w:tabs>
        <w:numPr>
          <w:ilvl w:val="0"/>
          <w:numId w:val="189"/>
        </w:numPr>
        <w:rPr>
          <w:rFonts w:ascii="Arial" w:cs="Arial" w:eastAsia="Arial" w:hAnsi="Arial"/>
          <w:sz w:val="22"/>
          <w:szCs w:val="22"/>
          <w:color w:val="auto"/>
        </w:rPr>
      </w:pPr>
      <w:r>
        <w:rPr>
          <w:rFonts w:ascii="Arial" w:cs="Arial" w:eastAsia="Arial" w:hAnsi="Arial"/>
          <w:sz w:val="22"/>
          <w:szCs w:val="22"/>
          <w:u w:val="single" w:color="auto"/>
          <w:color w:val="auto"/>
        </w:rPr>
        <w:t>Place of Business</w:t>
      </w:r>
      <w:r>
        <w:rPr>
          <w:rFonts w:ascii="Arial" w:cs="Arial" w:eastAsia="Arial" w:hAnsi="Arial"/>
          <w:sz w:val="22"/>
          <w:szCs w:val="22"/>
          <w:color w:val="auto"/>
        </w:rPr>
        <w:t>. The principal place of business and chief executive office (and “location” for purposes of the applicable UCC) of CAC is in Southfield, Michigan, and the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89" w:name="page190"/>
    <w:bookmarkEnd w:id="189"/>
    <w:p>
      <w:pPr>
        <w:jc w:val="both"/>
        <w:spacing w:after="0" w:line="292" w:lineRule="auto"/>
        <w:rPr>
          <w:sz w:val="20"/>
          <w:szCs w:val="20"/>
          <w:color w:val="auto"/>
        </w:rPr>
      </w:pPr>
      <w:r>
        <w:rPr>
          <w:rFonts w:ascii="Arial" w:cs="Arial" w:eastAsia="Arial" w:hAnsi="Arial"/>
          <w:sz w:val="19"/>
          <w:szCs w:val="19"/>
          <w:color w:val="auto"/>
        </w:rPr>
        <w:t>where CAC keeps all of its Records (other than the Certificates of Title) is at the address listed in Section 8.3, and the office where CAC keeps all of the Certificates of Title is at 25300-25330 Telegraph Road, Southfield, Michigan 48033, or, in each case, such other locations notified to Funding and the Deal Agent in accordance with this Agreement in jurisdictions where all action required by the terms of this Agreement has been taken and completed; provided that the Servicer may temporarily (or permanently, in the case of a Loan or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spacing w:after="0" w:line="151" w:lineRule="exact"/>
        <w:rPr>
          <w:sz w:val="20"/>
          <w:szCs w:val="20"/>
          <w:color w:val="auto"/>
        </w:rPr>
      </w:pPr>
    </w:p>
    <w:p>
      <w:pPr>
        <w:jc w:val="both"/>
        <w:ind w:firstLine="656"/>
        <w:spacing w:after="0" w:line="253" w:lineRule="auto"/>
        <w:tabs>
          <w:tab w:leader="none" w:pos="1284"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Tradenames, Etc.</w:t>
      </w:r>
      <w:r>
        <w:rPr>
          <w:rFonts w:ascii="Arial" w:cs="Arial" w:eastAsia="Arial" w:hAnsi="Arial"/>
          <w:sz w:val="22"/>
          <w:szCs w:val="22"/>
          <w:color w:val="auto"/>
        </w:rPr>
        <w:t xml:space="preserve"> As of the date hereof CAC has not, within the last five (5) years, operated under any tradenames other than its corporate name, nor has it changed its name, merged with or into or consolidated with any other corporation or been the subject of any proceeding under Title 11, United States Code (Bankruptcy).</w:t>
      </w:r>
    </w:p>
    <w:p>
      <w:pPr>
        <w:spacing w:after="0" w:line="185"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Collections and Servicing</w:t>
      </w:r>
      <w:r>
        <w:rPr>
          <w:rFonts w:ascii="Arial" w:cs="Arial" w:eastAsia="Arial" w:hAnsi="Arial"/>
          <w:sz w:val="22"/>
          <w:szCs w:val="22"/>
          <w:color w:val="auto"/>
        </w:rPr>
        <w:t>. Since September 30, 2020, there has been no material adverse change in the ability of the Servicer to service and collect the Loans.</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Not an Investment Company</w:t>
      </w:r>
      <w:r>
        <w:rPr>
          <w:rFonts w:ascii="Arial" w:cs="Arial" w:eastAsia="Arial" w:hAnsi="Arial"/>
          <w:sz w:val="22"/>
          <w:szCs w:val="22"/>
          <w:color w:val="auto"/>
        </w:rPr>
        <w:t>. CAC is not, and is not controlled by, an “investment company” within the meaning of the Investment Company Act of 1940, as amended, or each is exempt from all provisions of such Act.</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CAC is in compliance in all material respects with the Employee Retirement Income Security Act of 1974, as amended.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Bulk Sales</w:t>
      </w:r>
      <w:r>
        <w:rPr>
          <w:rFonts w:ascii="Arial" w:cs="Arial" w:eastAsia="Arial" w:hAnsi="Arial"/>
          <w:sz w:val="19"/>
          <w:szCs w:val="19"/>
          <w:color w:val="auto"/>
        </w:rPr>
        <w:t>. No transaction contemplated by this Agreement requires compliance with any bulk sales act or similar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law.</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Preference; Voidability</w:t>
      </w:r>
      <w:r>
        <w:rPr>
          <w:rFonts w:ascii="Arial" w:cs="Arial" w:eastAsia="Arial" w:hAnsi="Arial"/>
          <w:sz w:val="22"/>
          <w:szCs w:val="22"/>
          <w:color w:val="auto"/>
        </w:rPr>
        <w:t>. The transfer of the Conveyed Property by CAC to Funding hereunder was not made for or on account of an antecedent debt owed by Funding to CAC, or by CAC to Funding, and such transfer is not voidable under any Section of the Bankruptcy Code.</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94" w:val="left"/>
        </w:tabs>
        <w:numPr>
          <w:ilvl w:val="0"/>
          <w:numId w:val="190"/>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No proceeds of any sale of Conveyed Property will be used (i) for a purpose that violates, or would be inconsistent with, Regulation T, U or X promulgated by the Board of Governors of the Federal Reserve System from time to time or (ii) to acquire any security in any transaction which is subject to Section 12, 13 or 14 of the Securities Exchange Act of 1934, as amended.</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Representations and Warranties by CAC Relating to the Loans and the Related Contracts</w:t>
      </w:r>
      <w:r>
        <w:rPr>
          <w:rFonts w:ascii="Arial" w:cs="Arial" w:eastAsia="Arial" w:hAnsi="Arial"/>
          <w:sz w:val="22"/>
          <w:szCs w:val="22"/>
          <w:color w:val="auto"/>
        </w:rPr>
        <w:t>. CAC represents and warrants to Funding as of the Closing Date, the Initial Funding Date and each Addition Date during the Revolving Period with respect to the Subsequent Conveyed Property sold to Funding on such date,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190" w:name="page191"/>
    <w:bookmarkEnd w:id="190"/>
    <w:p>
      <w:pPr>
        <w:jc w:val="both"/>
        <w:ind w:firstLine="656"/>
        <w:spacing w:after="0" w:line="247" w:lineRule="auto"/>
        <w:tabs>
          <w:tab w:leader="none" w:pos="1293"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Eligibility of Loans</w:t>
      </w:r>
      <w:r>
        <w:rPr>
          <w:rFonts w:ascii="Arial" w:cs="Arial" w:eastAsia="Arial" w:hAnsi="Arial"/>
          <w:sz w:val="22"/>
          <w:szCs w:val="22"/>
          <w:color w:val="auto"/>
        </w:rPr>
        <w:t>. Each Loan classified as an “Eligible Dealer Loan” (or included in any aggregation of balances of “Eligible Dealer Loans”) or as an “Eligible Purchased Loan” (or included in any aggregation of balances of “Eligible Purchased Loans”) by CAC in any document or report delivered hereunder or under the Loan and Security Agreement, at the time of such representation, or at the time of such calculation, as applicable, in fact satisfied the requirements contained in the definition of Eligible Dealer Loan or Eligible Purchased Loan, as applicable, on the date such Loan was conveyed or pledged to Funding.</w:t>
      </w:r>
    </w:p>
    <w:p>
      <w:pPr>
        <w:spacing w:after="0" w:line="192" w:lineRule="exact"/>
        <w:rPr>
          <w:rFonts w:ascii="Arial" w:cs="Arial" w:eastAsia="Arial" w:hAnsi="Arial"/>
          <w:sz w:val="22"/>
          <w:szCs w:val="22"/>
          <w:color w:val="auto"/>
        </w:rPr>
      </w:pPr>
    </w:p>
    <w:p>
      <w:pPr>
        <w:jc w:val="both"/>
        <w:ind w:firstLine="656"/>
        <w:spacing w:after="0" w:line="247" w:lineRule="auto"/>
        <w:tabs>
          <w:tab w:leader="none" w:pos="1291"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Eligibility of Contracts</w:t>
      </w:r>
      <w:r>
        <w:rPr>
          <w:rFonts w:ascii="Arial" w:cs="Arial" w:eastAsia="Arial" w:hAnsi="Arial"/>
          <w:sz w:val="22"/>
          <w:szCs w:val="22"/>
          <w:color w:val="auto"/>
        </w:rPr>
        <w:t>. Each Contract classified as an “Eligible Dealer Loan Contract” or “Eligible Purchased Loan Contract” (or included in any aggregation of balances of “Eligible Dealer Loan Contracts” or “Eligible Purchased Loan Contracts”) by CAC in any document or report delivered hereunder or under the Loan and Security Agreement, at the time of such representation, or at the time of such calculation, as applicable, in fact satisfied the requirements contained in the definition of Eligible Dealer Loan Contract or Eligible Purchased Loan Contract on the date such Contract was conveyed or pledged to Funding.</w:t>
      </w:r>
    </w:p>
    <w:p>
      <w:pPr>
        <w:spacing w:after="0" w:line="192"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Accuracy of Information</w:t>
      </w:r>
      <w:r>
        <w:rPr>
          <w:rFonts w:ascii="Arial" w:cs="Arial" w:eastAsia="Arial" w:hAnsi="Arial"/>
          <w:sz w:val="22"/>
          <w:szCs w:val="22"/>
          <w:color w:val="auto"/>
        </w:rPr>
        <w:t>. All information with respect to the Loans and other Conveyed Property provided to Funding hereunder by CAC was true and correct in all material respects as of the date such information was provided to Funding (or such earlier time as specifically set forth in such information) and did not omit to state any material facts necessary to make the statements contained therein not misleading.</w:t>
      </w:r>
    </w:p>
    <w:p>
      <w:pPr>
        <w:spacing w:after="0" w:line="187" w:lineRule="exact"/>
        <w:rPr>
          <w:rFonts w:ascii="Arial" w:cs="Arial" w:eastAsia="Arial" w:hAnsi="Arial"/>
          <w:sz w:val="22"/>
          <w:szCs w:val="22"/>
          <w:color w:val="auto"/>
        </w:rPr>
      </w:pPr>
    </w:p>
    <w:p>
      <w:pPr>
        <w:jc w:val="both"/>
        <w:ind w:right="20" w:firstLine="656"/>
        <w:spacing w:after="0" w:line="253" w:lineRule="auto"/>
        <w:tabs>
          <w:tab w:leader="none" w:pos="1291"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Good Title</w:t>
      </w:r>
      <w:r>
        <w:rPr>
          <w:rFonts w:ascii="Arial" w:cs="Arial" w:eastAsia="Arial" w:hAnsi="Arial"/>
          <w:sz w:val="22"/>
          <w:szCs w:val="22"/>
          <w:color w:val="auto"/>
        </w:rPr>
        <w:t>. Upon the sale and/or contribution of the Loans and related property to Funding pursuant to this Agreement, Funding shall acquire all of CAC’s ownership and other interest in each Loan, and in the Related Security, Collections and proceeds with respect thereto, in each case free and clear of any Lien.</w:t>
      </w:r>
    </w:p>
    <w:p>
      <w:pPr>
        <w:spacing w:after="0" w:line="185"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No Consents</w:t>
      </w:r>
      <w:r>
        <w:rPr>
          <w:rFonts w:ascii="Arial" w:cs="Arial" w:eastAsia="Arial" w:hAnsi="Arial"/>
          <w:sz w:val="22"/>
          <w:szCs w:val="22"/>
          <w:color w:val="auto"/>
        </w:rPr>
        <w:t>. With respect to each Loan and the other Conveyed Property, all material consents, licenses, approvals or authorizations of or registrations or declarations with any Governmental Authority required to be obtained, effected or given by CAC, in connection with the transfer of such Conveyed Property to Funding have been duly obtained, effected or given and are in full force and effect.</w:t>
      </w:r>
    </w:p>
    <w:p>
      <w:pPr>
        <w:spacing w:after="0" w:line="187" w:lineRule="exact"/>
        <w:rPr>
          <w:rFonts w:ascii="Arial" w:cs="Arial" w:eastAsia="Arial" w:hAnsi="Arial"/>
          <w:sz w:val="22"/>
          <w:szCs w:val="22"/>
          <w:color w:val="auto"/>
        </w:rPr>
      </w:pPr>
    </w:p>
    <w:p>
      <w:pPr>
        <w:jc w:val="both"/>
        <w:ind w:firstLine="656"/>
        <w:spacing w:after="0" w:line="271" w:lineRule="auto"/>
        <w:tabs>
          <w:tab w:leader="none" w:pos="1296"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Exhibit A</w:t>
      </w:r>
      <w:r>
        <w:rPr>
          <w:rFonts w:ascii="Arial" w:cs="Arial" w:eastAsia="Arial" w:hAnsi="Arial"/>
          <w:sz w:val="21"/>
          <w:szCs w:val="21"/>
          <w:color w:val="auto"/>
        </w:rPr>
        <w:t>. Upon delivery, Exhibit A to this Agreement, which may be supplemented and updated from time to time, will be an accurate and complete listing in all material respects of all Loans that have been sold to Funding hereunder, and the information contained therein is and will be true and correct in all material respects as of such date.</w:t>
      </w:r>
    </w:p>
    <w:p>
      <w:pPr>
        <w:spacing w:after="0" w:line="167" w:lineRule="exact"/>
        <w:rPr>
          <w:rFonts w:ascii="Arial" w:cs="Arial" w:eastAsia="Arial" w:hAnsi="Arial"/>
          <w:sz w:val="21"/>
          <w:szCs w:val="21"/>
          <w:color w:val="auto"/>
        </w:rPr>
      </w:pPr>
    </w:p>
    <w:p>
      <w:pPr>
        <w:ind w:left="1300" w:hanging="644"/>
        <w:spacing w:after="0"/>
        <w:tabs>
          <w:tab w:leader="none" w:pos="1300"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Chattel Paper</w:t>
      </w:r>
      <w:r>
        <w:rPr>
          <w:rFonts w:ascii="Arial" w:cs="Arial" w:eastAsia="Arial" w:hAnsi="Arial"/>
          <w:sz w:val="22"/>
          <w:szCs w:val="22"/>
          <w:color w:val="auto"/>
        </w:rPr>
        <w:t>. Each Contract and Purchased Loan constitutes tangible or electronic chattel paper.</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Adverse Selection</w:t>
      </w:r>
      <w:r>
        <w:rPr>
          <w:rFonts w:ascii="Arial" w:cs="Arial" w:eastAsia="Arial" w:hAnsi="Arial"/>
          <w:sz w:val="22"/>
          <w:szCs w:val="22"/>
          <w:color w:val="auto"/>
        </w:rPr>
        <w:t>. No selection procedure believed by CAC to be materially adverse to the interests of Funding has been or will be used in selecting the Loans, Dealer Agreements or Contracts; provided that for the avoidance of doubt, during the Revolving Period, CAC in its sole discretion may elect to sell to Funding Dealer Loans secured by either Open Pools or Closed Pools.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91" w:name="page192"/>
    <w:bookmarkEnd w:id="191"/>
    <w:p>
      <w:pPr>
        <w:jc w:val="both"/>
        <w:ind w:firstLine="648"/>
        <w:spacing w:after="0" w:line="248"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Reaffirmation of Representations and Warranties by CAC; Notice of Breach</w:t>
      </w:r>
      <w:r>
        <w:rPr>
          <w:rFonts w:ascii="Arial" w:cs="Arial" w:eastAsia="Arial" w:hAnsi="Arial"/>
          <w:sz w:val="22"/>
          <w:szCs w:val="22"/>
          <w:color w:val="auto"/>
        </w:rPr>
        <w:t>. The representations and warranties set forth in Section 4.1 and Section 4.2 shall survive the conveyance of the Loans to Funding, and termination of the rights and obligations of Funding and CAC under this Agreement. Upon discovery by Funding or CAC of a breach of any of the foregoing representations and warranties, the party discovering such breach shall give prompt written notice to the other within three Business Days of such discovery.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COVENANTS OF CAC</w:t>
      </w:r>
    </w:p>
    <w:p>
      <w:pPr>
        <w:spacing w:after="0" w:line="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Affirmative Covenants</w:t>
      </w:r>
      <w:r>
        <w:rPr>
          <w:rFonts w:ascii="Arial" w:cs="Arial" w:eastAsia="Arial" w:hAnsi="Arial"/>
          <w:sz w:val="22"/>
          <w:szCs w:val="22"/>
          <w:color w:val="auto"/>
        </w:rPr>
        <w:t>. So long as this Agreement is in effect, and until all Loans which have been conveyed to Funding pursuant hereto shall have been paid in full or written-off as uncollectible, and all amounts owed by CAC pursuant to this Agreement have been paid in full, unless Funding and the Deal Agent otherwise consent in writing, CAC hereby covenants and agrees as follows:</w:t>
      </w:r>
    </w:p>
    <w:p>
      <w:pPr>
        <w:spacing w:after="0" w:line="195" w:lineRule="exact"/>
        <w:rPr>
          <w:sz w:val="20"/>
          <w:szCs w:val="20"/>
          <w:color w:val="auto"/>
        </w:rPr>
      </w:pPr>
    </w:p>
    <w:p>
      <w:pPr>
        <w:jc w:val="both"/>
        <w:ind w:firstLine="656"/>
        <w:spacing w:after="0" w:line="259" w:lineRule="auto"/>
        <w:tabs>
          <w:tab w:leader="none" w:pos="1293" w:val="left"/>
        </w:tabs>
        <w:numPr>
          <w:ilvl w:val="0"/>
          <w:numId w:val="192"/>
        </w:numPr>
        <w:rPr>
          <w:rFonts w:ascii="Arial" w:cs="Arial" w:eastAsia="Arial" w:hAnsi="Arial"/>
          <w:sz w:val="21"/>
          <w:szCs w:val="21"/>
          <w:color w:val="auto"/>
        </w:rPr>
      </w:pPr>
      <w:r>
        <w:rPr>
          <w:rFonts w:ascii="Arial" w:cs="Arial" w:eastAsia="Arial" w:hAnsi="Arial"/>
          <w:sz w:val="21"/>
          <w:szCs w:val="21"/>
          <w:u w:val="single" w:color="auto"/>
          <w:color w:val="auto"/>
        </w:rPr>
        <w:t>Preservation of Corporate Existence</w:t>
      </w:r>
      <w:r>
        <w:rPr>
          <w:rFonts w:ascii="Arial" w:cs="Arial" w:eastAsia="Arial" w:hAnsi="Arial"/>
          <w:sz w:val="21"/>
          <w:szCs w:val="21"/>
          <w:color w:val="auto"/>
        </w:rPr>
        <w:t>. CAC will preserve and maintain its existence, rights, franchises and privileges in the jurisdiction of its incorporation,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on the Conveyed Property. CAC will carry on and conduct its business in substantially the same manner and in substantially the same fields of enterprise as it is presently conducted and do all things necessary to remain duly incorporated, validly existing and in good standing as a domestic corporation in its jurisdiction of incorporation and CAC will maintain all requisite authority to conduct its business in each jurisdiction in which its business is conducted.</w:t>
      </w:r>
    </w:p>
    <w:p>
      <w:pPr>
        <w:spacing w:after="0" w:line="183" w:lineRule="exact"/>
        <w:rPr>
          <w:rFonts w:ascii="Arial" w:cs="Arial" w:eastAsia="Arial" w:hAnsi="Arial"/>
          <w:sz w:val="21"/>
          <w:szCs w:val="21"/>
          <w:color w:val="auto"/>
        </w:rPr>
      </w:pPr>
    </w:p>
    <w:p>
      <w:pPr>
        <w:ind w:left="1300" w:hanging="644"/>
        <w:spacing w:after="0"/>
        <w:tabs>
          <w:tab w:leader="none" w:pos="1300"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CAC will comply in all material respects with all Applicable Laws.</w:t>
      </w:r>
    </w:p>
    <w:p>
      <w:pPr>
        <w:spacing w:after="0" w:line="219" w:lineRule="exact"/>
        <w:rPr>
          <w:rFonts w:ascii="Arial" w:cs="Arial" w:eastAsia="Arial" w:hAnsi="Arial"/>
          <w:sz w:val="22"/>
          <w:szCs w:val="22"/>
          <w:color w:val="auto"/>
        </w:rPr>
      </w:pPr>
    </w:p>
    <w:p>
      <w:pPr>
        <w:jc w:val="both"/>
        <w:ind w:firstLine="656"/>
        <w:spacing w:after="0" w:line="246" w:lineRule="auto"/>
        <w:tabs>
          <w:tab w:leader="none" w:pos="1293"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Furnishing of Information and Inspection of Records</w:t>
      </w:r>
      <w:r>
        <w:rPr>
          <w:rFonts w:ascii="Arial" w:cs="Arial" w:eastAsia="Arial" w:hAnsi="Arial"/>
          <w:sz w:val="22"/>
          <w:szCs w:val="22"/>
          <w:color w:val="auto"/>
        </w:rPr>
        <w:t>. CAC will furnish to Funding from time to time such information with respect to the Loans as Funding may reasonably request, including, without limitation, listings identifying the Obligor and the Outstanding Balance for each Loan. CAC will at any time and from time to time during regular business hours permit Funding, or its agents or representatives, (i) to examine and make copies of and abstracts from all Records and (ii) to visit the offices and properties of CAC for the purpose of examining such Records, and to discuss matters relating to Loans or CAC’s performance hereunder with any of the officers, directors, employees or independent public accountants of CAC having knowledge of such matters.</w:t>
      </w:r>
    </w:p>
    <w:p>
      <w:pPr>
        <w:spacing w:after="0" w:line="196"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CAC will maintain and implement administrative and operating procedures (including without limitation, an ability to recreate records evidencing the Loans and the Contracts in the event of the destruction of the originals thereof), and keep and maintain all documents, books, records and other information reasonably necessary or advisable for the collection of all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92" w:name="page193"/>
    <w:bookmarkEnd w:id="192"/>
    <w:p>
      <w:pPr>
        <w:jc w:val="both"/>
        <w:ind w:firstLine="656"/>
        <w:spacing w:after="0" w:line="312" w:lineRule="auto"/>
        <w:tabs>
          <w:tab w:leader="none" w:pos="1293"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Performance and Compliance with Dealer Agreements and Purchase Agreements</w:t>
      </w:r>
      <w:r>
        <w:rPr>
          <w:rFonts w:ascii="Arial" w:cs="Arial" w:eastAsia="Arial" w:hAnsi="Arial"/>
          <w:sz w:val="19"/>
          <w:szCs w:val="19"/>
          <w:color w:val="auto"/>
        </w:rPr>
        <w:t>. CAC, at its expense, will timely and fully perform and comply with all provisions, covenants and other promises required to be observed by it under the Loans, Dealer Agreements, Purchase Agreements and Contracts, and all other agreements related thereto in all material respects.</w:t>
      </w:r>
    </w:p>
    <w:p>
      <w:pPr>
        <w:spacing w:after="0" w:line="133"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Credit and Collection Policies</w:t>
      </w:r>
      <w:r>
        <w:rPr>
          <w:rFonts w:ascii="Arial" w:cs="Arial" w:eastAsia="Arial" w:hAnsi="Arial"/>
          <w:sz w:val="22"/>
          <w:szCs w:val="22"/>
          <w:color w:val="auto"/>
        </w:rPr>
        <w:t>. As long as it is the Servicer, CAC will comply in all material respects with the Credit Guidelines and the Collection Guidelines or otherwise as required by Applicable Law in regard to each Loan and any related Dealer Agreement.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Collections Received</w:t>
      </w:r>
      <w:r>
        <w:rPr>
          <w:rFonts w:ascii="Arial" w:cs="Arial" w:eastAsia="Arial" w:hAnsi="Arial"/>
          <w:sz w:val="22"/>
          <w:szCs w:val="22"/>
          <w:color w:val="auto"/>
        </w:rPr>
        <w:t>. CAC shall hold in trust, and deposit to the Collection Account, not later than the close of business on the second Business Day following the Date of receipt, all Collections received from time to time by CAC or the Servicer.</w:t>
      </w:r>
    </w:p>
    <w:p>
      <w:pPr>
        <w:spacing w:after="0" w:line="185" w:lineRule="exact"/>
        <w:rPr>
          <w:rFonts w:ascii="Arial" w:cs="Arial" w:eastAsia="Arial" w:hAnsi="Arial"/>
          <w:sz w:val="22"/>
          <w:szCs w:val="22"/>
          <w:color w:val="auto"/>
        </w:rPr>
      </w:pPr>
    </w:p>
    <w:p>
      <w:pPr>
        <w:jc w:val="both"/>
        <w:ind w:firstLine="656"/>
        <w:spacing w:after="0" w:line="289" w:lineRule="auto"/>
        <w:tabs>
          <w:tab w:leader="none" w:pos="1291"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Sale Treatment</w:t>
      </w:r>
      <w:r>
        <w:rPr>
          <w:rFonts w:ascii="Arial" w:cs="Arial" w:eastAsia="Arial" w:hAnsi="Arial"/>
          <w:sz w:val="19"/>
          <w:szCs w:val="19"/>
          <w:color w:val="auto"/>
        </w:rPr>
        <w:t>. CAC agrees to treat the conveyance of the Conveyed Property made pursuant to this Agreement for all purposes (including, without limitation, tax and financial accounting purposes) as an absolute sale and/or contribution and, to the extent any such reporting is required, shall report the transactions contemplated by this Agreement on all relevant books, records, tax returns, financial statements and other applicable documents as a complete disposition of the Conveyed Property to Funding. In addition, the computer records storing essential information on the Loans and similar assets of CAC will reflect clearly CAC’s absolute sale of the Conveyed Property to Funding. If at any time CAC proposes to sell, grant a security interest in or otherwise transfer any interest in the Loans and Contracts, it will give to the prospective purchaser, lender or other transferee computer tapes, records or printouts that, if they refer to the Conveyed Property, clearly reflect that the Conveyed Property has been sold and is held by Funding and that an interest therein is held by the Collateral Agent for the benefit of the Secured Parties.</w:t>
      </w:r>
    </w:p>
    <w:p>
      <w:pPr>
        <w:spacing w:after="0" w:line="156" w:lineRule="exact"/>
        <w:rPr>
          <w:rFonts w:ascii="Arial" w:cs="Arial" w:eastAsia="Arial" w:hAnsi="Arial"/>
          <w:sz w:val="19"/>
          <w:szCs w:val="19"/>
          <w:color w:val="auto"/>
        </w:rPr>
      </w:pPr>
    </w:p>
    <w:p>
      <w:pPr>
        <w:ind w:firstLine="656"/>
        <w:spacing w:after="0" w:line="263" w:lineRule="auto"/>
        <w:tabs>
          <w:tab w:leader="none" w:pos="1284"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CAC will promptly give Funding written notice upon becoming aware that CAC is not in compliance in all material respects with ERISA or that any ERISA lien on any of the Loans exists.</w:t>
      </w:r>
    </w:p>
    <w:p>
      <w:pPr>
        <w:spacing w:after="0" w:line="174" w:lineRule="exact"/>
        <w:rPr>
          <w:rFonts w:ascii="Arial" w:cs="Arial" w:eastAsia="Arial" w:hAnsi="Arial"/>
          <w:sz w:val="22"/>
          <w:szCs w:val="22"/>
          <w:color w:val="auto"/>
        </w:rPr>
      </w:pPr>
    </w:p>
    <w:p>
      <w:pPr>
        <w:jc w:val="both"/>
        <w:ind w:firstLine="656"/>
        <w:spacing w:after="0" w:line="260" w:lineRule="auto"/>
        <w:tabs>
          <w:tab w:leader="none" w:pos="1284"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Preservation of Security Interest</w:t>
      </w:r>
      <w:r>
        <w:rPr>
          <w:rFonts w:ascii="Arial" w:cs="Arial" w:eastAsia="Arial" w:hAnsi="Arial"/>
          <w:sz w:val="21"/>
          <w:szCs w:val="21"/>
          <w:color w:val="auto"/>
        </w:rPr>
        <w:t>. CAC will file such financing and continuation statements and any other documents that may be required by any law or regulation of any Governmental Authority to preserve and perfect the security interest of Funding in, to and under the Conveyed Property. CAC will maintain possession of the Dealer Agreements, Purchase Agreements and the Contract Files and Records (or with respect to any Contract constituting electronic chattel paper, will maintain “control” (within the meaning of Section 9-105 of the UCC) of the Authoritative Electronic Copy thereof), as custodian for the Collateral Agent, as set forth in Section 6.2(c) of the Loan and Security Agreement. CAC, as Servicer, will comply with its covenants under Section 5.4(d) of the Loan and Security Agreement.</w:t>
      </w:r>
    </w:p>
    <w:p>
      <w:pPr>
        <w:spacing w:after="0" w:line="180" w:lineRule="exact"/>
        <w:rPr>
          <w:rFonts w:ascii="Arial" w:cs="Arial" w:eastAsia="Arial" w:hAnsi="Arial"/>
          <w:sz w:val="21"/>
          <w:szCs w:val="21"/>
          <w:color w:val="auto"/>
        </w:rPr>
      </w:pPr>
    </w:p>
    <w:p>
      <w:pPr>
        <w:jc w:val="both"/>
        <w:ind w:firstLine="656"/>
        <w:spacing w:after="0" w:line="250" w:lineRule="auto"/>
        <w:tabs>
          <w:tab w:leader="none" w:pos="1291"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Separateness</w:t>
      </w:r>
      <w:r>
        <w:rPr>
          <w:rFonts w:ascii="Arial" w:cs="Arial" w:eastAsia="Arial" w:hAnsi="Arial"/>
          <w:sz w:val="22"/>
          <w:szCs w:val="22"/>
          <w:color w:val="auto"/>
        </w:rPr>
        <w:t>. CAC will take such actions that are required on its part to be performed to cause (i) Funding to be in compliance, at all relevant times, with Section 5.2(o) of the Loan and Security Agreement, and (ii) all factual assumptions set forth in the most recent opinion letters delivered by Skadden, Arps, Slate, Meagher &amp; Flom LLP to the Collateral Agent with respect to certain bankruptcy matters to remain true at all relevant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93" w:name="page194"/>
    <w:bookmarkEnd w:id="193"/>
    <w:p>
      <w:pPr>
        <w:jc w:val="both"/>
        <w:ind w:firstLine="656"/>
        <w:spacing w:after="0" w:line="250" w:lineRule="auto"/>
        <w:tabs>
          <w:tab w:leader="none" w:pos="1284" w:val="left"/>
        </w:tabs>
        <w:numPr>
          <w:ilvl w:val="0"/>
          <w:numId w:val="194"/>
        </w:numPr>
        <w:rPr>
          <w:rFonts w:ascii="Arial" w:cs="Arial" w:eastAsia="Arial" w:hAnsi="Arial"/>
          <w:sz w:val="22"/>
          <w:szCs w:val="22"/>
          <w:color w:val="auto"/>
        </w:rPr>
      </w:pPr>
      <w:r>
        <w:rPr>
          <w:rFonts w:ascii="Arial" w:cs="Arial" w:eastAsia="Arial" w:hAnsi="Arial"/>
          <w:sz w:val="22"/>
          <w:szCs w:val="22"/>
          <w:u w:val="single" w:color="auto"/>
          <w:color w:val="auto"/>
        </w:rPr>
        <w:t>Notice to Potential Purchasers</w:t>
      </w:r>
      <w:r>
        <w:rPr>
          <w:rFonts w:ascii="Arial" w:cs="Arial" w:eastAsia="Arial" w:hAnsi="Arial"/>
          <w:sz w:val="22"/>
          <w:szCs w:val="22"/>
          <w:color w:val="auto"/>
        </w:rPr>
        <w:t>. At all times before the termination of this Agreement, if a third party, including a potential purchaser of the Loans, inquires, CAC will promptly reply that (i) CAC has sold the Loans to Funding; (ii) Funding has granted a security interest therein to the Collateral Agent for the benefit of the Lenders; and (iii) CAC will not claim any ownership interest in the Loans.</w:t>
      </w:r>
    </w:p>
    <w:p>
      <w:pPr>
        <w:spacing w:after="0" w:line="18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Negative Covenants</w:t>
      </w:r>
      <w:r>
        <w:rPr>
          <w:rFonts w:ascii="Arial" w:cs="Arial" w:eastAsia="Arial" w:hAnsi="Arial"/>
          <w:sz w:val="22"/>
          <w:szCs w:val="22"/>
          <w:color w:val="auto"/>
        </w:rPr>
        <w:t>. During the term of this Agreement, unless Funding and the Deal Agent shall otherwise consent in writing:</w:t>
      </w:r>
    </w:p>
    <w:p>
      <w:pPr>
        <w:spacing w:after="0" w:line="175" w:lineRule="exact"/>
        <w:rPr>
          <w:sz w:val="20"/>
          <w:szCs w:val="20"/>
          <w:color w:val="auto"/>
        </w:rPr>
      </w:pPr>
    </w:p>
    <w:p>
      <w:pPr>
        <w:jc w:val="both"/>
        <w:ind w:firstLine="656"/>
        <w:spacing w:after="0" w:line="258" w:lineRule="auto"/>
        <w:tabs>
          <w:tab w:leader="none" w:pos="1293" w:val="left"/>
        </w:tabs>
        <w:numPr>
          <w:ilvl w:val="0"/>
          <w:numId w:val="195"/>
        </w:numPr>
        <w:rPr>
          <w:rFonts w:ascii="Arial" w:cs="Arial" w:eastAsia="Arial" w:hAnsi="Arial"/>
          <w:sz w:val="21"/>
          <w:szCs w:val="21"/>
          <w:color w:val="auto"/>
        </w:rPr>
      </w:pPr>
      <w:r>
        <w:rPr>
          <w:rFonts w:ascii="Arial" w:cs="Arial" w:eastAsia="Arial" w:hAnsi="Arial"/>
          <w:sz w:val="21"/>
          <w:szCs w:val="21"/>
          <w:u w:val="single" w:color="auto"/>
          <w:color w:val="auto"/>
        </w:rPr>
        <w:t>No Sales, Liens, Etc</w:t>
      </w:r>
      <w:r>
        <w:rPr>
          <w:rFonts w:ascii="Arial" w:cs="Arial" w:eastAsia="Arial" w:hAnsi="Arial"/>
          <w:sz w:val="21"/>
          <w:szCs w:val="21"/>
          <w:color w:val="auto"/>
        </w:rPr>
        <w:t>. Except as otherwise provided herein, CAC will not sell, assign (by operation of law or otherwise) or otherwise dispose of, or create or suffer to exist any Lien upon (or the filing of any financing statement) or with respect to (i) any of the Loans, the Related Security, Collections or other Conveyed Property, (ii) any goods (other than inventory), the sale of which may give rise to any Loan, Related Security or Collections or other Conveyed Property or (iii) any account to which any Collections of any Loan are sent, or, in each case, assign any right to receive income in respect thereof. CAC shall, and will cause each of its Subsidiaries to, specifically exclude from the property subject to any Lien granted on inventory any and all accounts receivable and chattel paper generated by sales of such inventory and the proceeds thereof and shall provide, upon Funding’s request, evidence satisfactory to Funding that any such Lien (and each related UCC financing statement or other related filing) expressly excludes any such accounts receivable and chattel paper. CAC will provide Funding and the Deal Agent with a copy of any inventory financing agreement at least three Business Days prior to the effectiveness thereof.</w:t>
      </w:r>
    </w:p>
    <w:p>
      <w:pPr>
        <w:spacing w:after="0" w:line="181" w:lineRule="exact"/>
        <w:rPr>
          <w:rFonts w:ascii="Arial" w:cs="Arial" w:eastAsia="Arial" w:hAnsi="Arial"/>
          <w:sz w:val="21"/>
          <w:szCs w:val="21"/>
          <w:color w:val="auto"/>
        </w:rPr>
      </w:pPr>
    </w:p>
    <w:p>
      <w:pPr>
        <w:ind w:firstLine="656"/>
        <w:spacing w:after="0" w:line="343" w:lineRule="auto"/>
        <w:tabs>
          <w:tab w:leader="none" w:pos="1291"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No Extension or Amendment of Loans</w:t>
      </w:r>
      <w:r>
        <w:rPr>
          <w:rFonts w:ascii="Arial" w:cs="Arial" w:eastAsia="Arial" w:hAnsi="Arial"/>
          <w:sz w:val="19"/>
          <w:szCs w:val="19"/>
          <w:color w:val="auto"/>
        </w:rPr>
        <w:t>. CAC will not extend, amend or otherwise materially modify the terms of any Loan, Dealer Agreement, Purchase Agreement or Contract except as permitted by any other Transaction Document.</w:t>
      </w:r>
    </w:p>
    <w:p>
      <w:pPr>
        <w:spacing w:after="0" w:line="104" w:lineRule="exact"/>
        <w:rPr>
          <w:rFonts w:ascii="Arial" w:cs="Arial" w:eastAsia="Arial" w:hAnsi="Arial"/>
          <w:sz w:val="19"/>
          <w:szCs w:val="19"/>
          <w:color w:val="auto"/>
        </w:rPr>
      </w:pPr>
    </w:p>
    <w:p>
      <w:pPr>
        <w:jc w:val="both"/>
        <w:ind w:firstLine="656"/>
        <w:spacing w:after="0" w:line="248" w:lineRule="auto"/>
        <w:tabs>
          <w:tab w:leader="none" w:pos="1293"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Credit Guidelines and Collection Guidelines</w:t>
      </w:r>
      <w:r>
        <w:rPr>
          <w:rFonts w:ascii="Arial" w:cs="Arial" w:eastAsia="Arial" w:hAnsi="Arial"/>
          <w:sz w:val="22"/>
          <w:szCs w:val="22"/>
          <w:color w:val="auto"/>
        </w:rPr>
        <w:t>. CAC will not amend, modify, restate or replace, in whole or in part, the Credit Guidelines or Collection Guidelines, which change would materially impair the collectibility of any Loan or Contract or otherwise materially adversely affect the interests or the remedies of Funding under this Agreement or any other Transaction Document, unless (i) such change is permitted under the Loan and Security Agreement and CAC obtains the prior written consent of Funding or (ii) such change is required by Applicable Law.</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95"/>
        </w:numPr>
        <w:rPr>
          <w:rFonts w:ascii="Arial" w:cs="Arial" w:eastAsia="Arial" w:hAnsi="Arial"/>
          <w:sz w:val="22"/>
          <w:szCs w:val="22"/>
          <w:color w:val="auto"/>
        </w:rPr>
      </w:pPr>
      <w:r>
        <w:rPr>
          <w:rFonts w:ascii="Arial" w:cs="Arial" w:eastAsia="Arial" w:hAnsi="Arial"/>
          <w:sz w:val="22"/>
          <w:szCs w:val="22"/>
          <w:u w:val="single" w:color="auto"/>
          <w:color w:val="auto"/>
        </w:rPr>
        <w:t>Change in Payment Instructions to Obligors</w:t>
      </w:r>
      <w:r>
        <w:rPr>
          <w:rFonts w:ascii="Arial" w:cs="Arial" w:eastAsia="Arial" w:hAnsi="Arial"/>
          <w:sz w:val="22"/>
          <w:szCs w:val="22"/>
          <w:color w:val="auto"/>
        </w:rPr>
        <w:t>. CAC will not make any change in its instructions to Obligors regarding payments to be made directly or indirectly, unless such change is permitted under the Loan and Security Agreement and Funding and CAC have each consented to such change and have received duly executed documentation related thereto or unless such change is required by Applicable Law.</w:t>
      </w:r>
    </w:p>
    <w:p>
      <w:pPr>
        <w:spacing w:after="0" w:line="187" w:lineRule="exact"/>
        <w:rPr>
          <w:rFonts w:ascii="Arial" w:cs="Arial" w:eastAsia="Arial" w:hAnsi="Arial"/>
          <w:sz w:val="22"/>
          <w:szCs w:val="22"/>
          <w:color w:val="auto"/>
        </w:rPr>
      </w:pPr>
    </w:p>
    <w:p>
      <w:pPr>
        <w:jc w:val="both"/>
        <w:ind w:firstLine="656"/>
        <w:spacing w:after="0" w:line="312" w:lineRule="auto"/>
        <w:tabs>
          <w:tab w:leader="none" w:pos="1293"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Change of Name, Etc.</w:t>
      </w:r>
      <w:r>
        <w:rPr>
          <w:rFonts w:ascii="Arial" w:cs="Arial" w:eastAsia="Arial" w:hAnsi="Arial"/>
          <w:sz w:val="19"/>
          <w:szCs w:val="19"/>
          <w:color w:val="auto"/>
        </w:rPr>
        <w:t xml:space="preserve"> CAC will not change its name, identity, jurisdiction of organization or structure or the location of its chief executive office, unless at least ten (10) days prior to the effective date of any such change CAC delivers to Funding and the Deal Agent such documents, instruments or agreements, including, without limitation, appropriate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94" w:name="page195"/>
    <w:bookmarkEnd w:id="194"/>
    <w:p>
      <w:pPr>
        <w:spacing w:after="0" w:line="263" w:lineRule="auto"/>
        <w:rPr>
          <w:sz w:val="20"/>
          <w:szCs w:val="20"/>
          <w:color w:val="auto"/>
        </w:rPr>
      </w:pPr>
      <w:r>
        <w:rPr>
          <w:rFonts w:ascii="Arial" w:cs="Arial" w:eastAsia="Arial" w:hAnsi="Arial"/>
          <w:sz w:val="22"/>
          <w:szCs w:val="22"/>
          <w:color w:val="auto"/>
        </w:rPr>
        <w:t>statements under the UCC, executed by CAC, as are necessary to reflect such change and to continue the perfection of Funding’s and any assignee’s interest in the Loans.</w:t>
      </w:r>
    </w:p>
    <w:p>
      <w:pPr>
        <w:spacing w:after="0" w:line="175" w:lineRule="exact"/>
        <w:rPr>
          <w:sz w:val="20"/>
          <w:szCs w:val="20"/>
          <w:color w:val="auto"/>
        </w:rPr>
      </w:pPr>
    </w:p>
    <w:p>
      <w:pPr>
        <w:jc w:val="both"/>
        <w:ind w:firstLine="656"/>
        <w:spacing w:after="0" w:line="248" w:lineRule="auto"/>
        <w:tabs>
          <w:tab w:leader="none" w:pos="1296" w:val="left"/>
        </w:tabs>
        <w:numPr>
          <w:ilvl w:val="0"/>
          <w:numId w:val="196"/>
        </w:numPr>
        <w:rPr>
          <w:rFonts w:ascii="Arial" w:cs="Arial" w:eastAsia="Arial" w:hAnsi="Arial"/>
          <w:sz w:val="22"/>
          <w:szCs w:val="22"/>
          <w:color w:val="auto"/>
        </w:rPr>
      </w:pPr>
      <w:r>
        <w:rPr>
          <w:rFonts w:ascii="Arial" w:cs="Arial" w:eastAsia="Arial" w:hAnsi="Arial"/>
          <w:sz w:val="22"/>
          <w:szCs w:val="22"/>
          <w:u w:val="single" w:color="auto"/>
          <w:color w:val="auto"/>
        </w:rPr>
        <w:t>Separate Business</w:t>
      </w:r>
      <w:r>
        <w:rPr>
          <w:rFonts w:ascii="Arial" w:cs="Arial" w:eastAsia="Arial" w:hAnsi="Arial"/>
          <w:sz w:val="22"/>
          <w:szCs w:val="22"/>
          <w:color w:val="auto"/>
        </w:rPr>
        <w:t>. CAC will not: (i) fail to maintain separate books, financial statements, accounting records and other corporate documents from those of Funding; (ii) commingle any of its assets or the assets of any of its Affiliates with those of Funding (except to the extent that CAC acts as the Servicer of the Loans); (iii) pay from its own assets any obligation or indebtedness of any kind incurred by Funding; (iv) directly, or through any of its Affiliates, borrow funds or accept credit or guaranties from Funding.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Indemnities by CAC</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86" w:lineRule="auto"/>
        <w:tabs>
          <w:tab w:leader="none" w:pos="1293" w:val="left"/>
        </w:tabs>
        <w:numPr>
          <w:ilvl w:val="0"/>
          <w:numId w:val="197"/>
        </w:numPr>
        <w:rPr>
          <w:rFonts w:ascii="Arial" w:cs="Arial" w:eastAsia="Arial" w:hAnsi="Arial"/>
          <w:sz w:val="19"/>
          <w:szCs w:val="19"/>
          <w:color w:val="auto"/>
        </w:rPr>
      </w:pPr>
      <w:r>
        <w:rPr>
          <w:rFonts w:ascii="Arial" w:cs="Arial" w:eastAsia="Arial" w:hAnsi="Arial"/>
          <w:sz w:val="19"/>
          <w:szCs w:val="19"/>
          <w:color w:val="auto"/>
        </w:rPr>
        <w:t>Without limiting any other rights that any such Person may have hereunder or under Applicable Law, CAC hereby agrees to indemnify Funding, or its assignee, and each of their respective Affiliates and officers, directors, employees and agents thereof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forthwith on demand, from and against any and all damages, losses, claims, liabilities and related costs and expenses, including attorneys’ fees and disbursements (all of the foregoing being collectively referred to as the “</w:t>
      </w:r>
      <w:r>
        <w:rPr>
          <w:rFonts w:ascii="Arial" w:cs="Arial" w:eastAsia="Arial" w:hAnsi="Arial"/>
          <w:sz w:val="19"/>
          <w:szCs w:val="19"/>
          <w:u w:val="single" w:color="auto"/>
          <w:color w:val="auto"/>
        </w:rPr>
        <w:t>Indemnified Amounts</w:t>
      </w:r>
      <w:r>
        <w:rPr>
          <w:rFonts w:ascii="Arial" w:cs="Arial" w:eastAsia="Arial" w:hAnsi="Arial"/>
          <w:sz w:val="19"/>
          <w:szCs w:val="19"/>
          <w:color w:val="auto"/>
        </w:rPr>
        <w:t xml:space="preserve">”) awarded against or incurred by such Indemnified Party arising out of or as a result of this Agreement or in respect of any Loan or any Contract,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 Indemnified Amounts to the extent resulting from gross negligence or willful misconduct on the part of such Indemnified Party or (b) Indemnified Amounts that arise as a result of non-payment of Loans due to credit problems of Dealers or Obligors, including, without limitation, due to the insolvency, bankruptcy or lack of creditworthiness of any such Dealer or Obligor. If CAC has made any indemnity payment pursuant to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and such payment fully indemnified the recipient thereof and the recipient thereafter collects any payments from others in respect of such Indemnified Amounts, then the recipient shall repay to CAC an amount equal to the amount it has collected from others in respect of such Indemnified Amounts. Without limiting the foregoing, CAC shall indemnify each Indemnified Party for Indemnified Amounts relating to or resulting from:</w:t>
      </w:r>
    </w:p>
    <w:p>
      <w:pPr>
        <w:spacing w:after="0" w:line="166" w:lineRule="exact"/>
        <w:rPr>
          <w:sz w:val="20"/>
          <w:szCs w:val="20"/>
          <w:color w:val="auto"/>
        </w:rPr>
      </w:pPr>
    </w:p>
    <w:p>
      <w:pPr>
        <w:jc w:val="both"/>
        <w:ind w:right="20" w:firstLine="1092"/>
        <w:spacing w:after="0" w:line="263" w:lineRule="auto"/>
        <w:rPr>
          <w:sz w:val="20"/>
          <w:szCs w:val="20"/>
          <w:color w:val="auto"/>
        </w:rPr>
      </w:pPr>
      <w:r>
        <w:rPr>
          <w:rFonts w:ascii="Arial" w:cs="Arial" w:eastAsia="Arial" w:hAnsi="Arial"/>
          <w:sz w:val="22"/>
          <w:szCs w:val="22"/>
          <w:color w:val="auto"/>
        </w:rPr>
        <w:t>(i)any Contract or Loan treated as or represented by CAC to be an Eligible Contract or Eligible Loan that is not at the applicable time an Eligible Contract or Eligible Loan;</w:t>
      </w:r>
    </w:p>
    <w:p>
      <w:pPr>
        <w:spacing w:after="0" w:line="175" w:lineRule="exact"/>
        <w:rPr>
          <w:sz w:val="20"/>
          <w:szCs w:val="20"/>
          <w:color w:val="auto"/>
        </w:rPr>
      </w:pPr>
    </w:p>
    <w:p>
      <w:pPr>
        <w:jc w:val="both"/>
        <w:ind w:firstLine="1032"/>
        <w:spacing w:after="0" w:line="253" w:lineRule="auto"/>
        <w:rPr>
          <w:sz w:val="20"/>
          <w:szCs w:val="20"/>
          <w:color w:val="auto"/>
        </w:rPr>
      </w:pPr>
      <w:r>
        <w:rPr>
          <w:rFonts w:ascii="Arial" w:cs="Arial" w:eastAsia="Arial" w:hAnsi="Arial"/>
          <w:sz w:val="22"/>
          <w:szCs w:val="22"/>
          <w:color w:val="auto"/>
        </w:rPr>
        <w:t>(ii)reliance on any representation or warranty made or deemed made by CAC or any of its officers under or in connection with this Agreement, which shall have been false or incorrect in any material respect when made or deemed made or delivered;</w:t>
      </w:r>
    </w:p>
    <w:p>
      <w:pPr>
        <w:spacing w:after="0" w:line="18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(iii)the failure by CAC to comply with any term, provision or covenant contained in this Agreement or any agreement executed in connection with this Agreement, or with any Applicable Law, with respect to any Loan, Dealer Agreement, Purchase Agreement, or Contract, or the nonconformity of any Loan, Dealer Agreement, Purchase Agreement or Contract with any such Applicable Law;</w:t>
      </w:r>
    </w:p>
    <w:p>
      <w:pPr>
        <w:spacing w:after="0" w:line="188" w:lineRule="exact"/>
        <w:rPr>
          <w:sz w:val="20"/>
          <w:szCs w:val="20"/>
          <w:color w:val="auto"/>
        </w:rPr>
      </w:pPr>
    </w:p>
    <w:p>
      <w:pPr>
        <w:jc w:val="both"/>
        <w:ind w:right="20" w:firstLine="984"/>
        <w:spacing w:after="0" w:line="263" w:lineRule="auto"/>
        <w:rPr>
          <w:sz w:val="20"/>
          <w:szCs w:val="20"/>
          <w:color w:val="auto"/>
        </w:rPr>
      </w:pPr>
      <w:r>
        <w:rPr>
          <w:rFonts w:ascii="Arial" w:cs="Arial" w:eastAsia="Arial" w:hAnsi="Arial"/>
          <w:sz w:val="22"/>
          <w:szCs w:val="22"/>
          <w:color w:val="auto"/>
        </w:rPr>
        <w:t>(iv)the failure to vest and maintain vested in Funding, or its assignees, an undivided ownership interest or a first priority perfected security interest in the Conveyed Property, free and clear of any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95" w:name="page196"/>
    <w:bookmarkEnd w:id="195"/>
    <w:p>
      <w:pPr>
        <w:jc w:val="both"/>
        <w:ind w:firstLine="1044"/>
        <w:spacing w:after="0" w:line="253" w:lineRule="auto"/>
        <w:rPr>
          <w:sz w:val="20"/>
          <w:szCs w:val="20"/>
          <w:color w:val="auto"/>
        </w:rPr>
      </w:pPr>
      <w:r>
        <w:rPr>
          <w:rFonts w:ascii="Arial" w:cs="Arial" w:eastAsia="Arial" w:hAnsi="Arial"/>
          <w:sz w:val="22"/>
          <w:szCs w:val="22"/>
          <w:color w:val="auto"/>
        </w:rPr>
        <w:t>(v)the failure to file, or any delay in filing, financing statements or other similar instruments or documents under the UCC of any applicable jurisdiction or other Applicable Laws with respect to the Conveyed Property, whether on the Initial Funding Date or at any subsequent time;</w:t>
      </w:r>
    </w:p>
    <w:p>
      <w:pPr>
        <w:spacing w:after="0" w:line="185" w:lineRule="exact"/>
        <w:rPr>
          <w:sz w:val="20"/>
          <w:szCs w:val="20"/>
          <w:color w:val="auto"/>
        </w:rPr>
      </w:pPr>
    </w:p>
    <w:p>
      <w:pPr>
        <w:jc w:val="both"/>
        <w:ind w:firstLine="984"/>
        <w:spacing w:after="0" w:line="312" w:lineRule="auto"/>
        <w:rPr>
          <w:sz w:val="20"/>
          <w:szCs w:val="20"/>
          <w:color w:val="auto"/>
        </w:rPr>
      </w:pPr>
      <w:r>
        <w:rPr>
          <w:rFonts w:ascii="Arial" w:cs="Arial" w:eastAsia="Arial" w:hAnsi="Arial"/>
          <w:sz w:val="19"/>
          <w:szCs w:val="19"/>
          <w:color w:val="auto"/>
        </w:rPr>
        <w:t>(vi)any dispute, claim, offset or defense (other than the discharge in bankruptcy of the Dealer or Obligor) of the relevant Dealer or Obligor to the payment of any Loan or Contract (including, without limitation, a defense based on such Loan or Contract not being a legal, valid and binding obligation of such Obligor enforceable against it in accordance with its terms);</w:t>
      </w:r>
    </w:p>
    <w:p>
      <w:pPr>
        <w:spacing w:after="0" w:line="133" w:lineRule="exact"/>
        <w:rPr>
          <w:sz w:val="20"/>
          <w:szCs w:val="20"/>
          <w:color w:val="auto"/>
        </w:rPr>
      </w:pPr>
    </w:p>
    <w:p>
      <w:pPr>
        <w:jc w:val="both"/>
        <w:ind w:firstLine="924"/>
        <w:spacing w:after="0" w:line="263" w:lineRule="auto"/>
        <w:rPr>
          <w:sz w:val="20"/>
          <w:szCs w:val="20"/>
          <w:color w:val="auto"/>
        </w:rPr>
      </w:pPr>
      <w:r>
        <w:rPr>
          <w:rFonts w:ascii="Arial" w:cs="Arial" w:eastAsia="Arial" w:hAnsi="Arial"/>
          <w:sz w:val="22"/>
          <w:szCs w:val="22"/>
          <w:color w:val="auto"/>
        </w:rPr>
        <w:t>(vii)any failure of CAC to perform its duties or obligations in accordance with the provisions of this Agreement or any failure by CAC to perform its respective duties under the Loans;</w:t>
      </w:r>
    </w:p>
    <w:p>
      <w:pPr>
        <w:spacing w:after="0" w:line="175"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22"/>
          <w:szCs w:val="22"/>
          <w:color w:val="auto"/>
        </w:rPr>
        <w:t>(viii)the failure by CAC to pay when due any Taxes for which CAC is liable, including without limitation, sales, excise or personal property taxes payable in connection with the Conveyed Property;</w:t>
      </w:r>
    </w:p>
    <w:p>
      <w:pPr>
        <w:spacing w:after="0" w:line="175" w:lineRule="exact"/>
        <w:rPr>
          <w:sz w:val="20"/>
          <w:szCs w:val="20"/>
          <w:color w:val="auto"/>
        </w:rPr>
      </w:pPr>
    </w:p>
    <w:p>
      <w:pPr>
        <w:jc w:val="both"/>
        <w:ind w:firstLine="984"/>
        <w:spacing w:after="0" w:line="263" w:lineRule="auto"/>
        <w:rPr>
          <w:sz w:val="20"/>
          <w:szCs w:val="20"/>
          <w:color w:val="auto"/>
        </w:rPr>
      </w:pPr>
      <w:r>
        <w:rPr>
          <w:rFonts w:ascii="Arial" w:cs="Arial" w:eastAsia="Arial" w:hAnsi="Arial"/>
          <w:sz w:val="22"/>
          <w:szCs w:val="22"/>
          <w:color w:val="auto"/>
        </w:rPr>
        <w:t>(ix)the commingling of Collections of the Loans and Contracts at any time with other funds (except to the extent that CAC acts as the Servicer of the Loans);</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(x)any investigation, litigation or proceeding related to this Agreement or in respect of any Loan or Contract;</w:t>
      </w:r>
    </w:p>
    <w:p>
      <w:pPr>
        <w:spacing w:after="0" w:line="231" w:lineRule="exact"/>
        <w:rPr>
          <w:sz w:val="20"/>
          <w:szCs w:val="20"/>
          <w:color w:val="auto"/>
        </w:rPr>
      </w:pPr>
    </w:p>
    <w:p>
      <w:pPr>
        <w:jc w:val="both"/>
        <w:ind w:firstLine="984"/>
        <w:spacing w:after="0" w:line="253" w:lineRule="auto"/>
        <w:rPr>
          <w:sz w:val="20"/>
          <w:szCs w:val="20"/>
          <w:color w:val="auto"/>
        </w:rPr>
      </w:pPr>
      <w:r>
        <w:rPr>
          <w:rFonts w:ascii="Arial" w:cs="Arial" w:eastAsia="Arial" w:hAnsi="Arial"/>
          <w:sz w:val="22"/>
          <w:szCs w:val="22"/>
          <w:color w:val="auto"/>
        </w:rPr>
        <w:t>(xi)the failure of CAC, in its individual capacity, or any of its agents or representatives to remit to the Servicer, the Deal Agent, or the Collateral Agent Collections of the Loans and Contracts remitted to CAC, in its individual capacity, or any such agent or representative; and</w:t>
      </w:r>
    </w:p>
    <w:p>
      <w:pPr>
        <w:spacing w:after="0" w:line="185" w:lineRule="exact"/>
        <w:rPr>
          <w:sz w:val="20"/>
          <w:szCs w:val="20"/>
          <w:color w:val="auto"/>
        </w:rPr>
      </w:pPr>
    </w:p>
    <w:p>
      <w:pPr>
        <w:jc w:val="both"/>
        <w:ind w:firstLine="924"/>
        <w:spacing w:after="0" w:line="343" w:lineRule="auto"/>
        <w:rPr>
          <w:sz w:val="20"/>
          <w:szCs w:val="20"/>
          <w:color w:val="auto"/>
        </w:rPr>
      </w:pPr>
      <w:r>
        <w:rPr>
          <w:rFonts w:ascii="Arial" w:cs="Arial" w:eastAsia="Arial" w:hAnsi="Arial"/>
          <w:sz w:val="19"/>
          <w:szCs w:val="19"/>
          <w:color w:val="auto"/>
        </w:rPr>
        <w:t>(xii)the failure of a Contract File to contain the relevant original Contract or, in the case of any Contract constituting electronic chattel paper, the Authoritative Electronic Copy of the relevant Contract (in each case, for UCC purposes).</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the foregoing, CAC shall have no indemnification obligation hereunder with respect to any Loan or Contract in respect of which CAC shall have paid the Release Price under the Loan and Security Agreement after the date of such payment.</w:t>
      </w:r>
    </w:p>
    <w:p>
      <w:pPr>
        <w:spacing w:after="0" w:line="185" w:lineRule="exact"/>
        <w:rPr>
          <w:sz w:val="20"/>
          <w:szCs w:val="20"/>
          <w:color w:val="auto"/>
        </w:rPr>
      </w:pPr>
    </w:p>
    <w:p>
      <w:pPr>
        <w:ind w:right="20" w:firstLine="656"/>
        <w:spacing w:after="0" w:line="263" w:lineRule="auto"/>
        <w:tabs>
          <w:tab w:leader="none" w:pos="1291"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Any amounts subject to the indemnification provisions of this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shall be paid by CAC to the Indemnified Party within five (5) Business Days following such Indemnified Party’s demand therefor.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The obligations of CAC under this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shall survive the termination of this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96" w:name="page197"/>
    <w:bookmarkEnd w:id="196"/>
    <w:p>
      <w:pPr>
        <w:ind w:left="4240"/>
        <w:spacing w:after="0"/>
        <w:rPr>
          <w:sz w:val="20"/>
          <w:szCs w:val="20"/>
          <w:color w:val="auto"/>
        </w:rPr>
      </w:pPr>
      <w:r>
        <w:rPr>
          <w:rFonts w:ascii="Arial" w:cs="Arial" w:eastAsia="Arial" w:hAnsi="Arial"/>
          <w:sz w:val="22"/>
          <w:szCs w:val="22"/>
          <w:color w:val="auto"/>
        </w:rPr>
        <w:t>REPURCHASE OBLIGATION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Mandatory Repurchase by CAC</w:t>
      </w:r>
      <w:r>
        <w:rPr>
          <w:rFonts w:ascii="Arial" w:cs="Arial" w:eastAsia="Arial" w:hAnsi="Arial"/>
          <w:sz w:val="22"/>
          <w:szCs w:val="22"/>
          <w:color w:val="auto"/>
        </w:rPr>
        <w:t>.</w:t>
      </w:r>
    </w:p>
    <w:p>
      <w:pPr>
        <w:spacing w:after="0" w:line="202" w:lineRule="exact"/>
        <w:rPr>
          <w:sz w:val="20"/>
          <w:szCs w:val="20"/>
          <w:color w:val="auto"/>
        </w:rPr>
      </w:pPr>
    </w:p>
    <w:p>
      <w:pPr>
        <w:jc w:val="both"/>
        <w:ind w:firstLine="656"/>
        <w:spacing w:after="0" w:line="287" w:lineRule="auto"/>
        <w:tabs>
          <w:tab w:leader="none" w:pos="129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If any Loan, which has been conveyed to Funding by CAC hereunder and which has been reported by CAC to be an Eligible Dealer Loan or Eligible Purchased Loan, shall fail to meet the conditions set forth in the definition of “Eligible Dealer Loan” or “Eligible Purchased Loan”, as applicable, on the date of such report or for which any representation or warranty made herein in respect of such Loan shall fail to be true on the date so made, CAC shall, by the last day of the first full Collection Period following the discovery or notice thereof, repurchase such Loan by paying to Funding an amount equal to the Release Price of such Loan. If on any day any Contract, which has been conveyed to Funding by CAC hereunder and which has been reported by CAC to be an Eligible Contract, shall fail to meet the conditions set forth in the definition of “Eligible Contract” on the date of such report or for which any representation or warranty made herein in respect of such Contract shall fail to be true on the date so made, CAC shall, by the last day of the first full Collection Period following the discovery or notice thereof, repurchase such Contract by paying to Funding an amount equal to the Release Price of such Contract. For purposes of this Section 6.1(a), Release Price shall be calculated as of the last day of the immediately preceding Collection Period.</w:t>
      </w:r>
    </w:p>
    <w:p>
      <w:pPr>
        <w:spacing w:after="0" w:line="163" w:lineRule="exact"/>
        <w:rPr>
          <w:rFonts w:ascii="Arial" w:cs="Arial" w:eastAsia="Arial" w:hAnsi="Arial"/>
          <w:sz w:val="19"/>
          <w:szCs w:val="19"/>
          <w:color w:val="auto"/>
        </w:rPr>
      </w:pPr>
    </w:p>
    <w:p>
      <w:pPr>
        <w:jc w:val="both"/>
        <w:ind w:firstLine="656"/>
        <w:spacing w:after="0" w:line="248" w:lineRule="auto"/>
        <w:tabs>
          <w:tab w:leader="none" w:pos="1291"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 the event of a breach of any representation or warranty by CAC set forth in Section 4.2 hereof, which breach could reasonably be expected to have a Material Adverse Effect, and as a result Funding is obligated to deposit the Retransfer Amount with respect to all of the Loans in the Collection Account on the relevant Release Date in accordance with Section 4.5(b) of the Loan and Security Agreement, CAC shall repurchase all of the Loans on such Release Date by paying to Funding an amount equal to such Retransfer Amount.</w:t>
      </w:r>
    </w:p>
    <w:p>
      <w:pPr>
        <w:spacing w:after="0" w:line="191" w:lineRule="exact"/>
        <w:rPr>
          <w:rFonts w:ascii="Arial" w:cs="Arial" w:eastAsia="Arial" w:hAnsi="Arial"/>
          <w:sz w:val="22"/>
          <w:szCs w:val="22"/>
          <w:color w:val="auto"/>
        </w:rPr>
      </w:pPr>
    </w:p>
    <w:p>
      <w:pPr>
        <w:jc w:val="both"/>
        <w:ind w:firstLine="656"/>
        <w:spacing w:after="0" w:line="294" w:lineRule="auto"/>
        <w:tabs>
          <w:tab w:leader="none" w:pos="129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Each Dealer Loan, Dealer Loan Contract, Purchased Loan or Purchased Loan Contract and the Related Security which is subject to a payment in accordance with Sections 6.1(a) or (b) above shall, upon payment in full of the related amounts required thereunder, be reconveyed to CAC and shall no longer constitute Conveyed Property. Upon such payment and the request of CAC, Funding shall execute and deliver to CAC any assignments, termination statements and any other releases and instruments as CAC may reasonably request in order to effect and evidence the release of Funding’s security interest in such Dealer Loan, Dealer Loan Contract, Purchased Loan or Purchased Loan Contract and the Related Security.</w:t>
      </w:r>
    </w:p>
    <w:p>
      <w:pPr>
        <w:spacing w:after="0" w:line="149" w:lineRule="exact"/>
        <w:rPr>
          <w:rFonts w:ascii="Arial" w:cs="Arial" w:eastAsia="Arial" w:hAnsi="Arial"/>
          <w:sz w:val="19"/>
          <w:szCs w:val="19"/>
          <w:color w:val="auto"/>
        </w:rPr>
      </w:pPr>
    </w:p>
    <w:p>
      <w:pPr>
        <w:ind w:firstLine="656"/>
        <w:spacing w:after="0" w:line="263" w:lineRule="auto"/>
        <w:tabs>
          <w:tab w:leader="none" w:pos="1291"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parties hereto agree that the sole remedy for the breaches referenced in Sections 6.1(a) or (b) above is to require CAC to repurchase the relevant Loans or Contracts as set forth in this Section 6.1.</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199"/>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repurchase and the related payment set forth under Sections 6.1(a) or (b) above shall not be required if Funding is not required to make any corresponding repurchase under the Loan and Security Agreement.</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No Recourse</w:t>
      </w:r>
      <w:r>
        <w:rPr>
          <w:rFonts w:ascii="Arial" w:cs="Arial" w:eastAsia="Arial" w:hAnsi="Arial"/>
          <w:sz w:val="22"/>
          <w:szCs w:val="22"/>
          <w:color w:val="auto"/>
        </w:rPr>
        <w:t>. Except as otherwise provided in this Article VI, the purchase and sale of the Loans under this Agreement shall be without recourse to CAC or the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PRECEDENT</w:t>
      </w:r>
    </w:p>
    <w:p>
      <w:pPr>
        <w:spacing w:after="0" w:line="2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Conditions to Funding’s Obligations Regarding Loans</w:t>
      </w:r>
      <w:r>
        <w:rPr>
          <w:rFonts w:ascii="Arial" w:cs="Arial" w:eastAsia="Arial" w:hAnsi="Arial"/>
          <w:sz w:val="22"/>
          <w:szCs w:val="22"/>
          <w:color w:val="auto"/>
        </w:rPr>
        <w:t>. Consummation of the transactions contemplated hereby on the Closing Date, the Initial Funding Date and, where applicable, on each Addition Date, shall be subject to the satisfaction of the following conditions:</w:t>
      </w:r>
    </w:p>
    <w:p>
      <w:pPr>
        <w:spacing w:after="0" w:line="193" w:lineRule="exact"/>
        <w:rPr>
          <w:sz w:val="20"/>
          <w:szCs w:val="20"/>
          <w:color w:val="auto"/>
        </w:rPr>
      </w:pPr>
    </w:p>
    <w:p>
      <w:pPr>
        <w:jc w:val="both"/>
        <w:ind w:firstLine="656"/>
        <w:spacing w:after="0" w:line="253" w:lineRule="auto"/>
        <w:tabs>
          <w:tab w:leader="none" w:pos="1293"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All representations and warranties of CAC contained in this Agreement shall be true and correct in all material respects on the Closing Date, the Initial Funding Date and each Addition Date with the same effect as though such representations and warranties had been made on such date and each Addition Date;</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200"/>
        </w:numPr>
        <w:rPr>
          <w:rFonts w:ascii="Arial" w:cs="Arial" w:eastAsia="Arial" w:hAnsi="Arial"/>
          <w:sz w:val="22"/>
          <w:szCs w:val="22"/>
          <w:color w:val="auto"/>
        </w:rPr>
      </w:pPr>
      <w:r>
        <w:rPr>
          <w:rFonts w:ascii="Arial" w:cs="Arial" w:eastAsia="Arial" w:hAnsi="Arial"/>
          <w:sz w:val="22"/>
          <w:szCs w:val="22"/>
          <w:color w:val="auto"/>
        </w:rPr>
        <w:t>With respect to those Loans sold and/or contributed on the Initial Funding Date and each Addition Date, all information concerning such Loans provided to Funding shall be true and correct in all material respects as of the Initial Funding Date and each Addition Date;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CAC shall have substantially performed all other obligations required to be performed by the provisions of this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firstLine="656"/>
        <w:spacing w:after="0" w:line="263" w:lineRule="auto"/>
        <w:tabs>
          <w:tab w:leader="none" w:pos="1291" w:val="left"/>
        </w:tabs>
        <w:numPr>
          <w:ilvl w:val="0"/>
          <w:numId w:val="200"/>
        </w:numPr>
        <w:rPr>
          <w:rFonts w:ascii="Arial" w:cs="Arial" w:eastAsia="Arial" w:hAnsi="Arial"/>
          <w:sz w:val="22"/>
          <w:szCs w:val="22"/>
          <w:color w:val="auto"/>
        </w:rPr>
      </w:pPr>
      <w:r>
        <w:rPr>
          <w:rFonts w:ascii="Arial" w:cs="Arial" w:eastAsia="Arial" w:hAnsi="Arial"/>
          <w:sz w:val="22"/>
          <w:szCs w:val="22"/>
          <w:color w:val="auto"/>
        </w:rPr>
        <w:t>CAC shall have filed or caused to be filed, or shall have delivered for filing, the financing statement(s) required to be filed pursuant to Section 2.1(e); and</w:t>
      </w:r>
    </w:p>
    <w:p>
      <w:pPr>
        <w:spacing w:after="0" w:line="174" w:lineRule="exact"/>
        <w:rPr>
          <w:rFonts w:ascii="Arial" w:cs="Arial" w:eastAsia="Arial" w:hAnsi="Arial"/>
          <w:sz w:val="22"/>
          <w:szCs w:val="22"/>
          <w:color w:val="auto"/>
        </w:rPr>
      </w:pPr>
    </w:p>
    <w:p>
      <w:pPr>
        <w:jc w:val="both"/>
        <w:ind w:right="20" w:firstLine="656"/>
        <w:spacing w:after="0" w:line="250" w:lineRule="auto"/>
        <w:tabs>
          <w:tab w:leader="none" w:pos="1293" w:val="left"/>
        </w:tabs>
        <w:numPr>
          <w:ilvl w:val="0"/>
          <w:numId w:val="200"/>
        </w:numPr>
        <w:rPr>
          <w:rFonts w:ascii="Arial" w:cs="Arial" w:eastAsia="Arial" w:hAnsi="Arial"/>
          <w:sz w:val="22"/>
          <w:szCs w:val="22"/>
          <w:color w:val="auto"/>
        </w:rPr>
      </w:pPr>
      <w:r>
        <w:rPr>
          <w:rFonts w:ascii="Arial" w:cs="Arial" w:eastAsia="Arial" w:hAnsi="Arial"/>
          <w:sz w:val="22"/>
          <w:szCs w:val="22"/>
          <w:color w:val="auto"/>
        </w:rPr>
        <w:t>All corporate and legal proceedings and all instruments in connection with the transactions contemplated by this Agreement shall be satisfactory in form and substance to Funding, and Funding shall have received from CAC copies of all documents (including, without limitation, records of corporate proceedings) relevant to the transactions herein contemplated as Funding may reasonably have requested.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 PROVISIONS</w:t>
      </w:r>
    </w:p>
    <w:p>
      <w:pPr>
        <w:spacing w:after="0" w:line="2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and the rights and obligations of the parties hereunder may not be changed orally, but only by an instrument in writing signed by Funding and CAC and consented to in writing by the Deal Agent.</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u w:val="single" w:color="auto"/>
          <w:color w:val="auto"/>
        </w:rPr>
        <w:t>Governing Law; Waiver of Jury Trial; Jurisdiction</w:t>
      </w:r>
      <w:r>
        <w:rPr>
          <w:rFonts w:ascii="Arial" w:cs="Arial" w:eastAsia="Arial" w:hAnsi="Arial"/>
          <w:sz w:val="21"/>
          <w:szCs w:val="21"/>
          <w:color w:val="auto"/>
        </w:rPr>
        <w:t>. THIS AGREEMENT SHALL BE CONSTRUED IN ACCORDANCE WITH THE LAWS OF THE STATE OF NEW YORK AND THE OBLIGATIONS, RIGHTS AND REMEDIES OF THE PARTIES HEREUNDER SHALL BE DETERMINED IN ACCORDANCE WITH SUCH LAWS</w:t>
      </w:r>
    </w:p>
    <w:p>
      <w:pPr>
        <w:spacing w:after="0" w:line="16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TO THE EXTENT PERMITTED BY APPLICABLE LAW, EACH PARTY HERETO IRREVOCABLY WAIVES ALL RIGHT OF TRIAL BY JURY IN ANY ACTION, PROCEEDING OR COUNTERCLAIM BASED ON, OR ARISING OUT OF, UNDER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98" w:name="page199"/>
    <w:bookmarkEnd w:id="198"/>
    <w:p>
      <w:pPr>
        <w:jc w:val="both"/>
        <w:spacing w:after="0" w:line="263" w:lineRule="auto"/>
        <w:rPr>
          <w:sz w:val="20"/>
          <w:szCs w:val="20"/>
          <w:color w:val="auto"/>
        </w:rPr>
      </w:pPr>
      <w:r>
        <w:rPr>
          <w:rFonts w:ascii="Arial" w:cs="Arial" w:eastAsia="Arial" w:hAnsi="Arial"/>
          <w:sz w:val="22"/>
          <w:szCs w:val="22"/>
          <w:color w:val="auto"/>
        </w:rPr>
        <w:t>CONNECTION WITH THIS AGREEMENT, ANY OTHER TRANSACTION DOCUMENT, OR ANY MATTER ARISING HEREUNDER OR THEREUNDER.</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Notices</w:t>
      </w:r>
      <w:r>
        <w:rPr>
          <w:rFonts w:ascii="Arial" w:cs="Arial" w:eastAsia="Arial" w:hAnsi="Arial"/>
          <w:sz w:val="19"/>
          <w:szCs w:val="19"/>
          <w:color w:val="auto"/>
        </w:rPr>
        <w:t>. Except where telephonic instructions or notices are authorized herein to be given, all notices, demands, instructions and other communications required or permitted to be given to or made upon any party hereto shall be in writing and shall be sent via express mail or nationally recognized overnight courier or by certified mail, first class postage, prepaid, and shall be deemed to be given for purposes of this Agreement upon receipt by the intended recipient. All notices, demands, instructions and other communications required or permitted to be given to or made upon any party hereto may also be sent electronically or by facsimile transmission with a confirmation of the receipt thereof and shall be deemed to be given for purposes of this Agreement on the day that the receipt of such electronic or facsimile transmission is confirmed by phone or electronic means. Unless otherwise specified in a notice sent or delivered in accordance with the foregoing provisions of this Section, notices, demands, instructions (including payment instructions) and other communications in writing shall be given to or made upon the respective parties hereto at their respective addresses indicated below, and, in the case of telephonic instructions or notices, by calling the telephone number or numbers indicated for such party below:</w:t>
      </w:r>
    </w:p>
    <w:p>
      <w:pPr>
        <w:spacing w:after="0" w:line="163" w:lineRule="exact"/>
        <w:rPr>
          <w:sz w:val="20"/>
          <w:szCs w:val="20"/>
          <w:color w:val="auto"/>
        </w:rPr>
      </w:pPr>
    </w:p>
    <w:p>
      <w:pPr>
        <w:ind w:left="1300" w:hanging="644"/>
        <w:spacing w:after="0"/>
        <w:tabs>
          <w:tab w:leader="none" w:pos="13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 the case of Funding:</w:t>
      </w:r>
    </w:p>
    <w:p>
      <w:pPr>
        <w:spacing w:after="0" w:line="219" w:lineRule="exact"/>
        <w:rPr>
          <w:rFonts w:ascii="Arial" w:cs="Arial" w:eastAsia="Arial" w:hAnsi="Arial"/>
          <w:sz w:val="22"/>
          <w:szCs w:val="22"/>
          <w:color w:val="auto"/>
        </w:rPr>
      </w:pPr>
    </w:p>
    <w:p>
      <w:pPr>
        <w:ind w:left="1300" w:right="6440"/>
        <w:spacing w:after="0" w:line="251" w:lineRule="auto"/>
        <w:rPr>
          <w:rFonts w:ascii="Arial" w:cs="Arial" w:eastAsia="Arial" w:hAnsi="Arial"/>
          <w:sz w:val="22"/>
          <w:szCs w:val="22"/>
          <w:color w:val="auto"/>
        </w:rPr>
      </w:pPr>
      <w:r>
        <w:rPr>
          <w:rFonts w:ascii="Arial" w:cs="Arial" w:eastAsia="Arial" w:hAnsi="Arial"/>
          <w:sz w:val="22"/>
          <w:szCs w:val="22"/>
          <w:color w:val="auto"/>
        </w:rPr>
        <w:t>Credit Acceptance Funding LLC 2021-1 Silver Triangle Building</w:t>
      </w:r>
    </w:p>
    <w:p>
      <w:pPr>
        <w:spacing w:after="0" w:line="1" w:lineRule="exact"/>
        <w:rPr>
          <w:rFonts w:ascii="Arial" w:cs="Arial" w:eastAsia="Arial" w:hAnsi="Arial"/>
          <w:sz w:val="22"/>
          <w:szCs w:val="22"/>
          <w:color w:val="auto"/>
        </w:rPr>
      </w:pPr>
    </w:p>
    <w:p>
      <w:pPr>
        <w:ind w:left="1300" w:right="6640"/>
        <w:spacing w:after="0" w:line="243" w:lineRule="auto"/>
        <w:rPr>
          <w:rFonts w:ascii="Arial" w:cs="Arial" w:eastAsia="Arial" w:hAnsi="Arial"/>
          <w:sz w:val="22"/>
          <w:szCs w:val="22"/>
          <w:color w:val="auto"/>
        </w:rPr>
      </w:pPr>
      <w:r>
        <w:rPr>
          <w:rFonts w:ascii="Arial" w:cs="Arial" w:eastAsia="Arial" w:hAnsi="Arial"/>
          <w:sz w:val="22"/>
          <w:szCs w:val="22"/>
          <w:color w:val="auto"/>
        </w:rPr>
        <w:t>25505 West Twelve Mile Road Southfield, Michigan 480348339 Attention: Douglas W. Busk Telephone: (248) 3532700 (ext. 4432) Fax: (866) 743-2704</w:t>
      </w:r>
    </w:p>
    <w:p>
      <w:pPr>
        <w:spacing w:after="0" w:line="1" w:lineRule="exact"/>
        <w:rPr>
          <w:rFonts w:ascii="Arial" w:cs="Arial" w:eastAsia="Arial" w:hAnsi="Arial"/>
          <w:sz w:val="22"/>
          <w:szCs w:val="22"/>
          <w:color w:val="auto"/>
        </w:rPr>
      </w:pPr>
    </w:p>
    <w:p>
      <w:pPr>
        <w:ind w:left="1300" w:right="6860"/>
        <w:spacing w:after="0" w:line="509" w:lineRule="auto"/>
        <w:rPr>
          <w:rFonts w:ascii="Arial" w:cs="Arial" w:eastAsia="Arial" w:hAnsi="Arial"/>
          <w:sz w:val="22"/>
          <w:szCs w:val="22"/>
          <w:color w:val="auto"/>
        </w:rPr>
      </w:pPr>
      <w:r>
        <w:rPr>
          <w:rFonts w:ascii="Arial" w:cs="Arial" w:eastAsia="Arial" w:hAnsi="Arial"/>
          <w:sz w:val="19"/>
          <w:szCs w:val="19"/>
          <w:color w:val="auto"/>
        </w:rPr>
        <w:t>Email: dwb@creditacceptance.com with a copy to:</w:t>
      </w:r>
    </w:p>
    <w:p>
      <w:pPr>
        <w:ind w:left="1300" w:right="6540"/>
        <w:spacing w:after="0" w:line="291" w:lineRule="auto"/>
        <w:rPr>
          <w:rFonts w:ascii="Arial" w:cs="Arial" w:eastAsia="Arial" w:hAnsi="Arial"/>
          <w:sz w:val="22"/>
          <w:szCs w:val="22"/>
          <w:color w:val="auto"/>
        </w:rPr>
      </w:pPr>
      <w:r>
        <w:rPr>
          <w:rFonts w:ascii="Arial" w:cs="Arial" w:eastAsia="Arial" w:hAnsi="Arial"/>
          <w:sz w:val="19"/>
          <w:szCs w:val="19"/>
          <w:color w:val="auto"/>
        </w:rPr>
        <w:t>Fifth Third Bank, National Association 38 Fountain Square Plaza</w:t>
      </w:r>
    </w:p>
    <w:p>
      <w:pPr>
        <w:spacing w:after="0" w:line="1" w:lineRule="exact"/>
        <w:rPr>
          <w:rFonts w:ascii="Arial" w:cs="Arial" w:eastAsia="Arial" w:hAnsi="Arial"/>
          <w:sz w:val="22"/>
          <w:szCs w:val="22"/>
          <w:color w:val="auto"/>
        </w:rPr>
      </w:pPr>
    </w:p>
    <w:p>
      <w:pPr>
        <w:ind w:left="1300" w:right="7900"/>
        <w:spacing w:after="0" w:line="281" w:lineRule="auto"/>
        <w:rPr>
          <w:rFonts w:ascii="Arial" w:cs="Arial" w:eastAsia="Arial" w:hAnsi="Arial"/>
          <w:sz w:val="22"/>
          <w:szCs w:val="22"/>
          <w:color w:val="auto"/>
        </w:rPr>
      </w:pPr>
      <w:r>
        <w:rPr>
          <w:rFonts w:ascii="Arial" w:cs="Arial" w:eastAsia="Arial" w:hAnsi="Arial"/>
          <w:sz w:val="19"/>
          <w:szCs w:val="19"/>
          <w:color w:val="auto"/>
        </w:rPr>
        <w:t>MD 109046 Cincinnati, Ohio 45263</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 Steven Maysonet and Joy Rutan</w:t>
      </w:r>
    </w:p>
    <w:p>
      <w:pPr>
        <w:spacing w:after="0" w:line="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Office: 704.688.1121</w:t>
      </w:r>
    </w:p>
    <w:p>
      <w:pPr>
        <w:spacing w:after="0" w:line="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Email: steven.maysonet@53.com and ABF.Reporting@53.com</w:t>
      </w:r>
    </w:p>
    <w:p>
      <w:pPr>
        <w:spacing w:after="0" w:line="228" w:lineRule="exact"/>
        <w:rPr>
          <w:rFonts w:ascii="Arial" w:cs="Arial" w:eastAsia="Arial" w:hAnsi="Arial"/>
          <w:sz w:val="22"/>
          <w:szCs w:val="22"/>
          <w:color w:val="auto"/>
        </w:rPr>
      </w:pPr>
    </w:p>
    <w:p>
      <w:pPr>
        <w:ind w:left="1300" w:hanging="644"/>
        <w:spacing w:after="0"/>
        <w:tabs>
          <w:tab w:leader="none" w:pos="13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 the case of CAC and in the case of the Servicer (for so long as the Servicer is CAC):</w:t>
      </w:r>
    </w:p>
    <w:p>
      <w:pPr>
        <w:spacing w:after="0" w:line="219" w:lineRule="exact"/>
        <w:rPr>
          <w:rFonts w:ascii="Arial" w:cs="Arial" w:eastAsia="Arial" w:hAnsi="Arial"/>
          <w:sz w:val="22"/>
          <w:szCs w:val="22"/>
          <w:color w:val="auto"/>
        </w:rPr>
      </w:pPr>
    </w:p>
    <w:p>
      <w:pPr>
        <w:ind w:left="1300" w:right="7240"/>
        <w:spacing w:after="0" w:line="291" w:lineRule="auto"/>
        <w:rPr>
          <w:rFonts w:ascii="Arial" w:cs="Arial" w:eastAsia="Arial" w:hAnsi="Arial"/>
          <w:sz w:val="22"/>
          <w:szCs w:val="22"/>
          <w:color w:val="auto"/>
        </w:rPr>
      </w:pPr>
      <w:r>
        <w:rPr>
          <w:rFonts w:ascii="Arial" w:cs="Arial" w:eastAsia="Arial" w:hAnsi="Arial"/>
          <w:sz w:val="19"/>
          <w:szCs w:val="19"/>
          <w:color w:val="auto"/>
        </w:rPr>
        <w:t>Credit Acceptance Corporation Silver Triangle Building</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25505 West Twelve Mile Road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99" w:name="page200"/>
    <w:bookmarkEnd w:id="199"/>
    <w:p>
      <w:pPr>
        <w:ind w:left="1300"/>
        <w:spacing w:after="0"/>
        <w:rPr>
          <w:sz w:val="20"/>
          <w:szCs w:val="20"/>
          <w:color w:val="auto"/>
        </w:rPr>
      </w:pPr>
      <w:r>
        <w:rPr>
          <w:rFonts w:ascii="Arial" w:cs="Arial" w:eastAsia="Arial" w:hAnsi="Arial"/>
          <w:sz w:val="22"/>
          <w:szCs w:val="22"/>
          <w:color w:val="auto"/>
        </w:rPr>
        <w:t>Southfield, Michigan 480348339</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Douglas W. Busk</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 (248) 3532700 (ext. 4432)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Telecopy (866) 743-2704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dwb@creditacceptance.com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or, as to each party, at such other address as shall be designated by such party in a written notice to each other party.</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Severability of Provisions</w:t>
      </w:r>
      <w:r>
        <w:rPr>
          <w:rFonts w:ascii="Arial" w:cs="Arial" w:eastAsia="Arial" w:hAnsi="Arial"/>
          <w:sz w:val="22"/>
          <w:szCs w:val="22"/>
          <w:color w:val="auto"/>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may not be assigned by the parties hereto, except that Funding may assign its rights hereunder pursuant to the Loan and Security Agreement to the Collateral Agent, for the benefit of the Secured Parties. Funding hereby notifies CAC (and CAC hereby acknowledges) that Funding, pursuant to the Loan and Security Agreement, has assigned its rights hereunder to the Collateral Agent. All rights of Funding hereunder may be exercised by the Collateral Agent or its assignees, to the extent of their respective rights pursuant to such assignments.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8.6 </w:t>
      </w:r>
      <w:r>
        <w:rPr>
          <w:rFonts w:ascii="Arial" w:cs="Arial" w:eastAsia="Arial" w:hAnsi="Arial"/>
          <w:sz w:val="22"/>
          <w:szCs w:val="22"/>
          <w:u w:val="single" w:color="auto"/>
          <w:color w:val="auto"/>
        </w:rPr>
        <w:t>Further Assurances</w:t>
      </w:r>
      <w:r>
        <w:rPr>
          <w:rFonts w:ascii="Arial" w:cs="Arial" w:eastAsia="Arial" w:hAnsi="Arial"/>
          <w:sz w:val="22"/>
          <w:szCs w:val="22"/>
          <w:color w:val="auto"/>
        </w:rPr>
        <w:t>. Funding, CAC and the Servicer agree to do and perform, from time to time, any and all acts and to execute any and all further instruments required or reasonably requested by the other parties in order to more fully effect the purposes of this Agreement, including, without limitation, the execution of any financing statements or continuation statements or equivalent documents relating to the Loans for filing under the provisions of the UCC or other laws of any applicable jurisdiction.</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8.7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Funding, CAC, the Deal Agent or the Collateral Agent,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privileges provided by law.</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SECTION 8.8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or more counterparts including telecopy transmission thereof (and by different parties on separate counterparts), each of which shall be an original, but all of which together shall constitute one and the same instrument. Each party agrees that this Agreement and any other documents to be delivered in connection herewith may be electronically signed. Any electronic signatures appearing on this Agreement or such other documents are the same as handwritten signatures for the purposes of validity, enforceability and admissibility.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00" w:name="page201"/>
    <w:bookmarkEnd w:id="200"/>
    <w:p>
      <w:pPr>
        <w:jc w:val="both"/>
        <w:ind w:firstLine="648"/>
        <w:spacing w:after="0" w:line="312" w:lineRule="auto"/>
        <w:rPr>
          <w:sz w:val="20"/>
          <w:szCs w:val="20"/>
          <w:color w:val="auto"/>
        </w:rPr>
      </w:pPr>
      <w:r>
        <w:rPr>
          <w:rFonts w:ascii="Arial" w:cs="Arial" w:eastAsia="Arial" w:hAnsi="Arial"/>
          <w:sz w:val="19"/>
          <w:szCs w:val="19"/>
          <w:color w:val="auto"/>
        </w:rPr>
        <w:t xml:space="preserve">SECTION 8.9 </w:t>
      </w:r>
      <w:r>
        <w:rPr>
          <w:rFonts w:ascii="Arial" w:cs="Arial" w:eastAsia="Arial" w:hAnsi="Arial"/>
          <w:sz w:val="19"/>
          <w:szCs w:val="19"/>
          <w:u w:val="single" w:color="auto"/>
          <w:color w:val="auto"/>
        </w:rPr>
        <w:t>Binding Effect; Third-Party Beneficiaries</w:t>
      </w:r>
      <w:r>
        <w:rPr>
          <w:rFonts w:ascii="Arial" w:cs="Arial" w:eastAsia="Arial" w:hAnsi="Arial"/>
          <w:sz w:val="19"/>
          <w:szCs w:val="19"/>
          <w:color w:val="auto"/>
        </w:rPr>
        <w:t>. This Agreement shall inure to the benefit of and be binding upon the parties hereto and their respective successors and permitted assigns. The Deal Agent and the Collateral Agent on behalf of the Secured Parties are intended by the parties hereto to be third-party beneficiaries of this Agreement.</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Merger and Integration</w:t>
      </w:r>
      <w:r>
        <w:rPr>
          <w:rFonts w:ascii="Arial" w:cs="Arial" w:eastAsia="Arial" w:hAnsi="Arial"/>
          <w:sz w:val="22"/>
          <w:szCs w:val="22"/>
          <w:color w:val="auto"/>
        </w:rPr>
        <w:t>. Except as specifically stated otherwise herein, this Agreement sets forth the entire understanding of the parties relating to the subject matter hereof, and all prior understandings, written or oral, are superseded by this Agreement. This Agreement may not be modified, amended, waived or supplemented except as provided herein.</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8.11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are for purposes of reference only and shall not otherwise affect the meaning or interpretation of any provision hereof.</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8.12 </w:t>
      </w:r>
      <w:r>
        <w:rPr>
          <w:rFonts w:ascii="Arial" w:cs="Arial" w:eastAsia="Arial" w:hAnsi="Arial"/>
          <w:sz w:val="22"/>
          <w:szCs w:val="22"/>
          <w:u w:val="single" w:color="auto"/>
          <w:color w:val="auto"/>
        </w:rPr>
        <w:t>Exhibits</w:t>
      </w:r>
      <w:r>
        <w:rPr>
          <w:rFonts w:ascii="Arial" w:cs="Arial" w:eastAsia="Arial" w:hAnsi="Arial"/>
          <w:sz w:val="22"/>
          <w:szCs w:val="22"/>
          <w:color w:val="auto"/>
        </w:rPr>
        <w:t>. The exhibits referred to herein shall constitute a part of this Agreement and are incorporated into this Agreement for all purposes.</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8.13 </w:t>
      </w:r>
      <w:r>
        <w:rPr>
          <w:rFonts w:ascii="Arial" w:cs="Arial" w:eastAsia="Arial" w:hAnsi="Arial"/>
          <w:sz w:val="22"/>
          <w:szCs w:val="22"/>
          <w:u w:val="single" w:color="auto"/>
          <w:color w:val="auto"/>
        </w:rPr>
        <w:t>Covenant Not to File a Bankruptcy Petition</w:t>
      </w:r>
      <w:r>
        <w:rPr>
          <w:rFonts w:ascii="Arial" w:cs="Arial" w:eastAsia="Arial" w:hAnsi="Arial"/>
          <w:sz w:val="22"/>
          <w:szCs w:val="22"/>
          <w:color w:val="auto"/>
        </w:rPr>
        <w:t>. CAC agrees that until one year and one day after such time as the Loan and Security Agreement has been terminated and all outstanding Capital thereunder has been repaid in full, it shall not (i) institute (or join any other Person in instituting) the filing of a bankruptcy petition against Funding; (ii) file a petition or consent to a petition seeking relief on behalf of Funding under the Bankruptcy Code; or (iii) consent to the appointment of a receiver, liquidator, assignee, trustee, sequestrator (or similar official) of Funding or any portion of the property of Funding. This Section 8.13 shall survive termination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Funding and CAC each have caused this Agreement to be duly executed by their respective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01" w:name="page202"/>
    <w:bookmarkEnd w:id="201"/>
    <w:p>
      <w:pPr>
        <w:spacing w:after="0"/>
        <w:tabs>
          <w:tab w:leader="none" w:pos="1240" w:val="left"/>
        </w:tabs>
        <w:rPr>
          <w:sz w:val="20"/>
          <w:szCs w:val="20"/>
          <w:color w:val="auto"/>
        </w:rPr>
      </w:pPr>
      <w:r>
        <w:rPr>
          <w:rFonts w:ascii="Arial" w:cs="Arial" w:eastAsia="Arial" w:hAnsi="Arial"/>
          <w:sz w:val="22"/>
          <w:szCs w:val="22"/>
          <w:color w:val="auto"/>
        </w:rPr>
        <w:t>FUNDING:</w:t>
      </w:r>
      <w:r>
        <w:rPr>
          <w:sz w:val="20"/>
          <w:szCs w:val="20"/>
          <w:color w:val="auto"/>
        </w:rPr>
        <w:tab/>
      </w:r>
      <w:r>
        <w:rPr>
          <w:rFonts w:ascii="Arial" w:cs="Arial" w:eastAsia="Arial" w:hAnsi="Arial"/>
          <w:sz w:val="19"/>
          <w:szCs w:val="19"/>
          <w:color w:val="auto"/>
        </w:rPr>
        <w:t>CREDIT ACCEPTANCE FUNDING LLC 2021-1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34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W. Busk</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Credit Acceptance Funding LLC 2021-1</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Silver Triangle Building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25505 West Twelve Mile Road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Southfield, Michigan 48034-8339</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Douglas W. Busk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No.: (866) 743-2704</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Confirmation No.: (248) 353-2700 (ext. 4432)</w:t>
      </w:r>
    </w:p>
    <w:p>
      <w:pPr>
        <w:spacing w:after="0" w:line="26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CAC:</w:t>
      </w:r>
      <w:r>
        <w:rPr>
          <w:sz w:val="20"/>
          <w:szCs w:val="20"/>
          <w:color w:val="auto"/>
        </w:rPr>
        <w:tab/>
      </w:r>
      <w:r>
        <w:rPr>
          <w:rFonts w:ascii="Arial" w:cs="Arial" w:eastAsia="Arial" w:hAnsi="Arial"/>
          <w:sz w:val="19"/>
          <w:szCs w:val="19"/>
          <w:color w:val="auto"/>
        </w:rPr>
        <w:t>CREDIT ACCEPTANCE CORPORATION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color w:val="auto"/>
        </w:rPr>
        <w:t>By:</w:t>
        <w:tab/>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534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W. Busk</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Credit Acceptance Corporation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Silver Triangle Building</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25505 West Twelve Mile Road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Southfield, Michigan 48034-8339</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Attention: Douglas W. Busk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No.: (866) 743-2704</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Confirmation No.: (248) 353-2700 (ext. 4432)</w:t>
      </w:r>
    </w:p>
    <w:p>
      <w:pPr>
        <w:sectPr>
          <w:pgSz w:w="11900" w:h="16838" w:orient="portrait"/>
          <w:cols w:equalWidth="0" w:num="1">
            <w:col w:w="10139"/>
          </w:cols>
          <w:pgMar w:left="320" w:top="1428"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47" w:lineRule="exact"/>
        <w:rPr>
          <w:sz w:val="20"/>
          <w:szCs w:val="20"/>
          <w:color w:val="auto"/>
        </w:rPr>
      </w:pPr>
    </w:p>
    <w:p>
      <w:pPr>
        <w:ind w:left="3360"/>
        <w:spacing w:after="0"/>
        <w:rPr>
          <w:sz w:val="20"/>
          <w:szCs w:val="20"/>
          <w:color w:val="auto"/>
        </w:rPr>
      </w:pPr>
      <w:r>
        <w:rPr>
          <w:rFonts w:ascii="Arial" w:cs="Arial" w:eastAsia="Arial" w:hAnsi="Arial"/>
          <w:sz w:val="22"/>
          <w:szCs w:val="22"/>
          <w:u w:val="single" w:color="auto"/>
          <w:color w:val="auto"/>
        </w:rPr>
        <w:t>List of Conveyed Property</w:t>
      </w: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Exhibit A is the Excel file titled “Exhibit A – Conveyed Property” delivered by CAC to Funding.</w:t>
      </w:r>
    </w:p>
    <w:p>
      <w:pPr>
        <w:sectPr>
          <w:pgSz w:w="11900" w:h="16838" w:orient="portrait"/>
          <w:cols w:equalWidth="0" w:num="1">
            <w:col w:w="10120"/>
          </w:cols>
          <w:pgMar w:left="1440" w:top="1428"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u w:val="single" w:color="auto"/>
          <w:color w:val="auto"/>
        </w:rPr>
        <w:t>Exhibit 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Assignment</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Reference is made to the Sale and Contribution Agreement, dated as of January 29, 2021, as amended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 by and between Credit Acceptance Corporation, a Michigan corporation (“</w:t>
      </w:r>
      <w:r>
        <w:rPr>
          <w:rFonts w:ascii="Arial" w:cs="Arial" w:eastAsia="Arial" w:hAnsi="Arial"/>
          <w:sz w:val="22"/>
          <w:szCs w:val="22"/>
          <w:u w:val="single" w:color="auto"/>
          <w:color w:val="auto"/>
        </w:rPr>
        <w:t>Credit Acceptance</w:t>
      </w:r>
      <w:r>
        <w:rPr>
          <w:rFonts w:ascii="Arial" w:cs="Arial" w:eastAsia="Arial" w:hAnsi="Arial"/>
          <w:sz w:val="22"/>
          <w:szCs w:val="22"/>
          <w:color w:val="auto"/>
        </w:rPr>
        <w:t>”), and Credit Acceptance Funding LLC 2021-1, a Delaware limited liability company (“</w:t>
      </w:r>
      <w:r>
        <w:rPr>
          <w:rFonts w:ascii="Arial" w:cs="Arial" w:eastAsia="Arial" w:hAnsi="Arial"/>
          <w:sz w:val="22"/>
          <w:szCs w:val="22"/>
          <w:u w:val="single" w:color="auto"/>
          <w:color w:val="auto"/>
        </w:rPr>
        <w:t>Funding</w:t>
      </w:r>
      <w:r>
        <w:rPr>
          <w:rFonts w:ascii="Arial" w:cs="Arial" w:eastAsia="Arial" w:hAnsi="Arial"/>
          <w:sz w:val="22"/>
          <w:szCs w:val="22"/>
          <w:color w:val="auto"/>
        </w:rPr>
        <w:t>”). Capitalized terms used and not defined herein shall have the meanings ascribed to such terms in the Agreement.</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(page captioned “2021-1”) contains a cumulative list of Dealer Loans, and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(page captioned “2021-1”) contains a cumulative list of Purchased Loans, in each case that remain transferred or will be transferred pursuant to the Agreement as of [_____], 20[__]. The Dealer Loans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(page captioned “2021-1”)</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and the Purchased Loans listed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(page captioned “2021-1”) are collectively referred to herein as the “</w:t>
      </w:r>
      <w:r>
        <w:rPr>
          <w:rFonts w:ascii="Arial" w:cs="Arial" w:eastAsia="Arial" w:hAnsi="Arial"/>
          <w:sz w:val="22"/>
          <w:szCs w:val="22"/>
          <w:u w:val="single" w:color="auto"/>
          <w:color w:val="auto"/>
        </w:rPr>
        <w:t>Conveyed</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Loans</w:t>
      </w:r>
      <w:r>
        <w:rPr>
          <w:rFonts w:ascii="Arial" w:cs="Arial" w:eastAsia="Arial" w:hAnsi="Arial"/>
          <w:sz w:val="22"/>
          <w:szCs w:val="22"/>
          <w:color w:val="auto"/>
        </w:rPr>
        <w:t>.”</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Pursuant to the Agreement, for good and valuable consideration paid by Funding, the receipt and sufficiency of which are hereby acknowledged, Credit Acceptance does hereby (i) contribute, convey, assign, sell and transfer, to the extent not previously contributed, conveyed, assigned, sold or transferred, and (ii) confirm each prior contribution, conveyance, assignment, sale or transfer, in each case without recourse, except as set forth in the Agreement, to Funding all of its right, title and interest in and to:</w:t>
      </w:r>
    </w:p>
    <w:p>
      <w:pPr>
        <w:spacing w:after="0" w:line="3" w:lineRule="exact"/>
        <w:rPr>
          <w:sz w:val="20"/>
          <w:szCs w:val="20"/>
          <w:color w:val="auto"/>
        </w:rPr>
      </w:pPr>
    </w:p>
    <w:p>
      <w:pPr>
        <w:jc w:val="both"/>
        <w:ind w:firstLine="8"/>
        <w:spacing w:after="0" w:line="244" w:lineRule="auto"/>
        <w:tabs>
          <w:tab w:leader="none" w:pos="358"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Conveyed Loans; (B) all Related Security; (C) all of Credit Acceptance’s right, title and interest in and to the Transaction Documents and the assignment to the Collateral Agent of all UCC financing statements filed against Credit Acceptance under or in connection with the Agreement and the other Transaction Documents; and (D) all income, Collections (other than Dealer Collections) and Proceeds of the foregoing, and Funding hereby accepts as a sale and/or contribution, and hereby purchases, pursuant to the terms of the Agreement and this Assignment, all such Conveyed Loans, Related Security and such other property listed herein.</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 xml:space="preserve">The list of Conveyed Loans attached hereto shall be deemed to update (i) the current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Agreement [delivered to Funding as of [____], 20[__]] [and (ii) the current </w:t>
      </w:r>
      <w:r>
        <w:rPr>
          <w:rFonts w:ascii="Arial" w:cs="Arial" w:eastAsia="Arial" w:hAnsi="Arial"/>
          <w:sz w:val="19"/>
          <w:szCs w:val="19"/>
          <w:u w:val="single" w:color="auto"/>
          <w:color w:val="auto"/>
        </w:rPr>
        <w:t>Schedule V</w:t>
      </w:r>
      <w:r>
        <w:rPr>
          <w:rFonts w:ascii="Arial" w:cs="Arial" w:eastAsia="Arial" w:hAnsi="Arial"/>
          <w:sz w:val="19"/>
          <w:szCs w:val="19"/>
          <w:color w:val="auto"/>
        </w:rPr>
        <w:t xml:space="preserve"> to the Loan and Security Agreement delivered to the Servicer and</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the Collateral Agent as of [_____], 20[__]]. For the avoidance of doubt, any deletions or omissions from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w:t>
      </w:r>
    </w:p>
    <w:p>
      <w:pPr>
        <w:spacing w:after="0" w:line="15"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Agreement or </w:t>
      </w:r>
      <w:r>
        <w:rPr>
          <w:rFonts w:ascii="Arial" w:cs="Arial" w:eastAsia="Arial" w:hAnsi="Arial"/>
          <w:sz w:val="21"/>
          <w:szCs w:val="21"/>
          <w:u w:val="single" w:color="auto"/>
          <w:color w:val="auto"/>
        </w:rPr>
        <w:t>Schedule V</w:t>
      </w:r>
      <w:r>
        <w:rPr>
          <w:rFonts w:ascii="Arial" w:cs="Arial" w:eastAsia="Arial" w:hAnsi="Arial"/>
          <w:sz w:val="21"/>
          <w:szCs w:val="21"/>
          <w:color w:val="auto"/>
        </w:rPr>
        <w:t xml:space="preserve"> to the Loan and Security Agreement shall not be effective except upon the satisfaction of the conditions precedent in Section 3.2 of the Loan and Security Agreement and/or upon compliance with the procedures and requirements of Section 4.5 or Section 9.2 of the Loan and Security Agreement or Section 6.1 of the Agreement.</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It is the express intent of Credit Acceptance and Funding that the conveyance of the Conveyed Property (as defined in the Agreement) by Credit Acceptance to Funding pursuant to this Assignment be construed as an absolute sale and contribution of such Conveyed Property by Credit Acceptance to Funding and that Credit Acceptance relinquishes all title and control over such Conveyed Property upon the transfer of each such Conveyed Property under this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B-1</w:t>
      </w:r>
    </w:p>
    <w:p>
      <w:pPr>
        <w:sectPr>
          <w:pgSz w:w="11900" w:h="16838" w:orient="portrait"/>
          <w:cols w:equalWidth="0" w:num="1">
            <w:col w:w="11240"/>
          </w:cols>
          <w:pgMar w:left="320" w:top="1428" w:right="339" w:bottom="1440" w:gutter="0" w:footer="0" w:header="0"/>
        </w:sectPr>
      </w:pPr>
    </w:p>
    <w:bookmarkStart w:id="204" w:name="page205"/>
    <w:bookmarkEnd w:id="204"/>
    <w:p>
      <w:pPr>
        <w:jc w:val="both"/>
        <w:spacing w:after="0" w:line="292" w:lineRule="auto"/>
        <w:rPr>
          <w:sz w:val="20"/>
          <w:szCs w:val="20"/>
          <w:color w:val="auto"/>
        </w:rPr>
      </w:pPr>
      <w:r>
        <w:rPr>
          <w:rFonts w:ascii="Arial" w:cs="Arial" w:eastAsia="Arial" w:hAnsi="Arial"/>
          <w:sz w:val="19"/>
          <w:szCs w:val="19"/>
          <w:color w:val="auto"/>
        </w:rPr>
        <w:t xml:space="preserve">Assignment. Further, it is not the intention of Credit Acceptance and Funding that such conveyance be deemed a grant of a security interest in such Conveyed Property by Credit Acceptance to Funding in the nature of a consensual lien securing an obligation. However, in the event that, notwithstanding the express intent of the parties, the Conveyed Property is construed to constitute property of Credit Acceptance, then the conveyance by Credit Acceptance provided for in this Assignment shall be deemed to be, and Credit Acceptance hereby grants to Funding, a security interest in, to and under all of Credit Acceptance’s right, title and interest in, to and under the Conveyed Property, including, in any event the Conveyed Loans described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hereto, to secure the obligations of Credit Acceptance set forth in the Agreement.</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Assignment and the covenants and agreements contained herein shall be binding upon Credit Acceptance, its successors and assigns, and shall inure to the benefit of Funding, its successors and assigns.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Assignment is expressly subject to the terms, conditions, covenants, agreements, representations and warranties set forth in the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B-2</w:t>
      </w:r>
    </w:p>
    <w:p>
      <w:pPr>
        <w:sectPr>
          <w:pgSz w:w="11900" w:h="16838" w:orient="portrait"/>
          <w:cols w:equalWidth="0" w:num="1">
            <w:col w:w="11240"/>
          </w:cols>
          <w:pgMar w:left="320" w:top="1428" w:right="339" w:bottom="1440" w:gutter="0" w:footer="0" w:header="0"/>
        </w:sectPr>
      </w:pPr>
    </w:p>
    <w:bookmarkStart w:id="205" w:name="page206"/>
    <w:bookmarkEnd w:id="205"/>
    <w:p>
      <w:pPr>
        <w:ind w:firstLine="648"/>
        <w:spacing w:after="0" w:line="263" w:lineRule="auto"/>
        <w:rPr>
          <w:sz w:val="20"/>
          <w:szCs w:val="20"/>
          <w:color w:val="auto"/>
        </w:rPr>
      </w:pPr>
      <w:r>
        <w:rPr>
          <w:rFonts w:ascii="Arial" w:cs="Arial" w:eastAsia="Arial" w:hAnsi="Arial"/>
          <w:sz w:val="22"/>
          <w:szCs w:val="22"/>
          <w:color w:val="auto"/>
        </w:rPr>
        <w:t>IN WITNESS WHEREOF, each of Credit Acceptance and Funding has caused this Assignment to be executed in its name by a duly authorized representative as of [_____________], 20[__].</w:t>
      </w:r>
    </w:p>
    <w:p>
      <w:pPr>
        <w:spacing w:after="0" w:line="200" w:lineRule="exact"/>
        <w:rPr>
          <w:sz w:val="20"/>
          <w:szCs w:val="20"/>
          <w:color w:val="auto"/>
        </w:rPr>
      </w:pPr>
    </w:p>
    <w:p>
      <w:pPr>
        <w:spacing w:after="0" w:line="239"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CREDIT ACCEPTANCE</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596265</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6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CREDIT ACCEPTANCE FUNDING LLC 2021-1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610870</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1240"/>
          </w:cols>
          <w:pgMar w:left="320" w:top="1428"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22"/>
          <w:szCs w:val="22"/>
          <w:b w:val="1"/>
          <w:bCs w:val="1"/>
          <w:color w:val="auto"/>
        </w:rPr>
        <w:t>Amended and Restated INTERCREDITOR AGREEMENT</w:t>
      </w:r>
    </w:p>
    <w:p>
      <w:pPr>
        <w:spacing w:after="0" w:line="226"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This Amended and Restated Intercreditor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January 29, 2021, is among Credit Acceptance Corporation (“</w:t>
      </w:r>
      <w:r>
        <w:rPr>
          <w:rFonts w:ascii="Arial" w:cs="Arial" w:eastAsia="Arial" w:hAnsi="Arial"/>
          <w:sz w:val="19"/>
          <w:szCs w:val="19"/>
          <w:u w:val="single" w:color="auto"/>
          <w:color w:val="auto"/>
        </w:rPr>
        <w:t>CAC</w:t>
      </w:r>
      <w:r>
        <w:rPr>
          <w:rFonts w:ascii="Arial" w:cs="Arial" w:eastAsia="Arial" w:hAnsi="Arial"/>
          <w:sz w:val="19"/>
          <w:szCs w:val="19"/>
          <w:color w:val="auto"/>
        </w:rPr>
        <w:t>”), CAC Warehouse Funding Corporation II (“</w:t>
      </w:r>
      <w:r>
        <w:rPr>
          <w:rFonts w:ascii="Arial" w:cs="Arial" w:eastAsia="Arial" w:hAnsi="Arial"/>
          <w:sz w:val="19"/>
          <w:szCs w:val="19"/>
          <w:u w:val="single" w:color="auto"/>
          <w:color w:val="auto"/>
        </w:rPr>
        <w:t>Warehouse Funding II</w:t>
      </w:r>
      <w:r>
        <w:rPr>
          <w:rFonts w:ascii="Arial" w:cs="Arial" w:eastAsia="Arial" w:hAnsi="Arial"/>
          <w:sz w:val="19"/>
          <w:szCs w:val="19"/>
          <w:color w:val="auto"/>
        </w:rPr>
        <w:t>”), CAC Warehouse Funding LLC IV (“</w:t>
      </w:r>
      <w:r>
        <w:rPr>
          <w:rFonts w:ascii="Arial" w:cs="Arial" w:eastAsia="Arial" w:hAnsi="Arial"/>
          <w:sz w:val="19"/>
          <w:szCs w:val="19"/>
          <w:u w:val="single" w:color="auto"/>
          <w:color w:val="auto"/>
        </w:rPr>
        <w:t>Warehouse Funding IV</w:t>
      </w:r>
      <w:r>
        <w:rPr>
          <w:rFonts w:ascii="Arial" w:cs="Arial" w:eastAsia="Arial" w:hAnsi="Arial"/>
          <w:sz w:val="19"/>
          <w:szCs w:val="19"/>
          <w:color w:val="auto"/>
        </w:rPr>
        <w:t>”), CAC Warehouse Funding LLC V (“</w:t>
      </w:r>
      <w:r>
        <w:rPr>
          <w:rFonts w:ascii="Arial" w:cs="Arial" w:eastAsia="Arial" w:hAnsi="Arial"/>
          <w:sz w:val="19"/>
          <w:szCs w:val="19"/>
          <w:u w:val="single" w:color="auto"/>
          <w:color w:val="auto"/>
        </w:rPr>
        <w:t>Warehouse Funding V</w:t>
      </w:r>
      <w:r>
        <w:rPr>
          <w:rFonts w:ascii="Arial" w:cs="Arial" w:eastAsia="Arial" w:hAnsi="Arial"/>
          <w:sz w:val="19"/>
          <w:szCs w:val="19"/>
          <w:color w:val="auto"/>
        </w:rPr>
        <w:t>”), CAC Warehouse Funding LLC VI (“</w:t>
      </w:r>
      <w:r>
        <w:rPr>
          <w:rFonts w:ascii="Arial" w:cs="Arial" w:eastAsia="Arial" w:hAnsi="Arial"/>
          <w:sz w:val="19"/>
          <w:szCs w:val="19"/>
          <w:u w:val="single" w:color="auto"/>
          <w:color w:val="auto"/>
        </w:rPr>
        <w:t>Warehouse Funding VI</w:t>
      </w:r>
      <w:r>
        <w:rPr>
          <w:rFonts w:ascii="Arial" w:cs="Arial" w:eastAsia="Arial" w:hAnsi="Arial"/>
          <w:sz w:val="19"/>
          <w:szCs w:val="19"/>
          <w:color w:val="auto"/>
        </w:rPr>
        <w:t>”), CAC Warehouse Funding LLC VII (“</w:t>
      </w:r>
      <w:r>
        <w:rPr>
          <w:rFonts w:ascii="Arial" w:cs="Arial" w:eastAsia="Arial" w:hAnsi="Arial"/>
          <w:sz w:val="19"/>
          <w:szCs w:val="19"/>
          <w:u w:val="single" w:color="auto"/>
          <w:color w:val="auto"/>
        </w:rPr>
        <w:t>Warehouse Funding VII</w:t>
      </w:r>
      <w:r>
        <w:rPr>
          <w:rFonts w:ascii="Arial" w:cs="Arial" w:eastAsia="Arial" w:hAnsi="Arial"/>
          <w:sz w:val="19"/>
          <w:szCs w:val="19"/>
          <w:color w:val="auto"/>
        </w:rPr>
        <w:t>”), CAC Warehouse Funding LLC VIII (“</w:t>
      </w:r>
      <w:r>
        <w:rPr>
          <w:rFonts w:ascii="Arial" w:cs="Arial" w:eastAsia="Arial" w:hAnsi="Arial"/>
          <w:sz w:val="19"/>
          <w:szCs w:val="19"/>
          <w:u w:val="single" w:color="auto"/>
          <w:color w:val="auto"/>
        </w:rPr>
        <w:t>Warehouse Funding VIII</w:t>
      </w:r>
      <w:r>
        <w:rPr>
          <w:rFonts w:ascii="Arial" w:cs="Arial" w:eastAsia="Arial" w:hAnsi="Arial"/>
          <w:sz w:val="19"/>
          <w:szCs w:val="19"/>
          <w:color w:val="auto"/>
        </w:rPr>
        <w:t>”), Credit Acceptance Funding LLC 2021-1 (“</w:t>
      </w:r>
      <w:r>
        <w:rPr>
          <w:rFonts w:ascii="Arial" w:cs="Arial" w:eastAsia="Arial" w:hAnsi="Arial"/>
          <w:sz w:val="19"/>
          <w:szCs w:val="19"/>
          <w:u w:val="single" w:color="auto"/>
          <w:color w:val="auto"/>
        </w:rPr>
        <w:t>Funding 2021-1</w:t>
      </w:r>
      <w:r>
        <w:rPr>
          <w:rFonts w:ascii="Arial" w:cs="Arial" w:eastAsia="Arial" w:hAnsi="Arial"/>
          <w:sz w:val="19"/>
          <w:szCs w:val="19"/>
          <w:color w:val="auto"/>
        </w:rPr>
        <w:t>”), Credit Acceptance Funding LLC 2020-3 (“</w:t>
      </w:r>
      <w:r>
        <w:rPr>
          <w:rFonts w:ascii="Arial" w:cs="Arial" w:eastAsia="Arial" w:hAnsi="Arial"/>
          <w:sz w:val="19"/>
          <w:szCs w:val="19"/>
          <w:u w:val="single" w:color="auto"/>
          <w:color w:val="auto"/>
        </w:rPr>
        <w:t>Funding 2020-3</w:t>
      </w:r>
      <w:r>
        <w:rPr>
          <w:rFonts w:ascii="Arial" w:cs="Arial" w:eastAsia="Arial" w:hAnsi="Arial"/>
          <w:sz w:val="19"/>
          <w:szCs w:val="19"/>
          <w:color w:val="auto"/>
        </w:rPr>
        <w:t>”), Credit Acceptance Funding LLC 2020-2 (“</w:t>
      </w:r>
      <w:r>
        <w:rPr>
          <w:rFonts w:ascii="Arial" w:cs="Arial" w:eastAsia="Arial" w:hAnsi="Arial"/>
          <w:sz w:val="19"/>
          <w:szCs w:val="19"/>
          <w:u w:val="single" w:color="auto"/>
          <w:color w:val="auto"/>
        </w:rPr>
        <w:t>Funding 2020-2</w:t>
      </w:r>
      <w:r>
        <w:rPr>
          <w:rFonts w:ascii="Arial" w:cs="Arial" w:eastAsia="Arial" w:hAnsi="Arial"/>
          <w:sz w:val="19"/>
          <w:szCs w:val="19"/>
          <w:color w:val="auto"/>
        </w:rPr>
        <w:t>”), Credit Acceptance Funding LLC 2020-1 (“</w:t>
      </w:r>
      <w:r>
        <w:rPr>
          <w:rFonts w:ascii="Arial" w:cs="Arial" w:eastAsia="Arial" w:hAnsi="Arial"/>
          <w:sz w:val="19"/>
          <w:szCs w:val="19"/>
          <w:u w:val="single" w:color="auto"/>
          <w:color w:val="auto"/>
        </w:rPr>
        <w:t>Funding 2020-1</w:t>
      </w:r>
      <w:r>
        <w:rPr>
          <w:rFonts w:ascii="Arial" w:cs="Arial" w:eastAsia="Arial" w:hAnsi="Arial"/>
          <w:sz w:val="19"/>
          <w:szCs w:val="19"/>
          <w:color w:val="auto"/>
        </w:rPr>
        <w:t>”), Credit Acceptance Funding LLC 2019-3 (“</w:t>
      </w:r>
      <w:r>
        <w:rPr>
          <w:rFonts w:ascii="Arial" w:cs="Arial" w:eastAsia="Arial" w:hAnsi="Arial"/>
          <w:sz w:val="19"/>
          <w:szCs w:val="19"/>
          <w:u w:val="single" w:color="auto"/>
          <w:color w:val="auto"/>
        </w:rPr>
        <w:t>Funding 2019-3</w:t>
      </w:r>
      <w:r>
        <w:rPr>
          <w:rFonts w:ascii="Arial" w:cs="Arial" w:eastAsia="Arial" w:hAnsi="Arial"/>
          <w:sz w:val="19"/>
          <w:szCs w:val="19"/>
          <w:color w:val="auto"/>
        </w:rPr>
        <w:t>”), Credit Acceptance Funding LLC 2019-2 (“</w:t>
      </w:r>
      <w:r>
        <w:rPr>
          <w:rFonts w:ascii="Arial" w:cs="Arial" w:eastAsia="Arial" w:hAnsi="Arial"/>
          <w:sz w:val="19"/>
          <w:szCs w:val="19"/>
          <w:u w:val="single" w:color="auto"/>
          <w:color w:val="auto"/>
        </w:rPr>
        <w:t>Funding 2019-2</w:t>
      </w:r>
      <w:r>
        <w:rPr>
          <w:rFonts w:ascii="Arial" w:cs="Arial" w:eastAsia="Arial" w:hAnsi="Arial"/>
          <w:sz w:val="19"/>
          <w:szCs w:val="19"/>
          <w:color w:val="auto"/>
        </w:rPr>
        <w:t>”), Credit Acceptance Funding LLC 2019-1 (“</w:t>
      </w:r>
      <w:r>
        <w:rPr>
          <w:rFonts w:ascii="Arial" w:cs="Arial" w:eastAsia="Arial" w:hAnsi="Arial"/>
          <w:sz w:val="19"/>
          <w:szCs w:val="19"/>
          <w:u w:val="single" w:color="auto"/>
          <w:color w:val="auto"/>
        </w:rPr>
        <w:t>Funding 2019-1</w:t>
      </w:r>
      <w:r>
        <w:rPr>
          <w:rFonts w:ascii="Arial" w:cs="Arial" w:eastAsia="Arial" w:hAnsi="Arial"/>
          <w:sz w:val="19"/>
          <w:szCs w:val="19"/>
          <w:color w:val="auto"/>
        </w:rPr>
        <w:t>”), Credit Acceptance Funding LLC 2018-3 (“</w:t>
      </w:r>
      <w:r>
        <w:rPr>
          <w:rFonts w:ascii="Arial" w:cs="Arial" w:eastAsia="Arial" w:hAnsi="Arial"/>
          <w:sz w:val="19"/>
          <w:szCs w:val="19"/>
          <w:u w:val="single" w:color="auto"/>
          <w:color w:val="auto"/>
        </w:rPr>
        <w:t>Funding 2018-3</w:t>
      </w:r>
      <w:r>
        <w:rPr>
          <w:rFonts w:ascii="Arial" w:cs="Arial" w:eastAsia="Arial" w:hAnsi="Arial"/>
          <w:sz w:val="19"/>
          <w:szCs w:val="19"/>
          <w:color w:val="auto"/>
        </w:rPr>
        <w:t>”), Credit Acceptance Funding LLC 2018-2 (“</w:t>
      </w:r>
      <w:r>
        <w:rPr>
          <w:rFonts w:ascii="Arial" w:cs="Arial" w:eastAsia="Arial" w:hAnsi="Arial"/>
          <w:sz w:val="19"/>
          <w:szCs w:val="19"/>
          <w:u w:val="single" w:color="auto"/>
          <w:color w:val="auto"/>
        </w:rPr>
        <w:t>Funding 2018-2</w:t>
      </w:r>
      <w:r>
        <w:rPr>
          <w:rFonts w:ascii="Arial" w:cs="Arial" w:eastAsia="Arial" w:hAnsi="Arial"/>
          <w:sz w:val="19"/>
          <w:szCs w:val="19"/>
          <w:color w:val="auto"/>
        </w:rPr>
        <w:t>”), Credit Acceptance Funding LLC 2018-1 (“</w:t>
      </w:r>
      <w:r>
        <w:rPr>
          <w:rFonts w:ascii="Arial" w:cs="Arial" w:eastAsia="Arial" w:hAnsi="Arial"/>
          <w:sz w:val="19"/>
          <w:szCs w:val="19"/>
          <w:u w:val="single" w:color="auto"/>
          <w:color w:val="auto"/>
        </w:rPr>
        <w:t>Funding 2018-1</w:t>
      </w:r>
      <w:r>
        <w:rPr>
          <w:rFonts w:ascii="Arial" w:cs="Arial" w:eastAsia="Arial" w:hAnsi="Arial"/>
          <w:sz w:val="19"/>
          <w:szCs w:val="19"/>
          <w:color w:val="auto"/>
        </w:rPr>
        <w:t>”), Credit Acceptance Funding LLC 2017-3 (“</w:t>
      </w:r>
      <w:r>
        <w:rPr>
          <w:rFonts w:ascii="Arial" w:cs="Arial" w:eastAsia="Arial" w:hAnsi="Arial"/>
          <w:sz w:val="19"/>
          <w:szCs w:val="19"/>
          <w:u w:val="single" w:color="auto"/>
          <w:color w:val="auto"/>
        </w:rPr>
        <w:t>Funding 2017-3</w:t>
      </w:r>
      <w:r>
        <w:rPr>
          <w:rFonts w:ascii="Arial" w:cs="Arial" w:eastAsia="Arial" w:hAnsi="Arial"/>
          <w:sz w:val="19"/>
          <w:szCs w:val="19"/>
          <w:color w:val="auto"/>
        </w:rPr>
        <w:t>”, and each of Funding 2017-3, Funding 2018-1, Funding 2018-2, Funding 2018-3, Funding 2019-1, Funding 2019-2, Funding 2019-3, Funding 2020-1, Funding 2020-2, Funding 2020-3 and Funding 2021-1, a “</w:t>
      </w:r>
      <w:r>
        <w:rPr>
          <w:rFonts w:ascii="Arial" w:cs="Arial" w:eastAsia="Arial" w:hAnsi="Arial"/>
          <w:sz w:val="19"/>
          <w:szCs w:val="19"/>
          <w:u w:val="single" w:color="auto"/>
          <w:color w:val="auto"/>
        </w:rPr>
        <w:t>Funding</w:t>
      </w:r>
      <w:r>
        <w:rPr>
          <w:rFonts w:ascii="Arial" w:cs="Arial" w:eastAsia="Arial" w:hAnsi="Arial"/>
          <w:sz w:val="19"/>
          <w:szCs w:val="19"/>
          <w:color w:val="auto"/>
        </w:rPr>
        <w:t>” ), Credit Acceptance Auto Loan Trust 2020-3 (“</w:t>
      </w:r>
      <w:r>
        <w:rPr>
          <w:rFonts w:ascii="Arial" w:cs="Arial" w:eastAsia="Arial" w:hAnsi="Arial"/>
          <w:sz w:val="19"/>
          <w:szCs w:val="19"/>
          <w:u w:val="single" w:color="auto"/>
          <w:color w:val="auto"/>
        </w:rPr>
        <w:t>2020-3 Trust</w:t>
      </w:r>
      <w:r>
        <w:rPr>
          <w:rFonts w:ascii="Arial" w:cs="Arial" w:eastAsia="Arial" w:hAnsi="Arial"/>
          <w:sz w:val="19"/>
          <w:szCs w:val="19"/>
          <w:color w:val="auto"/>
        </w:rPr>
        <w:t>”), Credit Acceptance Auto Loan Trust 2020-2 (“</w:t>
      </w:r>
      <w:r>
        <w:rPr>
          <w:rFonts w:ascii="Arial" w:cs="Arial" w:eastAsia="Arial" w:hAnsi="Arial"/>
          <w:sz w:val="19"/>
          <w:szCs w:val="19"/>
          <w:u w:val="single" w:color="auto"/>
          <w:color w:val="auto"/>
        </w:rPr>
        <w:t>2020-2 Trust</w:t>
      </w:r>
      <w:r>
        <w:rPr>
          <w:rFonts w:ascii="Arial" w:cs="Arial" w:eastAsia="Arial" w:hAnsi="Arial"/>
          <w:sz w:val="19"/>
          <w:szCs w:val="19"/>
          <w:color w:val="auto"/>
        </w:rPr>
        <w:t>”), Credit Acceptance Auto Loan Trust 2020-1 (“</w:t>
      </w:r>
      <w:r>
        <w:rPr>
          <w:rFonts w:ascii="Arial" w:cs="Arial" w:eastAsia="Arial" w:hAnsi="Arial"/>
          <w:sz w:val="19"/>
          <w:szCs w:val="19"/>
          <w:u w:val="single" w:color="auto"/>
          <w:color w:val="auto"/>
        </w:rPr>
        <w:t>2020-1 Trust</w:t>
      </w:r>
      <w:r>
        <w:rPr>
          <w:rFonts w:ascii="Arial" w:cs="Arial" w:eastAsia="Arial" w:hAnsi="Arial"/>
          <w:sz w:val="19"/>
          <w:szCs w:val="19"/>
          <w:color w:val="auto"/>
        </w:rPr>
        <w:t>”), Credit Acceptance Auto Loan Trust 2019-3 (“</w:t>
      </w:r>
      <w:r>
        <w:rPr>
          <w:rFonts w:ascii="Arial" w:cs="Arial" w:eastAsia="Arial" w:hAnsi="Arial"/>
          <w:sz w:val="19"/>
          <w:szCs w:val="19"/>
          <w:u w:val="single" w:color="auto"/>
          <w:color w:val="auto"/>
        </w:rPr>
        <w:t>2019-3 Trust</w:t>
      </w:r>
      <w:r>
        <w:rPr>
          <w:rFonts w:ascii="Arial" w:cs="Arial" w:eastAsia="Arial" w:hAnsi="Arial"/>
          <w:sz w:val="19"/>
          <w:szCs w:val="19"/>
          <w:color w:val="auto"/>
        </w:rPr>
        <w:t>”), Credit Acceptance Auto Loan Trust 2019-1 (“</w:t>
      </w:r>
      <w:r>
        <w:rPr>
          <w:rFonts w:ascii="Arial" w:cs="Arial" w:eastAsia="Arial" w:hAnsi="Arial"/>
          <w:sz w:val="19"/>
          <w:szCs w:val="19"/>
          <w:u w:val="single" w:color="auto"/>
          <w:color w:val="auto"/>
        </w:rPr>
        <w:t>2019-1 Trust</w:t>
      </w:r>
      <w:r>
        <w:rPr>
          <w:rFonts w:ascii="Arial" w:cs="Arial" w:eastAsia="Arial" w:hAnsi="Arial"/>
          <w:sz w:val="19"/>
          <w:szCs w:val="19"/>
          <w:color w:val="auto"/>
        </w:rPr>
        <w:t>”), Credit Acceptance Auto Loan Trust 2018-3 (“</w:t>
      </w:r>
      <w:r>
        <w:rPr>
          <w:rFonts w:ascii="Arial" w:cs="Arial" w:eastAsia="Arial" w:hAnsi="Arial"/>
          <w:sz w:val="19"/>
          <w:szCs w:val="19"/>
          <w:u w:val="single" w:color="auto"/>
          <w:color w:val="auto"/>
        </w:rPr>
        <w:t>2018-3 Trust</w:t>
      </w:r>
      <w:r>
        <w:rPr>
          <w:rFonts w:ascii="Arial" w:cs="Arial" w:eastAsia="Arial" w:hAnsi="Arial"/>
          <w:sz w:val="19"/>
          <w:szCs w:val="19"/>
          <w:color w:val="auto"/>
        </w:rPr>
        <w:t>”), Credit Acceptance Auto Loan Trust 2018-2 (“</w:t>
      </w:r>
      <w:r>
        <w:rPr>
          <w:rFonts w:ascii="Arial" w:cs="Arial" w:eastAsia="Arial" w:hAnsi="Arial"/>
          <w:sz w:val="19"/>
          <w:szCs w:val="19"/>
          <w:u w:val="single" w:color="auto"/>
          <w:color w:val="auto"/>
        </w:rPr>
        <w:t>2018-2 Trust</w:t>
      </w:r>
      <w:r>
        <w:rPr>
          <w:rFonts w:ascii="Arial" w:cs="Arial" w:eastAsia="Arial" w:hAnsi="Arial"/>
          <w:sz w:val="19"/>
          <w:szCs w:val="19"/>
          <w:color w:val="auto"/>
        </w:rPr>
        <w:t>”), Credit Acceptance Auto Loan Trust 2018-1 (“</w:t>
      </w:r>
      <w:r>
        <w:rPr>
          <w:rFonts w:ascii="Arial" w:cs="Arial" w:eastAsia="Arial" w:hAnsi="Arial"/>
          <w:sz w:val="19"/>
          <w:szCs w:val="19"/>
          <w:u w:val="single" w:color="auto"/>
          <w:color w:val="auto"/>
        </w:rPr>
        <w:t>2018-1 Trust</w:t>
      </w:r>
      <w:r>
        <w:rPr>
          <w:rFonts w:ascii="Arial" w:cs="Arial" w:eastAsia="Arial" w:hAnsi="Arial"/>
          <w:sz w:val="19"/>
          <w:szCs w:val="19"/>
          <w:color w:val="auto"/>
        </w:rPr>
        <w:t>”), Credit Acceptance Auto Loan Trust 2017-3 (the “</w:t>
      </w:r>
      <w:r>
        <w:rPr>
          <w:rFonts w:ascii="Arial" w:cs="Arial" w:eastAsia="Arial" w:hAnsi="Arial"/>
          <w:sz w:val="19"/>
          <w:szCs w:val="19"/>
          <w:u w:val="single" w:color="auto"/>
          <w:color w:val="auto"/>
        </w:rPr>
        <w:t>2017-3 Trust</w:t>
      </w:r>
      <w:r>
        <w:rPr>
          <w:rFonts w:ascii="Arial" w:cs="Arial" w:eastAsia="Arial" w:hAnsi="Arial"/>
          <w:sz w:val="19"/>
          <w:szCs w:val="19"/>
          <w:color w:val="auto"/>
        </w:rPr>
        <w:t>”, and collectively with the 2018-1 Trust, the 2018-2 Trust, the 2018-3 Trust, the 2019-1 Trust, the 2019-3 Trust, the 2020-1 Trust, the 2020-2 Trust and the 2020-3 Trust, the “</w:t>
      </w:r>
      <w:r>
        <w:rPr>
          <w:rFonts w:ascii="Arial" w:cs="Arial" w:eastAsia="Arial" w:hAnsi="Arial"/>
          <w:sz w:val="19"/>
          <w:szCs w:val="19"/>
          <w:u w:val="single" w:color="auto"/>
          <w:color w:val="auto"/>
        </w:rPr>
        <w:t>Trusts</w:t>
      </w:r>
      <w:r>
        <w:rPr>
          <w:rFonts w:ascii="Arial" w:cs="Arial" w:eastAsia="Arial" w:hAnsi="Arial"/>
          <w:sz w:val="19"/>
          <w:szCs w:val="19"/>
          <w:color w:val="auto"/>
        </w:rPr>
        <w:t>” and each a “</w:t>
      </w:r>
      <w:r>
        <w:rPr>
          <w:rFonts w:ascii="Arial" w:cs="Arial" w:eastAsia="Arial" w:hAnsi="Arial"/>
          <w:sz w:val="19"/>
          <w:szCs w:val="19"/>
          <w:u w:val="single" w:color="auto"/>
          <w:color w:val="auto"/>
        </w:rPr>
        <w:t>Trust</w:t>
      </w:r>
      <w:r>
        <w:rPr>
          <w:rFonts w:ascii="Arial" w:cs="Arial" w:eastAsia="Arial" w:hAnsi="Arial"/>
          <w:sz w:val="19"/>
          <w:szCs w:val="19"/>
          <w:color w:val="auto"/>
        </w:rPr>
        <w:t>”), Fifth Third Bank, National Association, as collateral agent under the 2021-1 Financing Documents (in such capacity, the “</w:t>
      </w:r>
      <w:r>
        <w:rPr>
          <w:rFonts w:ascii="Arial" w:cs="Arial" w:eastAsia="Arial" w:hAnsi="Arial"/>
          <w:sz w:val="19"/>
          <w:szCs w:val="19"/>
          <w:u w:val="single" w:color="auto"/>
          <w:color w:val="auto"/>
        </w:rPr>
        <w:t>2021-1 Collateral Agent</w:t>
      </w:r>
      <w:r>
        <w:rPr>
          <w:rFonts w:ascii="Arial" w:cs="Arial" w:eastAsia="Arial" w:hAnsi="Arial"/>
          <w:sz w:val="19"/>
          <w:szCs w:val="19"/>
          <w:color w:val="auto"/>
        </w:rPr>
        <w:t>”), Wells Fargo Bank, National Association, as indenture trustee and trust collateral agent under the 2020-3 Securitization Documents (in either such capacity, the “</w:t>
      </w:r>
      <w:r>
        <w:rPr>
          <w:rFonts w:ascii="Arial" w:cs="Arial" w:eastAsia="Arial" w:hAnsi="Arial"/>
          <w:sz w:val="19"/>
          <w:szCs w:val="19"/>
          <w:u w:val="single" w:color="auto"/>
          <w:color w:val="auto"/>
        </w:rPr>
        <w:t>2020-3 Trustee</w:t>
      </w:r>
      <w:r>
        <w:rPr>
          <w:rFonts w:ascii="Arial" w:cs="Arial" w:eastAsia="Arial" w:hAnsi="Arial"/>
          <w:sz w:val="19"/>
          <w:szCs w:val="19"/>
          <w:color w:val="auto"/>
        </w:rPr>
        <w:t>”, as the context requires), Wells Fargo Bank, National Association, as indenture trustee and trust collateral agent under the 2020-2 Securitization Documents (in either such capacity, the “</w:t>
      </w:r>
      <w:r>
        <w:rPr>
          <w:rFonts w:ascii="Arial" w:cs="Arial" w:eastAsia="Arial" w:hAnsi="Arial"/>
          <w:sz w:val="19"/>
          <w:szCs w:val="19"/>
          <w:u w:val="single" w:color="auto"/>
          <w:color w:val="auto"/>
        </w:rPr>
        <w:t>2020-2 Trustee</w:t>
      </w:r>
      <w:r>
        <w:rPr>
          <w:rFonts w:ascii="Arial" w:cs="Arial" w:eastAsia="Arial" w:hAnsi="Arial"/>
          <w:sz w:val="19"/>
          <w:szCs w:val="19"/>
          <w:color w:val="auto"/>
        </w:rPr>
        <w:t>”, as the context requires), Wells Fargo Bank, National Association, as indenture trustee and trust collateral agent under the 2020-1 Securitization Documents (in either such capacity, the “</w:t>
      </w:r>
      <w:r>
        <w:rPr>
          <w:rFonts w:ascii="Arial" w:cs="Arial" w:eastAsia="Arial" w:hAnsi="Arial"/>
          <w:sz w:val="19"/>
          <w:szCs w:val="19"/>
          <w:u w:val="single" w:color="auto"/>
          <w:color w:val="auto"/>
        </w:rPr>
        <w:t>2020-1 Trustee</w:t>
      </w:r>
      <w:r>
        <w:rPr>
          <w:rFonts w:ascii="Arial" w:cs="Arial" w:eastAsia="Arial" w:hAnsi="Arial"/>
          <w:sz w:val="19"/>
          <w:szCs w:val="19"/>
          <w:color w:val="auto"/>
        </w:rPr>
        <w:t>”, as the context requires), Wells Fargo Bank, National Association, as indenture trustee and trust collateral agent under the 2019-3 Securitization Documents (in either such capacity, the “</w:t>
      </w:r>
      <w:r>
        <w:rPr>
          <w:rFonts w:ascii="Arial" w:cs="Arial" w:eastAsia="Arial" w:hAnsi="Arial"/>
          <w:sz w:val="19"/>
          <w:szCs w:val="19"/>
          <w:u w:val="single" w:color="auto"/>
          <w:color w:val="auto"/>
        </w:rPr>
        <w:t>2019-3 Trustee</w:t>
      </w:r>
      <w:r>
        <w:rPr>
          <w:rFonts w:ascii="Arial" w:cs="Arial" w:eastAsia="Arial" w:hAnsi="Arial"/>
          <w:sz w:val="19"/>
          <w:szCs w:val="19"/>
          <w:color w:val="auto"/>
        </w:rPr>
        <w:t>”, as the context requires), Wells Fargo Bank, National Association, as collateral agent under the Wells Fargo Warehouse Documents (“</w:t>
      </w:r>
      <w:r>
        <w:rPr>
          <w:rFonts w:ascii="Arial" w:cs="Arial" w:eastAsia="Arial" w:hAnsi="Arial"/>
          <w:sz w:val="19"/>
          <w:szCs w:val="19"/>
          <w:u w:val="single" w:color="auto"/>
          <w:color w:val="auto"/>
        </w:rPr>
        <w:t>Wells</w:t>
      </w:r>
      <w:r>
        <w:rPr>
          <w:rFonts w:ascii="Arial" w:cs="Arial" w:eastAsia="Arial" w:hAnsi="Arial"/>
          <w:sz w:val="19"/>
          <w:szCs w:val="19"/>
          <w:color w:val="auto"/>
        </w:rPr>
        <w:t xml:space="preserve"> </w:t>
      </w:r>
      <w:r>
        <w:rPr>
          <w:rFonts w:ascii="Arial" w:cs="Arial" w:eastAsia="Arial" w:hAnsi="Arial"/>
          <w:sz w:val="19"/>
          <w:szCs w:val="19"/>
          <w:u w:val="single" w:color="auto"/>
          <w:color w:val="auto"/>
        </w:rPr>
        <w:t>Fargo</w:t>
      </w:r>
      <w:r>
        <w:rPr>
          <w:rFonts w:ascii="Arial" w:cs="Arial" w:eastAsia="Arial" w:hAnsi="Arial"/>
          <w:sz w:val="19"/>
          <w:szCs w:val="19"/>
          <w:color w:val="auto"/>
        </w:rPr>
        <w:t>”), Fifth Third Bank, National Association (formerly known as Fifth Third Bank), as agent under the Fifth Third Warehouse Documents (“</w:t>
      </w:r>
      <w:r>
        <w:rPr>
          <w:rFonts w:ascii="Arial" w:cs="Arial" w:eastAsia="Arial" w:hAnsi="Arial"/>
          <w:sz w:val="19"/>
          <w:szCs w:val="19"/>
          <w:u w:val="single" w:color="auto"/>
          <w:color w:val="auto"/>
        </w:rPr>
        <w:t>Fifth Third</w:t>
      </w:r>
      <w:r>
        <w:rPr>
          <w:rFonts w:ascii="Arial" w:cs="Arial" w:eastAsia="Arial" w:hAnsi="Arial"/>
          <w:sz w:val="19"/>
          <w:szCs w:val="19"/>
          <w:color w:val="auto"/>
        </w:rPr>
        <w:t>”), Wells Fargo Bank, National Association, as collateral agent under the 2019-2 Financing Documents (in such capacity, the “</w:t>
      </w:r>
      <w:r>
        <w:rPr>
          <w:rFonts w:ascii="Arial" w:cs="Arial" w:eastAsia="Arial" w:hAnsi="Arial"/>
          <w:sz w:val="19"/>
          <w:szCs w:val="19"/>
          <w:u w:val="single" w:color="auto"/>
          <w:color w:val="auto"/>
        </w:rPr>
        <w:t>2019-2 Collateral Agent</w:t>
      </w:r>
      <w:r>
        <w:rPr>
          <w:rFonts w:ascii="Arial" w:cs="Arial" w:eastAsia="Arial" w:hAnsi="Arial"/>
          <w:sz w:val="19"/>
          <w:szCs w:val="19"/>
          <w:color w:val="auto"/>
        </w:rPr>
        <w:t>”), Wells Fargo Bank, National Association, as indenture trustee and trust collateral agent under the 2019-1 Securitization Documents (in either such capacity, the “</w:t>
      </w:r>
      <w:r>
        <w:rPr>
          <w:rFonts w:ascii="Arial" w:cs="Arial" w:eastAsia="Arial" w:hAnsi="Arial"/>
          <w:sz w:val="19"/>
          <w:szCs w:val="19"/>
          <w:u w:val="single" w:color="auto"/>
          <w:color w:val="auto"/>
        </w:rPr>
        <w:t>2019-1 Trustee</w:t>
      </w:r>
      <w:r>
        <w:rPr>
          <w:rFonts w:ascii="Arial" w:cs="Arial" w:eastAsia="Arial" w:hAnsi="Arial"/>
          <w:sz w:val="19"/>
          <w:szCs w:val="19"/>
          <w:color w:val="auto"/>
        </w:rPr>
        <w:t>”, as the context requires), Wells Fargo Bank, National Association, as indenture trustee and trust collateral agent under the 2018-3 Securitization Documents (in either such capacity, the “</w:t>
      </w:r>
      <w:r>
        <w:rPr>
          <w:rFonts w:ascii="Arial" w:cs="Arial" w:eastAsia="Arial" w:hAnsi="Arial"/>
          <w:sz w:val="19"/>
          <w:szCs w:val="19"/>
          <w:u w:val="single" w:color="auto"/>
          <w:color w:val="auto"/>
        </w:rPr>
        <w:t>2018-3 Trustee</w:t>
      </w:r>
      <w:r>
        <w:rPr>
          <w:rFonts w:ascii="Arial" w:cs="Arial" w:eastAsia="Arial" w:hAnsi="Arial"/>
          <w:sz w:val="19"/>
          <w:szCs w:val="19"/>
          <w:color w:val="auto"/>
        </w:rPr>
        <w:t>”, as the context requires), Wells Fargo Bank, National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1988192-NYCSR03A - MSW</w:t>
      </w:r>
    </w:p>
    <w:p>
      <w:pPr>
        <w:sectPr>
          <w:pgSz w:w="11900" w:h="16838" w:orient="portrait"/>
          <w:cols w:equalWidth="0" w:num="1">
            <w:col w:w="11240"/>
          </w:cols>
          <w:pgMar w:left="320" w:top="1422" w:right="339" w:bottom="1440" w:gutter="0" w:footer="0" w:header="0"/>
        </w:sectPr>
      </w:pPr>
    </w:p>
    <w:bookmarkStart w:id="207" w:name="page208"/>
    <w:bookmarkEnd w:id="207"/>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Association, as indenture trustee and trust collateral agent under the 2018-2 Securitization Documents (in either such capacity, the “</w:t>
      </w:r>
      <w:r>
        <w:rPr>
          <w:rFonts w:ascii="Arial" w:cs="Arial" w:eastAsia="Arial" w:hAnsi="Arial"/>
          <w:sz w:val="19"/>
          <w:szCs w:val="19"/>
          <w:u w:val="single" w:color="auto"/>
          <w:color w:val="auto"/>
        </w:rPr>
        <w:t>2018-2 Trustee</w:t>
      </w:r>
      <w:r>
        <w:rPr>
          <w:rFonts w:ascii="Arial" w:cs="Arial" w:eastAsia="Arial" w:hAnsi="Arial"/>
          <w:sz w:val="19"/>
          <w:szCs w:val="19"/>
          <w:color w:val="auto"/>
        </w:rPr>
        <w:t>”, as the context requires), Wells Fargo Bank, National Association, as indenture trustee and trust collateral agent under the 2018-1 Securitization Documents (in either such capacity, the “</w:t>
      </w:r>
      <w:r>
        <w:rPr>
          <w:rFonts w:ascii="Arial" w:cs="Arial" w:eastAsia="Arial" w:hAnsi="Arial"/>
          <w:sz w:val="19"/>
          <w:szCs w:val="19"/>
          <w:u w:val="single" w:color="auto"/>
          <w:color w:val="auto"/>
        </w:rPr>
        <w:t>2018-1 Trustee</w:t>
      </w:r>
      <w:r>
        <w:rPr>
          <w:rFonts w:ascii="Arial" w:cs="Arial" w:eastAsia="Arial" w:hAnsi="Arial"/>
          <w:sz w:val="19"/>
          <w:szCs w:val="19"/>
          <w:color w:val="auto"/>
        </w:rPr>
        <w:t>”, as the context requires), Wells Fargo Bank, National Association, as indenture trustee and trust collateral agent under the 2017-3 Securitization Documents (in either such capacity, the “</w:t>
      </w:r>
      <w:r>
        <w:rPr>
          <w:rFonts w:ascii="Arial" w:cs="Arial" w:eastAsia="Arial" w:hAnsi="Arial"/>
          <w:sz w:val="19"/>
          <w:szCs w:val="19"/>
          <w:u w:val="single" w:color="auto"/>
          <w:color w:val="auto"/>
        </w:rPr>
        <w:t>2017-3 Trustee</w:t>
      </w:r>
      <w:r>
        <w:rPr>
          <w:rFonts w:ascii="Arial" w:cs="Arial" w:eastAsia="Arial" w:hAnsi="Arial"/>
          <w:sz w:val="19"/>
          <w:szCs w:val="19"/>
          <w:color w:val="auto"/>
        </w:rPr>
        <w:t>”, as the context requires), Bank of Montreal, as collateral agent under the BMO Warehouse Documents (“</w:t>
      </w:r>
      <w:r>
        <w:rPr>
          <w:rFonts w:ascii="Arial" w:cs="Arial" w:eastAsia="Arial" w:hAnsi="Arial"/>
          <w:sz w:val="19"/>
          <w:szCs w:val="19"/>
          <w:u w:val="single" w:color="auto"/>
          <w:color w:val="auto"/>
        </w:rPr>
        <w:t>BMO</w:t>
      </w:r>
      <w:r>
        <w:rPr>
          <w:rFonts w:ascii="Arial" w:cs="Arial" w:eastAsia="Arial" w:hAnsi="Arial"/>
          <w:sz w:val="19"/>
          <w:szCs w:val="19"/>
          <w:color w:val="auto"/>
        </w:rPr>
        <w:t>”), Flagstar Bank, FSB, as collateral agent under the Flagstar Warehouse Documents (“</w:t>
      </w:r>
      <w:r>
        <w:rPr>
          <w:rFonts w:ascii="Arial" w:cs="Arial" w:eastAsia="Arial" w:hAnsi="Arial"/>
          <w:sz w:val="19"/>
          <w:szCs w:val="19"/>
          <w:u w:val="single" w:color="auto"/>
          <w:color w:val="auto"/>
        </w:rPr>
        <w:t>Flagstar</w:t>
      </w:r>
      <w:r>
        <w:rPr>
          <w:rFonts w:ascii="Arial" w:cs="Arial" w:eastAsia="Arial" w:hAnsi="Arial"/>
          <w:sz w:val="19"/>
          <w:szCs w:val="19"/>
          <w:color w:val="auto"/>
        </w:rPr>
        <w:t>”), Wells Fargo Bank, National Association, as collateral agent under the Credit Suisse Warehouse Documents (in such capacity, the “</w:t>
      </w:r>
      <w:r>
        <w:rPr>
          <w:rFonts w:ascii="Arial" w:cs="Arial" w:eastAsia="Arial" w:hAnsi="Arial"/>
          <w:sz w:val="19"/>
          <w:szCs w:val="19"/>
          <w:u w:val="single" w:color="auto"/>
          <w:color w:val="auto"/>
        </w:rPr>
        <w:t>Credit Suisse Warehouse Collateral Agent</w:t>
      </w:r>
      <w:r>
        <w:rPr>
          <w:rFonts w:ascii="Arial" w:cs="Arial" w:eastAsia="Arial" w:hAnsi="Arial"/>
          <w:sz w:val="19"/>
          <w:szCs w:val="19"/>
          <w:color w:val="auto"/>
        </w:rPr>
        <w:t>”), Citizens Bank, N.A., as collateral agent under the Citizens Warehouse Documents (in such capacity, the “</w:t>
      </w:r>
      <w:r>
        <w:rPr>
          <w:rFonts w:ascii="Arial" w:cs="Arial" w:eastAsia="Arial" w:hAnsi="Arial"/>
          <w:sz w:val="19"/>
          <w:szCs w:val="19"/>
          <w:u w:val="single" w:color="auto"/>
          <w:color w:val="auto"/>
        </w:rPr>
        <w:t>Citizens</w:t>
      </w:r>
      <w:r>
        <w:rPr>
          <w:rFonts w:ascii="Arial" w:cs="Arial" w:eastAsia="Arial" w:hAnsi="Arial"/>
          <w:sz w:val="19"/>
          <w:szCs w:val="19"/>
          <w:color w:val="auto"/>
        </w:rPr>
        <w:t>”), Comerica Bank, as agent under the CAC Credit Facility Documents (“</w:t>
      </w:r>
      <w:r>
        <w:rPr>
          <w:rFonts w:ascii="Arial" w:cs="Arial" w:eastAsia="Arial" w:hAnsi="Arial"/>
          <w:sz w:val="19"/>
          <w:szCs w:val="19"/>
          <w:u w:val="single" w:color="auto"/>
          <w:color w:val="auto"/>
        </w:rPr>
        <w:t>Comerica</w:t>
      </w:r>
      <w:r>
        <w:rPr>
          <w:rFonts w:ascii="Arial" w:cs="Arial" w:eastAsia="Arial" w:hAnsi="Arial"/>
          <w:sz w:val="19"/>
          <w:szCs w:val="19"/>
          <w:color w:val="auto"/>
        </w:rPr>
        <w:t>”), and each other creditor who becomes a party hereto after the date hereof.</w:t>
      </w:r>
    </w:p>
    <w:p>
      <w:pPr>
        <w:spacing w:after="0" w:line="15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Capitalized terms used but not otherwise defined herein shall have the meaning set forth in Appendix A attached hereto and made part of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226" w:lineRule="exact"/>
        <w:rPr>
          <w:sz w:val="20"/>
          <w:szCs w:val="20"/>
          <w:color w:val="auto"/>
        </w:rPr>
      </w:pPr>
    </w:p>
    <w:p>
      <w:pPr>
        <w:ind w:right="120" w:firstLine="656"/>
        <w:spacing w:after="0" w:line="247" w:lineRule="auto"/>
        <w:tabs>
          <w:tab w:leader="none" w:pos="129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Pursuant to the terms of the various Dealer Agreements between CAC and the Dealers, Collections from a particular Pool are first used to pay certain collection costs, CAC’s servicing fee and to pay back the Pool’s Advance balance. After the Advance balance under such Pool has been reduced to zero, the Dealer to whom the Pool relates has a contractual right under the related Dealer Agreement to receive a portion of any further Collections with respect to the Pool (such portion of further Collections otherwise payable to the Dealer is referred to herein as “</w:t>
      </w:r>
      <w:r>
        <w:rPr>
          <w:rFonts w:ascii="Arial" w:cs="Arial" w:eastAsia="Arial" w:hAnsi="Arial"/>
          <w:sz w:val="22"/>
          <w:szCs w:val="22"/>
          <w:u w:val="single" w:color="auto"/>
          <w:color w:val="auto"/>
        </w:rPr>
        <w:t>Back-end Dealer Payments</w:t>
      </w:r>
      <w:r>
        <w:rPr>
          <w:rFonts w:ascii="Arial" w:cs="Arial" w:eastAsia="Arial" w:hAnsi="Arial"/>
          <w:sz w:val="22"/>
          <w:szCs w:val="22"/>
          <w:color w:val="auto"/>
        </w:rPr>
        <w:t>”), subject to CAC’s right of offset as described in paragraph U below.</w:t>
      </w:r>
    </w:p>
    <w:p>
      <w:pPr>
        <w:spacing w:after="0" w:line="192" w:lineRule="exact"/>
        <w:rPr>
          <w:rFonts w:ascii="Arial" w:cs="Arial" w:eastAsia="Arial" w:hAnsi="Arial"/>
          <w:sz w:val="22"/>
          <w:szCs w:val="22"/>
          <w:color w:val="auto"/>
        </w:rPr>
      </w:pPr>
    </w:p>
    <w:p>
      <w:pPr>
        <w:ind w:right="20" w:firstLine="656"/>
        <w:spacing w:after="0" w:line="253" w:lineRule="auto"/>
        <w:tabs>
          <w:tab w:leader="none" w:pos="1292"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CAC has granted a security interest in CAC’s rights with respect to its Pools (to the extent not released) and related assets generally under the CAC Credit Facility Documents to Comerica, as collateral agent for the banks which are parties thereto.</w:t>
      </w:r>
    </w:p>
    <w:p>
      <w:pPr>
        <w:spacing w:after="0" w:line="185" w:lineRule="exact"/>
        <w:rPr>
          <w:rFonts w:ascii="Arial" w:cs="Arial" w:eastAsia="Arial" w:hAnsi="Arial"/>
          <w:sz w:val="22"/>
          <w:szCs w:val="22"/>
          <w:color w:val="auto"/>
        </w:rPr>
      </w:pPr>
    </w:p>
    <w:p>
      <w:pPr>
        <w:ind w:right="240" w:firstLine="656"/>
        <w:spacing w:after="0" w:line="292" w:lineRule="auto"/>
        <w:tabs>
          <w:tab w:leader="none" w:pos="129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CAC, Wells Fargo and certain other parties entered into a transaction as set forth in the Wells Fargo Warehouse Documents (the “</w:t>
      </w:r>
      <w:r>
        <w:rPr>
          <w:rFonts w:ascii="Arial" w:cs="Arial" w:eastAsia="Arial" w:hAnsi="Arial"/>
          <w:sz w:val="19"/>
          <w:szCs w:val="19"/>
          <w:u w:val="single" w:color="auto"/>
          <w:color w:val="auto"/>
        </w:rPr>
        <w:t>Wells Fargo Warehouse</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Wells Fargo Warehouse Documents will be) released by Comerica, CAC contributed (and will contribute) such Pools, Purchased Loans and related assets to its wholly-owned subsidiary, Warehouse Funding II, and Warehouse Funding II granted Wells Fargo, in its capacity as collateral agent, a security interest in Warehouse Funding II’s rights to such Pools, Purchased Loans and related assets (such Pools, Purchased Loans and related assets are referred to herein as the “</w:t>
      </w:r>
      <w:r>
        <w:rPr>
          <w:rFonts w:ascii="Arial" w:cs="Arial" w:eastAsia="Arial" w:hAnsi="Arial"/>
          <w:sz w:val="19"/>
          <w:szCs w:val="19"/>
          <w:u w:val="single" w:color="auto"/>
          <w:color w:val="auto"/>
        </w:rPr>
        <w:t>Wells Fargo Warehouse Loans</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right="340" w:firstLine="656"/>
        <w:spacing w:after="0" w:line="253" w:lineRule="auto"/>
        <w:tabs>
          <w:tab w:leader="none" w:pos="129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CAC, Fifth Third and certain other parties entered into a transaction as set forth in the Fifth Third Warehouse Documents (the “</w:t>
      </w:r>
      <w:r>
        <w:rPr>
          <w:rFonts w:ascii="Arial" w:cs="Arial" w:eastAsia="Arial" w:hAnsi="Arial"/>
          <w:sz w:val="22"/>
          <w:szCs w:val="22"/>
          <w:u w:val="single" w:color="auto"/>
          <w:color w:val="auto"/>
        </w:rPr>
        <w:t>Fifth Third Warehouse</w:t>
      </w:r>
      <w:r>
        <w:rPr>
          <w:rFonts w:ascii="Arial" w:cs="Arial" w:eastAsia="Arial" w:hAnsi="Arial"/>
          <w:sz w:val="22"/>
          <w:szCs w:val="22"/>
          <w:color w:val="auto"/>
        </w:rPr>
        <w:t>”) pursuant to which the security interest with respect to certain specifically identified Pools, Purchased Loans and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assets was (and during the revolving period under the Fifth Third Warehouse Documents will be) released by Comerica, CAC contributed (and will contribute) such Pools, Purchased Loans and related assets to its wholly-owned subsidiary, Warehouse Funding V, and Warehouse Funding V granted Fifth Third, in its capacity as collateral agent, a security interest in Warehouse Funding V’s rights to such Pools, Purchased Loans and related assets (such Pools, Purchased Loans and related assets are referred to herein as the “</w:t>
      </w:r>
      <w:r>
        <w:rPr>
          <w:rFonts w:ascii="Arial" w:cs="Arial" w:eastAsia="Arial" w:hAnsi="Arial"/>
          <w:sz w:val="22"/>
          <w:szCs w:val="22"/>
          <w:u w:val="single" w:color="auto"/>
          <w:color w:val="auto"/>
        </w:rPr>
        <w:t>Fifth Third Loans</w:t>
      </w:r>
      <w:r>
        <w:rPr>
          <w:rFonts w:ascii="Arial" w:cs="Arial" w:eastAsia="Arial" w:hAnsi="Arial"/>
          <w:sz w:val="22"/>
          <w:szCs w:val="22"/>
          <w:color w:val="auto"/>
        </w:rPr>
        <w:t>”).</w:t>
      </w:r>
    </w:p>
    <w:p>
      <w:pPr>
        <w:spacing w:after="0" w:line="192" w:lineRule="exact"/>
        <w:rPr>
          <w:sz w:val="20"/>
          <w:szCs w:val="20"/>
          <w:color w:val="auto"/>
        </w:rPr>
      </w:pPr>
    </w:p>
    <w:p>
      <w:pPr>
        <w:ind w:firstLine="656"/>
        <w:spacing w:after="0" w:line="260" w:lineRule="auto"/>
        <w:tabs>
          <w:tab w:leader="none" w:pos="1293" w:val="left"/>
        </w:tabs>
        <w:numPr>
          <w:ilvl w:val="0"/>
          <w:numId w:val="204"/>
        </w:numPr>
        <w:rPr>
          <w:rFonts w:ascii="Arial" w:cs="Arial" w:eastAsia="Arial" w:hAnsi="Arial"/>
          <w:sz w:val="21"/>
          <w:szCs w:val="21"/>
          <w:color w:val="auto"/>
        </w:rPr>
      </w:pPr>
      <w:r>
        <w:rPr>
          <w:rFonts w:ascii="Arial" w:cs="Arial" w:eastAsia="Arial" w:hAnsi="Arial"/>
          <w:sz w:val="21"/>
          <w:szCs w:val="21"/>
          <w:color w:val="auto"/>
        </w:rPr>
        <w:t>CAC, BMO and certain other parties entered into a transaction as set forth in the BMO Warehouse Documents (the “</w:t>
      </w:r>
      <w:r>
        <w:rPr>
          <w:rFonts w:ascii="Arial" w:cs="Arial" w:eastAsia="Arial" w:hAnsi="Arial"/>
          <w:sz w:val="21"/>
          <w:szCs w:val="21"/>
          <w:u w:val="single" w:color="auto"/>
          <w:color w:val="auto"/>
        </w:rPr>
        <w:t>BMO Warehouse</w:t>
      </w:r>
      <w:r>
        <w:rPr>
          <w:rFonts w:ascii="Arial" w:cs="Arial" w:eastAsia="Arial" w:hAnsi="Arial"/>
          <w:sz w:val="21"/>
          <w:szCs w:val="21"/>
          <w:color w:val="auto"/>
        </w:rPr>
        <w:t>”) pursuant to which the security interest with respect to certain specifically identified Pools, Purchased Loans and related assets was (and during the revolving period under the BMO Warehouse Documents will be) released by Comerica, CAC transferred (and will transfer) such Pools, Purchased Loans and related assets to its wholly-owned subsidiary, Warehouse Funding IV, and Warehouse Funding IV granted BMO, in its capacity as collateral agent, a security interest in Warehouse Funding IV’s rights to such Pools, Purchased Loans and related assets (such Pools, Purchased Loans and related assets are referred to herein as the “</w:t>
      </w:r>
      <w:r>
        <w:rPr>
          <w:rFonts w:ascii="Arial" w:cs="Arial" w:eastAsia="Arial" w:hAnsi="Arial"/>
          <w:sz w:val="21"/>
          <w:szCs w:val="21"/>
          <w:u w:val="single" w:color="auto"/>
          <w:color w:val="auto"/>
        </w:rPr>
        <w:t>BMO Warehouse Loans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firstLine="656"/>
        <w:spacing w:after="0" w:line="292" w:lineRule="auto"/>
        <w:tabs>
          <w:tab w:leader="none" w:pos="127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CAC, Flagstar and certain other parties entered into a transaction as set forth in the Flagstar Warehouse Documents (the “</w:t>
      </w:r>
      <w:r>
        <w:rPr>
          <w:rFonts w:ascii="Arial" w:cs="Arial" w:eastAsia="Arial" w:hAnsi="Arial"/>
          <w:sz w:val="19"/>
          <w:szCs w:val="19"/>
          <w:u w:val="single" w:color="auto"/>
          <w:color w:val="auto"/>
        </w:rPr>
        <w:t>Flagstar Warehouse</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Flagstar Warehouse Documents will be) released by Comerica, CAC transferred (and will transfer) such Pools, Purchased Loans and related assets to its wholly-owned subsidiary, Warehouse Funding VI, and Warehouse Funding VI granted Flagstar, in its capacity as collateral agent, a security interest in Warehouse Funding VI’s rights to such Pools, Purchased Loans and related assets (such Pools, Purchased Loans and related assets are referred to herein as the “</w:t>
      </w:r>
      <w:r>
        <w:rPr>
          <w:rFonts w:ascii="Arial" w:cs="Arial" w:eastAsia="Arial" w:hAnsi="Arial"/>
          <w:sz w:val="19"/>
          <w:szCs w:val="19"/>
          <w:u w:val="single" w:color="auto"/>
          <w:color w:val="auto"/>
        </w:rPr>
        <w:t>Flagstar Warehouse Loans</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left="1300" w:hanging="644"/>
        <w:spacing w:after="0"/>
        <w:tabs>
          <w:tab w:leader="none" w:pos="13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CAC and the 2017-3 Trustee entered into a transaction as set forth in the 2017-3 Securitization Documents (the</w:t>
      </w:r>
    </w:p>
    <w:p>
      <w:pPr>
        <w:spacing w:after="0" w:line="56"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2017-3 Securitization</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2017-3 Securitization Documents will be) released by Comerica, CAC sold and contributed (and will sell and contribute) such Pools, Purchased Loans and related assets to its wholly-owned subsidiary, Funding 2017-3, which subsequently sold (and will sell) such Pools, Purchased Loans and related assets to the 2017-3 Trust, a trust the depositor of which is Funding 2017-3, and the 2017-3 Trust granted the 2017-3 Trustee a security interest in its right, title and interest in and to such Pools, Purchased Loans and related assets (such Pools, Purchased Loans and related assets are referred to herein as the “</w:t>
      </w:r>
      <w:r>
        <w:rPr>
          <w:rFonts w:ascii="Arial" w:cs="Arial" w:eastAsia="Arial" w:hAnsi="Arial"/>
          <w:sz w:val="19"/>
          <w:szCs w:val="19"/>
          <w:u w:val="single" w:color="auto"/>
          <w:color w:val="auto"/>
        </w:rPr>
        <w:t>2017-3 Loans</w:t>
      </w:r>
      <w:r>
        <w:rPr>
          <w:rFonts w:ascii="Arial" w:cs="Arial" w:eastAsia="Arial" w:hAnsi="Arial"/>
          <w:sz w:val="19"/>
          <w:szCs w:val="19"/>
          <w:color w:val="auto"/>
        </w:rPr>
        <w:t>”).</w:t>
      </w:r>
    </w:p>
    <w:p>
      <w:pPr>
        <w:spacing w:after="0" w:line="158" w:lineRule="exact"/>
        <w:rPr>
          <w:sz w:val="20"/>
          <w:szCs w:val="20"/>
          <w:color w:val="auto"/>
        </w:rPr>
      </w:pPr>
    </w:p>
    <w:p>
      <w:pPr>
        <w:ind w:right="80" w:firstLine="656"/>
        <w:spacing w:after="0" w:line="261" w:lineRule="auto"/>
        <w:tabs>
          <w:tab w:leader="none" w:pos="129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CAC and the 2018-1 Trustee entered into a transaction as set forth in the 2018-1 Securitization Documents (the “</w:t>
      </w:r>
      <w:r>
        <w:rPr>
          <w:rFonts w:ascii="Arial" w:cs="Arial" w:eastAsia="Arial" w:hAnsi="Arial"/>
          <w:sz w:val="21"/>
          <w:szCs w:val="21"/>
          <w:u w:val="single" w:color="auto"/>
          <w:color w:val="auto"/>
        </w:rPr>
        <w:t>2018-1 Securitization</w:t>
      </w:r>
      <w:r>
        <w:rPr>
          <w:rFonts w:ascii="Arial" w:cs="Arial" w:eastAsia="Arial" w:hAnsi="Arial"/>
          <w:sz w:val="21"/>
          <w:szCs w:val="21"/>
          <w:color w:val="auto"/>
        </w:rPr>
        <w:t>”) pursuant to which the security interest with respect to certain specifically identified Pools, Purchased Loans and related assets was (and during the revolving period under the 2018-1 Securitization Documents will be) released by Comerica, CAC sold and contributed (and will sell and contribute) such Pools, Purchased Loans and related assets to its wholly-owned subsidiary, Funding 2018-1, which subsequently sold (and will sell) such Pools, Purchased Loans and related assets to the 2018-1 Trust, a trust the depositor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204" w:lineRule="exact"/>
        <w:rPr>
          <w:sz w:val="20"/>
          <w:szCs w:val="20"/>
          <w:color w:val="auto"/>
        </w:rPr>
      </w:pPr>
    </w:p>
    <w:p>
      <w:pPr>
        <w:jc w:val="both"/>
        <w:ind w:right="240"/>
        <w:spacing w:after="0" w:line="253" w:lineRule="auto"/>
        <w:rPr>
          <w:sz w:val="20"/>
          <w:szCs w:val="20"/>
          <w:color w:val="auto"/>
        </w:rPr>
      </w:pPr>
      <w:r>
        <w:rPr>
          <w:rFonts w:ascii="Arial" w:cs="Arial" w:eastAsia="Arial" w:hAnsi="Arial"/>
          <w:sz w:val="22"/>
          <w:szCs w:val="22"/>
          <w:color w:val="auto"/>
        </w:rPr>
        <w:t>of which is Funding 2018-1, and the 2018-1 Trust granted the 2018-1 Trustee a security interest in its right, title and interest in and to such Pools, Purchased Loans and related assets (such Pools, Purchased Loans and related assets are referred to herein as the “</w:t>
      </w:r>
      <w:r>
        <w:rPr>
          <w:rFonts w:ascii="Arial" w:cs="Arial" w:eastAsia="Arial" w:hAnsi="Arial"/>
          <w:sz w:val="22"/>
          <w:szCs w:val="22"/>
          <w:u w:val="single" w:color="auto"/>
          <w:color w:val="auto"/>
        </w:rPr>
        <w:t>2018-1 Loans</w:t>
      </w:r>
      <w:r>
        <w:rPr>
          <w:rFonts w:ascii="Arial" w:cs="Arial" w:eastAsia="Arial" w:hAnsi="Arial"/>
          <w:sz w:val="22"/>
          <w:szCs w:val="22"/>
          <w:color w:val="auto"/>
        </w:rPr>
        <w:t>”).</w:t>
      </w:r>
    </w:p>
    <w:p>
      <w:pPr>
        <w:spacing w:after="0" w:line="185" w:lineRule="exact"/>
        <w:rPr>
          <w:sz w:val="20"/>
          <w:szCs w:val="20"/>
          <w:color w:val="auto"/>
        </w:rPr>
      </w:pPr>
    </w:p>
    <w:p>
      <w:pPr>
        <w:ind w:firstLine="656"/>
        <w:spacing w:after="0" w:line="290" w:lineRule="auto"/>
        <w:tabs>
          <w:tab w:leader="none" w:pos="1287" w:val="left"/>
        </w:tabs>
        <w:numPr>
          <w:ilvl w:val="0"/>
          <w:numId w:val="206"/>
        </w:numPr>
        <w:rPr>
          <w:rFonts w:ascii="Arial" w:cs="Arial" w:eastAsia="Arial" w:hAnsi="Arial"/>
          <w:sz w:val="19"/>
          <w:szCs w:val="19"/>
          <w:color w:val="auto"/>
        </w:rPr>
      </w:pPr>
      <w:r>
        <w:rPr>
          <w:rFonts w:ascii="Arial" w:cs="Arial" w:eastAsia="Arial" w:hAnsi="Arial"/>
          <w:sz w:val="19"/>
          <w:szCs w:val="19"/>
          <w:color w:val="auto"/>
        </w:rPr>
        <w:t>CAC, Credit Suisse AG, New York Branch (“</w:t>
      </w:r>
      <w:r>
        <w:rPr>
          <w:rFonts w:ascii="Arial" w:cs="Arial" w:eastAsia="Arial" w:hAnsi="Arial"/>
          <w:sz w:val="19"/>
          <w:szCs w:val="19"/>
          <w:u w:val="single" w:color="auto"/>
          <w:color w:val="auto"/>
        </w:rPr>
        <w:t>Credit Suisse</w:t>
      </w:r>
      <w:r>
        <w:rPr>
          <w:rFonts w:ascii="Arial" w:cs="Arial" w:eastAsia="Arial" w:hAnsi="Arial"/>
          <w:sz w:val="19"/>
          <w:szCs w:val="19"/>
          <w:color w:val="auto"/>
        </w:rPr>
        <w:t>”), the Credit Suisse Warehouse Collateral Agent and certain other parties entered into a transaction as set forth in the Credit Suisse Warehouse Documents (the “</w:t>
      </w:r>
      <w:r>
        <w:rPr>
          <w:rFonts w:ascii="Arial" w:cs="Arial" w:eastAsia="Arial" w:hAnsi="Arial"/>
          <w:sz w:val="19"/>
          <w:szCs w:val="19"/>
          <w:u w:val="single" w:color="auto"/>
          <w:color w:val="auto"/>
        </w:rPr>
        <w:t>Credit Suisse</w:t>
      </w:r>
      <w:r>
        <w:rPr>
          <w:rFonts w:ascii="Arial" w:cs="Arial" w:eastAsia="Arial" w:hAnsi="Arial"/>
          <w:sz w:val="19"/>
          <w:szCs w:val="19"/>
          <w:color w:val="auto"/>
        </w:rPr>
        <w:t xml:space="preserve"> </w:t>
      </w:r>
      <w:r>
        <w:rPr>
          <w:rFonts w:ascii="Arial" w:cs="Arial" w:eastAsia="Arial" w:hAnsi="Arial"/>
          <w:sz w:val="19"/>
          <w:szCs w:val="19"/>
          <w:u w:val="single" w:color="auto"/>
          <w:color w:val="auto"/>
        </w:rPr>
        <w:t>Warehouse</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Credit Suisse Warehouse Documents will be) released by Comerica, CAC transferred (and will transfer) such Pools, Purchased Loans and related assets to its wholly-owned subsidiary, Warehouse Funding VII, and Warehouse Funding VII granted the Credit Suisse Warehouse Collateral Agent, in its capacity as collateral agent, a security interest in Warehouse Funding VII’s rights to such Pools, Purchased Loans and related assets (such Pools, Purchased Loans and related assets are referred to herein as the “</w:t>
      </w:r>
      <w:r>
        <w:rPr>
          <w:rFonts w:ascii="Arial" w:cs="Arial" w:eastAsia="Arial" w:hAnsi="Arial"/>
          <w:sz w:val="19"/>
          <w:szCs w:val="19"/>
          <w:u w:val="single" w:color="auto"/>
          <w:color w:val="auto"/>
        </w:rPr>
        <w:t>Credit Suisse Warehouse Loans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CAC and the 2018-2 Trustee entered into a transaction as set forth in the 2018-2 Securitization Documents (the</w:t>
      </w:r>
    </w:p>
    <w:p>
      <w:pPr>
        <w:spacing w:after="0" w:line="56"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2018-2 Securitization</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2018-2 Securitization Documents will be) released by Comerica, CAC sold and contributed (and will sell and contribute) such Pools, Purchased Loans and related assets to its wholly-owned subsidiary, Funding 2018-2, which subsequently sold (and will sell) such Pools, Purchased Loans and related assets to the 2018-2 Trust, a trust the depositor of which is Funding 2018-2, and the 2018-2 Trust granted the 2018-2 Trustee a security interest in its right, title and interest in and to such Pools, Purchased Loans and related assets (such Pools, Purchased Loans and related assets are referred to herein as the “</w:t>
      </w:r>
      <w:r>
        <w:rPr>
          <w:rFonts w:ascii="Arial" w:cs="Arial" w:eastAsia="Arial" w:hAnsi="Arial"/>
          <w:sz w:val="19"/>
          <w:szCs w:val="19"/>
          <w:u w:val="single" w:color="auto"/>
          <w:color w:val="auto"/>
        </w:rPr>
        <w:t>2018-2 Loans</w:t>
      </w:r>
      <w:r>
        <w:rPr>
          <w:rFonts w:ascii="Arial" w:cs="Arial" w:eastAsia="Arial" w:hAnsi="Arial"/>
          <w:sz w:val="19"/>
          <w:szCs w:val="19"/>
          <w:color w:val="auto"/>
        </w:rPr>
        <w:t>”).</w:t>
      </w:r>
    </w:p>
    <w:p>
      <w:pPr>
        <w:spacing w:after="0" w:line="158" w:lineRule="exact"/>
        <w:rPr>
          <w:sz w:val="20"/>
          <w:szCs w:val="20"/>
          <w:color w:val="auto"/>
        </w:rPr>
      </w:pPr>
    </w:p>
    <w:p>
      <w:pPr>
        <w:ind w:right="60" w:firstLine="656"/>
        <w:spacing w:after="0" w:line="290" w:lineRule="auto"/>
        <w:tabs>
          <w:tab w:leader="none" w:pos="129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CAC and the 2018-3 Trustee entered into a transaction as set forth in the 2018-3 Securitization Documents (the “</w:t>
      </w:r>
      <w:r>
        <w:rPr>
          <w:rFonts w:ascii="Arial" w:cs="Arial" w:eastAsia="Arial" w:hAnsi="Arial"/>
          <w:sz w:val="19"/>
          <w:szCs w:val="19"/>
          <w:u w:val="single" w:color="auto"/>
          <w:color w:val="auto"/>
        </w:rPr>
        <w:t>2018-3 Securitization</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2018-3 Securitization Documents will be) released by Comerica, CAC sold and contributed (and will sell and contribute) such Pools, Purchased Loans and related assets to its wholly-owned subsidiary, Funding 2018-3, which subsequently sold (and will sell) such Pools, Purchased Loans and related assets to the 2018-3 Trust, a trust the depositor of which is Funding 2018-3, and the 2018-3 Trust granted the 2018-3 Trustee a security interest in its right, title and interest in and to such Pools, Purchased Loans and related assets (such Pools, Purchased Loans and related assets are referred to herein as the “</w:t>
      </w:r>
      <w:r>
        <w:rPr>
          <w:rFonts w:ascii="Arial" w:cs="Arial" w:eastAsia="Arial" w:hAnsi="Arial"/>
          <w:sz w:val="19"/>
          <w:szCs w:val="19"/>
          <w:u w:val="single" w:color="auto"/>
          <w:color w:val="auto"/>
        </w:rPr>
        <w:t>2018-3 Loans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CAC and the 2019-1 Trustee entered into a transaction as set forth in the 2019-1 Securitization Documents (the</w:t>
      </w:r>
    </w:p>
    <w:p>
      <w:pPr>
        <w:spacing w:after="0" w:line="56"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2019-1 Securitization</w:t>
      </w:r>
      <w:r>
        <w:rPr>
          <w:rFonts w:ascii="Arial" w:cs="Arial" w:eastAsia="Arial" w:hAnsi="Arial"/>
          <w:sz w:val="22"/>
          <w:szCs w:val="22"/>
          <w:color w:val="auto"/>
        </w:rPr>
        <w:t>”) pursuant to which the security interest with respect to certain specifically identified Pools, Purchased Loans and related assets was (and during the revolving period under the 2019-1 Securitization Documents will be) released by Comerica, CAC sold and contributed (and will sell and contribute) such Pools, Purchased Loans and related assets to its wholly-owned subsidiary, Funding 2019-1, which subsequently sold (and will sell) such Pools, Purchased Loans and related assets to the 2019-1 Trust, a trust the depositor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204" w:lineRule="exact"/>
        <w:rPr>
          <w:sz w:val="20"/>
          <w:szCs w:val="20"/>
          <w:color w:val="auto"/>
        </w:rPr>
      </w:pPr>
    </w:p>
    <w:p>
      <w:pPr>
        <w:jc w:val="both"/>
        <w:ind w:right="180"/>
        <w:spacing w:after="0" w:line="253" w:lineRule="auto"/>
        <w:rPr>
          <w:sz w:val="20"/>
          <w:szCs w:val="20"/>
          <w:color w:val="auto"/>
        </w:rPr>
      </w:pPr>
      <w:r>
        <w:rPr>
          <w:rFonts w:ascii="Arial" w:cs="Arial" w:eastAsia="Arial" w:hAnsi="Arial"/>
          <w:sz w:val="22"/>
          <w:szCs w:val="22"/>
          <w:color w:val="auto"/>
        </w:rPr>
        <w:t>of which is Funding 2019-1, and the 2019-1 Trust granted the 2019-1 Trustee a security interest in its right, title and interest in and to such Pools, Purchased Loans and related assets (such Pools, Purchased Loans and related assets are referred to herein as the “</w:t>
      </w:r>
      <w:r>
        <w:rPr>
          <w:rFonts w:ascii="Arial" w:cs="Arial" w:eastAsia="Arial" w:hAnsi="Arial"/>
          <w:sz w:val="22"/>
          <w:szCs w:val="22"/>
          <w:u w:val="single" w:color="auto"/>
          <w:color w:val="auto"/>
        </w:rPr>
        <w:t>2019-1 Loans</w:t>
      </w:r>
      <w:r>
        <w:rPr>
          <w:rFonts w:ascii="Arial" w:cs="Arial" w:eastAsia="Arial" w:hAnsi="Arial"/>
          <w:sz w:val="22"/>
          <w:szCs w:val="22"/>
          <w:color w:val="auto"/>
        </w:rPr>
        <w:t>”).</w:t>
      </w:r>
    </w:p>
    <w:p>
      <w:pPr>
        <w:spacing w:after="0" w:line="185" w:lineRule="exact"/>
        <w:rPr>
          <w:sz w:val="20"/>
          <w:szCs w:val="20"/>
          <w:color w:val="auto"/>
        </w:rPr>
      </w:pPr>
    </w:p>
    <w:p>
      <w:pPr>
        <w:ind w:right="20" w:firstLine="656"/>
        <w:spacing w:after="0" w:line="259" w:lineRule="auto"/>
        <w:tabs>
          <w:tab w:leader="none" w:pos="1285" w:val="left"/>
        </w:tabs>
        <w:numPr>
          <w:ilvl w:val="0"/>
          <w:numId w:val="208"/>
        </w:numPr>
        <w:rPr>
          <w:rFonts w:ascii="Arial" w:cs="Arial" w:eastAsia="Arial" w:hAnsi="Arial"/>
          <w:sz w:val="21"/>
          <w:szCs w:val="21"/>
          <w:color w:val="auto"/>
        </w:rPr>
      </w:pPr>
      <w:r>
        <w:rPr>
          <w:rFonts w:ascii="Arial" w:cs="Arial" w:eastAsia="Arial" w:hAnsi="Arial"/>
          <w:sz w:val="21"/>
          <w:szCs w:val="21"/>
          <w:color w:val="auto"/>
        </w:rPr>
        <w:t>CAC, Citizens Bank, N.A. (“</w:t>
      </w:r>
      <w:r>
        <w:rPr>
          <w:rFonts w:ascii="Arial" w:cs="Arial" w:eastAsia="Arial" w:hAnsi="Arial"/>
          <w:sz w:val="21"/>
          <w:szCs w:val="21"/>
          <w:u w:val="single" w:color="auto"/>
          <w:color w:val="auto"/>
        </w:rPr>
        <w:t>Citizens</w:t>
      </w:r>
      <w:r>
        <w:rPr>
          <w:rFonts w:ascii="Arial" w:cs="Arial" w:eastAsia="Arial" w:hAnsi="Arial"/>
          <w:sz w:val="21"/>
          <w:szCs w:val="21"/>
          <w:color w:val="auto"/>
        </w:rPr>
        <w:t>”), the Citizens Warehouse Collateral Agent and certain other parties entered into a transaction as set forth in the Citizens Warehouse Documents (the “</w:t>
      </w:r>
      <w:r>
        <w:rPr>
          <w:rFonts w:ascii="Arial" w:cs="Arial" w:eastAsia="Arial" w:hAnsi="Arial"/>
          <w:sz w:val="21"/>
          <w:szCs w:val="21"/>
          <w:u w:val="single" w:color="auto"/>
          <w:color w:val="auto"/>
        </w:rPr>
        <w:t>Citizens Warehouse</w:t>
      </w:r>
      <w:r>
        <w:rPr>
          <w:rFonts w:ascii="Arial" w:cs="Arial" w:eastAsia="Arial" w:hAnsi="Arial"/>
          <w:sz w:val="21"/>
          <w:szCs w:val="21"/>
          <w:color w:val="auto"/>
        </w:rPr>
        <w:t>”) pursuant to which the security interest with respect to certain specifically identified Pools, Purchased Loans and related assets was (and during the revolving period under the Citizens Warehouse Documents will be) released by Comerica, CAC transferred (and will transfer) such Pools, Purchased Loans and related assets to its wholly-owned subsidiary, Warehouse Funding VIII, and Warehouse Funding VIII granted the Citizens Warehouse Collateral Agent, in its capacity as collateral agent, a security interest in Warehouse Funding VIII’s rights to such Pools, Purchased Loans and related assets (such Pools, Purchased Loans and related assets are referred to herein as the “</w:t>
      </w:r>
      <w:r>
        <w:rPr>
          <w:rFonts w:ascii="Arial" w:cs="Arial" w:eastAsia="Arial" w:hAnsi="Arial"/>
          <w:sz w:val="21"/>
          <w:szCs w:val="21"/>
          <w:u w:val="single" w:color="auto"/>
          <w:color w:val="auto"/>
        </w:rPr>
        <w:t>Citizens Warehouse Loans</w:t>
      </w:r>
      <w:r>
        <w:rPr>
          <w:rFonts w:ascii="Arial" w:cs="Arial" w:eastAsia="Arial" w:hAnsi="Arial"/>
          <w:sz w:val="21"/>
          <w:szCs w:val="21"/>
          <w:color w:val="auto"/>
        </w:rPr>
        <w:t>”).</w:t>
      </w:r>
    </w:p>
    <w:p>
      <w:pPr>
        <w:spacing w:after="0" w:line="183" w:lineRule="exact"/>
        <w:rPr>
          <w:rFonts w:ascii="Arial" w:cs="Arial" w:eastAsia="Arial" w:hAnsi="Arial"/>
          <w:sz w:val="21"/>
          <w:szCs w:val="21"/>
          <w:color w:val="auto"/>
        </w:rPr>
      </w:pPr>
    </w:p>
    <w:p>
      <w:pPr>
        <w:ind w:right="20" w:firstLine="656"/>
        <w:spacing w:after="0" w:line="260" w:lineRule="auto"/>
        <w:tabs>
          <w:tab w:leader="none" w:pos="129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CAC, the 2019-2 Collateral Agent and certain other parties entered into a transaction as set forth in the 2019-2 Financing Documents (the “</w:t>
      </w:r>
      <w:r>
        <w:rPr>
          <w:rFonts w:ascii="Arial" w:cs="Arial" w:eastAsia="Arial" w:hAnsi="Arial"/>
          <w:sz w:val="21"/>
          <w:szCs w:val="21"/>
          <w:u w:val="single" w:color="auto"/>
          <w:color w:val="auto"/>
        </w:rPr>
        <w:t>2019-2 Financing</w:t>
      </w:r>
      <w:r>
        <w:rPr>
          <w:rFonts w:ascii="Arial" w:cs="Arial" w:eastAsia="Arial" w:hAnsi="Arial"/>
          <w:sz w:val="21"/>
          <w:szCs w:val="21"/>
          <w:color w:val="auto"/>
        </w:rPr>
        <w:t>”) pursuant to which the security interest with respect to certain specifically identified Pools, Purchased Loans and related assets was (and during the revolving period under the 2019-2 Financing Documents will be) released by Comerica, CAC transferred (and will transfer) such Pools, Purchased Loans and related assets to its wholly-owned subsidiary, Funding 2019-2, and Funding 2019-2 granted the 2019-2 Collateral Agent, in its capacity as collateral agent, a security interest in Funding 2019-2’s rights to such Pools, Purchased Loans and related assets (such Pools, Purchased Loans and related assets are referred to herein as the “</w:t>
      </w:r>
      <w:r>
        <w:rPr>
          <w:rFonts w:ascii="Arial" w:cs="Arial" w:eastAsia="Arial" w:hAnsi="Arial"/>
          <w:sz w:val="21"/>
          <w:szCs w:val="21"/>
          <w:u w:val="single" w:color="auto"/>
          <w:color w:val="auto"/>
        </w:rPr>
        <w:t>2019-2 Loans</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300" w:hanging="644"/>
        <w:spacing w:after="0"/>
        <w:tabs>
          <w:tab w:leader="none" w:pos="130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CAC and the 2019-3 Trustee entered into a transaction as set forth in the 2019-3 Securitization Documents (the</w:t>
      </w:r>
    </w:p>
    <w:p>
      <w:pPr>
        <w:spacing w:after="0" w:line="5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2019-3 Securitization</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2019-3 Securitization Documents will be) released by Comerica, CAC sold and contributed (and will sell and contribute) such Pools, Purchased Loans and related assets to its wholly-owned subsidiary, Funding 2019-3, which subsequently sold (and will sell) such Pools, Purchased Loans and related assets to the 2019-3 Trust, a trust the depositor of which is Funding 2019-3, and the 2019-3 Trust granted the 2019-3 Trustee a security interest in its right, title and interest in and to such Pools, Purchased Loans and related assets (such Pools, Purchased Loans and related assets are referred to herein as the “</w:t>
      </w:r>
      <w:r>
        <w:rPr>
          <w:rFonts w:ascii="Arial" w:cs="Arial" w:eastAsia="Arial" w:hAnsi="Arial"/>
          <w:sz w:val="19"/>
          <w:szCs w:val="19"/>
          <w:u w:val="single" w:color="auto"/>
          <w:color w:val="auto"/>
        </w:rPr>
        <w:t>2019-3 Loans</w:t>
      </w:r>
      <w:r>
        <w:rPr>
          <w:rFonts w:ascii="Arial" w:cs="Arial" w:eastAsia="Arial" w:hAnsi="Arial"/>
          <w:sz w:val="19"/>
          <w:szCs w:val="19"/>
          <w:color w:val="auto"/>
        </w:rPr>
        <w:t>”).</w:t>
      </w:r>
    </w:p>
    <w:p>
      <w:pPr>
        <w:spacing w:after="0" w:line="158" w:lineRule="exact"/>
        <w:rPr>
          <w:sz w:val="20"/>
          <w:szCs w:val="20"/>
          <w:color w:val="auto"/>
        </w:rPr>
      </w:pPr>
    </w:p>
    <w:p>
      <w:pPr>
        <w:ind w:firstLine="656"/>
        <w:spacing w:after="0" w:line="246" w:lineRule="auto"/>
        <w:tabs>
          <w:tab w:leader="none" w:pos="1271" w:val="left"/>
        </w:tabs>
        <w:numPr>
          <w:ilvl w:val="0"/>
          <w:numId w:val="209"/>
        </w:numPr>
        <w:rPr>
          <w:rFonts w:ascii="Arial" w:cs="Arial" w:eastAsia="Arial" w:hAnsi="Arial"/>
          <w:sz w:val="22"/>
          <w:szCs w:val="22"/>
          <w:color w:val="auto"/>
        </w:rPr>
      </w:pPr>
      <w:r>
        <w:rPr>
          <w:rFonts w:ascii="Arial" w:cs="Arial" w:eastAsia="Arial" w:hAnsi="Arial"/>
          <w:sz w:val="22"/>
          <w:szCs w:val="22"/>
          <w:color w:val="auto"/>
        </w:rPr>
        <w:t>CAC and the 2020-1 Trustee entered into a transaction as set forth in the 2020-1 Securitization Documents (the “</w:t>
      </w:r>
      <w:r>
        <w:rPr>
          <w:rFonts w:ascii="Arial" w:cs="Arial" w:eastAsia="Arial" w:hAnsi="Arial"/>
          <w:sz w:val="22"/>
          <w:szCs w:val="22"/>
          <w:u w:val="single" w:color="auto"/>
          <w:color w:val="auto"/>
        </w:rPr>
        <w:t>2020-1 Securitization</w:t>
      </w:r>
      <w:r>
        <w:rPr>
          <w:rFonts w:ascii="Arial" w:cs="Arial" w:eastAsia="Arial" w:hAnsi="Arial"/>
          <w:sz w:val="22"/>
          <w:szCs w:val="22"/>
          <w:color w:val="auto"/>
        </w:rPr>
        <w:t>”) pursuant to which the security interest with respect to certain specifically identified Pools, Purchased Loans and related assets was (and during the revolving period under the 2020-1 Securitization Documents will be) released by Comerica, CAC sold and contributed (and will sell and contribute) such Pools, Purchased Loans and related assets to its wholly-owned subsidiary, Funding 2020-1, which subsequently sold (and will sell) such Pools, Purchased Loans and related assets to the 2020-1 Trust, a trust the depositor of which is Funding 2020-1, and the 2020-1 Trust granted the 2020-1 Trustee a security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60"/>
          </w:cols>
          <w:pgMar w:left="320" w:top="1440" w:right="419" w:bottom="1440" w:gutter="0" w:footer="0" w:header="0"/>
        </w:sectPr>
      </w:pPr>
    </w:p>
    <w:bookmarkStart w:id="211" w:name="page212"/>
    <w:bookmarkEnd w:id="211"/>
    <w:p>
      <w:pPr>
        <w:spacing w:after="0" w:line="204"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in its right, title and interest in and to such Pools, Purchased Loans and related assets (such Pools, Purchased Loans and related assets are referred to herein as the “</w:t>
      </w:r>
      <w:r>
        <w:rPr>
          <w:rFonts w:ascii="Arial" w:cs="Arial" w:eastAsia="Arial" w:hAnsi="Arial"/>
          <w:sz w:val="22"/>
          <w:szCs w:val="22"/>
          <w:u w:val="single" w:color="auto"/>
          <w:color w:val="auto"/>
        </w:rPr>
        <w:t>2020-1 Loans</w:t>
      </w:r>
      <w:r>
        <w:rPr>
          <w:rFonts w:ascii="Arial" w:cs="Arial" w:eastAsia="Arial" w:hAnsi="Arial"/>
          <w:sz w:val="22"/>
          <w:szCs w:val="22"/>
          <w:color w:val="auto"/>
        </w:rPr>
        <w:t>”).</w:t>
      </w:r>
    </w:p>
    <w:p>
      <w:pPr>
        <w:spacing w:after="0" w:line="175" w:lineRule="exact"/>
        <w:rPr>
          <w:sz w:val="20"/>
          <w:szCs w:val="20"/>
          <w:color w:val="auto"/>
        </w:rPr>
      </w:pPr>
    </w:p>
    <w:p>
      <w:pPr>
        <w:ind w:right="80" w:firstLine="656"/>
        <w:spacing w:after="0" w:line="290" w:lineRule="auto"/>
        <w:tabs>
          <w:tab w:leader="none" w:pos="129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CAC and the 2020-2 Trustee entered into a transaction as set forth in the 2020-2 Securitization Documents (the “</w:t>
      </w:r>
      <w:r>
        <w:rPr>
          <w:rFonts w:ascii="Arial" w:cs="Arial" w:eastAsia="Arial" w:hAnsi="Arial"/>
          <w:sz w:val="19"/>
          <w:szCs w:val="19"/>
          <w:u w:val="single" w:color="auto"/>
          <w:color w:val="auto"/>
        </w:rPr>
        <w:t>2020-2 Securitization</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2020-2 Securitization Documents will be) released by Comerica, CAC sold and contributed (and will sell and contribute) such Pools, Purchased Loans and related assets to its wholly-owned subsidiary, Funding 2020-2, which subsequently sold (and will sell) such Pools, Purchased Loans and related assets to the 2020-2 Trust, a trust the depositor of which is Funding 2020-2, and the 2020-2 Trust granted the 2020-2 Trustee a security interest in its right, title and interest in and to such Pools, Purchased Loans and related assets (such Pools, Purchased Loans and related assets are referred to herein as the “</w:t>
      </w:r>
      <w:r>
        <w:rPr>
          <w:rFonts w:ascii="Arial" w:cs="Arial" w:eastAsia="Arial" w:hAnsi="Arial"/>
          <w:sz w:val="19"/>
          <w:szCs w:val="19"/>
          <w:u w:val="single" w:color="auto"/>
          <w:color w:val="auto"/>
        </w:rPr>
        <w:t>2020-2 Loans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CAC and the 2020-3 Trustee entered into a transaction as set forth in the 2020-3 Securitization Documents (the</w:t>
      </w:r>
    </w:p>
    <w:p>
      <w:pPr>
        <w:spacing w:after="0" w:line="56"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2020-3 Securitization</w:t>
      </w:r>
      <w:r>
        <w:rPr>
          <w:rFonts w:ascii="Arial" w:cs="Arial" w:eastAsia="Arial" w:hAnsi="Arial"/>
          <w:sz w:val="19"/>
          <w:szCs w:val="19"/>
          <w:color w:val="auto"/>
        </w:rPr>
        <w:t>”) pursuant to which the security interest with respect to certain specifically identified Pools, Purchased Loans and related assets was (and during the revolving period under the 2020-3 Securitization Documents will be) released by Comerica, CAC sold and contributed (and will sell and contribute) such Pools, Purchased Loans and related assets to its wholly-owned subsidiary, Funding 2020-3, which subsequently sold (and will sell) such Pools, Purchased Loans and related assets to the 2020-3 Trust, a trust the depositor of which is Funding 2020-3, and the 2020-3 Trust granted the 2020-3 Trustee a security interest in its right, title and interest in and to such Pools, Purchased Loans and related assets (such Pools, Purchased Loans and related assets are referred to herein as the “</w:t>
      </w:r>
      <w:r>
        <w:rPr>
          <w:rFonts w:ascii="Arial" w:cs="Arial" w:eastAsia="Arial" w:hAnsi="Arial"/>
          <w:sz w:val="19"/>
          <w:szCs w:val="19"/>
          <w:u w:val="single" w:color="auto"/>
          <w:color w:val="auto"/>
        </w:rPr>
        <w:t>2020-3 Loans</w:t>
      </w:r>
      <w:r>
        <w:rPr>
          <w:rFonts w:ascii="Arial" w:cs="Arial" w:eastAsia="Arial" w:hAnsi="Arial"/>
          <w:sz w:val="19"/>
          <w:szCs w:val="19"/>
          <w:color w:val="auto"/>
        </w:rPr>
        <w:t>”).</w:t>
      </w:r>
    </w:p>
    <w:p>
      <w:pPr>
        <w:spacing w:after="0" w:line="158" w:lineRule="exact"/>
        <w:rPr>
          <w:sz w:val="20"/>
          <w:szCs w:val="20"/>
          <w:color w:val="auto"/>
        </w:rPr>
      </w:pPr>
    </w:p>
    <w:p>
      <w:pPr>
        <w:ind w:firstLine="656"/>
        <w:spacing w:after="0" w:line="292" w:lineRule="auto"/>
        <w:tabs>
          <w:tab w:leader="none" w:pos="1295" w:val="left"/>
        </w:tabs>
        <w:numPr>
          <w:ilvl w:val="0"/>
          <w:numId w:val="211"/>
        </w:numPr>
        <w:rPr>
          <w:rFonts w:ascii="Arial" w:cs="Arial" w:eastAsia="Arial" w:hAnsi="Arial"/>
          <w:sz w:val="19"/>
          <w:szCs w:val="19"/>
          <w:color w:val="auto"/>
        </w:rPr>
      </w:pPr>
      <w:r>
        <w:rPr>
          <w:rFonts w:ascii="Arial" w:cs="Arial" w:eastAsia="Arial" w:hAnsi="Arial"/>
          <w:sz w:val="19"/>
          <w:szCs w:val="19"/>
          <w:color w:val="auto"/>
        </w:rPr>
        <w:t>CAC, the 2021-1 Collateral Agent and certain other parties are entering into a transaction as set forth in the 2021-1 Financing Documents (the “</w:t>
      </w:r>
      <w:r>
        <w:rPr>
          <w:rFonts w:ascii="Arial" w:cs="Arial" w:eastAsia="Arial" w:hAnsi="Arial"/>
          <w:sz w:val="19"/>
          <w:szCs w:val="19"/>
          <w:u w:val="single" w:color="auto"/>
          <w:color w:val="auto"/>
        </w:rPr>
        <w:t>2021-1 Financing</w:t>
      </w:r>
      <w:r>
        <w:rPr>
          <w:rFonts w:ascii="Arial" w:cs="Arial" w:eastAsia="Arial" w:hAnsi="Arial"/>
          <w:sz w:val="19"/>
          <w:szCs w:val="19"/>
          <w:color w:val="auto"/>
        </w:rPr>
        <w:t>”) pursuant to which the security interest with respect to certain specifically identified Pools, Purchased Loans and related assets is being (and during the revolving period under the 2021-1 Financing Documents will be) released by Comerica, CAC is transferring (and will transfer) such Pools, Purchased Loans and related assets to its wholly-owned subsidiary, Funding 2021-1, and Funding 2021-1 is granting the 2021-1 Collateral Agent, in its capacity as collateral agent, a security interest in Funding 2021-1’s rights to such Pools, Purchased Loans and related assets (such Pools, Purchased Loans and related assets are referred to herein as the “</w:t>
      </w:r>
      <w:r>
        <w:rPr>
          <w:rFonts w:ascii="Arial" w:cs="Arial" w:eastAsia="Arial" w:hAnsi="Arial"/>
          <w:sz w:val="19"/>
          <w:szCs w:val="19"/>
          <w:u w:val="single" w:color="auto"/>
          <w:color w:val="auto"/>
        </w:rPr>
        <w:t>2021-1 Loans</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ind w:right="80" w:firstLine="656"/>
        <w:spacing w:after="0" w:line="290" w:lineRule="auto"/>
        <w:tabs>
          <w:tab w:leader="none" w:pos="127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Comerica retains a security interest in Pools, Purchased Loans and related assets which (i) have not been (and will not be) released, and a security interest encumbering such Pools, Purchased Loans and related assets has not been (and will not be) granted to Wells Fargo pursuant to the Wells Fargo Warehouse, (ii) have not been (and will not be) released, and a security interest encumbering such Pools, Purchased Loans and related assets has not been (and will not be) granted to Fifth Third pursuant to the Fifth Third Warehouse, (iii) have not been (and will not be) released, and a security interest encumbering such Pools, Purchased Loans and related assets has not been (and will not be) granted to BMO pursuant to the BMO Warehouse, (iv) have not been (and will not be) released, and a security interest encumbering such Pools, Purchased Loans and related assets has not been (and will not be) granted to Flagstar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4"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the Flagstar Warehouse, (v) have not been (and will not be) released, and a security interest encumbering such Pools, Purchased Loans and related assets has not been (and will not be) granted to the 2017-3 Trustee pursuant to the 2017-3 Securitization, (vi) have not been (and will not be) released, and a security interest encumbering such Pools, Purchased Loans and related assets has not been (and will not be) granted to Credit Suisse pursuant to the Credit Suisse Warehouse, (vii) have not been (and will not be) released, and a security interest encumbering such Pools, Purchased Loans and related assets has not been (and will not be) granted to the 2018-1 Trustee pursuant to the 2018-1 Securitization, (xiii) have not been (and will not be) released, and a security interest encumbering such Pools, Purchased Loans and related assets has not been (and will not be) granted to the 2018-2 Trustee pursuant to the 2018-2 Securitization, (ix) have not been (and will not be) released, and a security interest encumbering such Pools, Purchased Loans and related assets has not been (and will not be) granted to the 2018-3 Trustee pursuant to the 2018-3 Securitization, (x) have not been (and will not be) released, and a security interest encumbering such Pools, Purchased Loans and related assets has not been (and will not be) granted to the 2019-1 Trustee pursuant to the 2019-1 Securitization, (xi) have not been (and will not be) released, and a security interest encumbering such Pools, Purchased Loans and related assets has not been (and will not be) granted to Citizens pursuant to the Citizens Warehouse, (xii) have not been (and will not be) released, and a security interest encumbering such Pools, Purchased Loans and related assets has not been (and will not be) granted to the 2019-2 Collateral Agent pursuant to the 2019-2 Financing, (xiii) have not been (and will not be) released, and a security interest encumbering such Pools, Purchased Loans and related assets has not been (and will not be) granted to the 2019-3 Trustee pursuant to the 2019-3 Securitization, (xiv) have not been (and will not be) released, and a security interest encumbering such Pools, Purchased Loans and related assets has not been (and will not be) granted to the 2020-1 Trustee pursuant to the 2020-1 Securitization, (xv) have not been (and will not be) released, and a security interest encumbering such Pools, Purchased Loans and related assets has not been (and will not be) granted to the 2020-2 Trustee pursuant to the 2020-2 Securitization, (xvi) have not been (and will not be) released, and a security interest encumbering such Pools, Purchased Loans and related assets has not been (and will not be) granted to the 2020-3 Trustee pursuant to the 2020-3 Securitization and (xvii) have not been (and will not be) released, and a security interest encumbering such Pools, Purchased Loans and related assets is not being (and will not be) granted to the 2021-1 Collateral Agent pursuant to the 2021-1 Financing (such unreleased Pools, Purchased Loans and related assets are referred to herein as the “</w:t>
      </w:r>
      <w:r>
        <w:rPr>
          <w:rFonts w:ascii="Arial" w:cs="Arial" w:eastAsia="Arial" w:hAnsi="Arial"/>
          <w:sz w:val="19"/>
          <w:szCs w:val="19"/>
          <w:u w:val="single" w:color="auto"/>
          <w:color w:val="auto"/>
        </w:rPr>
        <w:t>Comerica Loans</w:t>
      </w:r>
      <w:r>
        <w:rPr>
          <w:rFonts w:ascii="Arial" w:cs="Arial" w:eastAsia="Arial" w:hAnsi="Arial"/>
          <w:sz w:val="19"/>
          <w:szCs w:val="19"/>
          <w:color w:val="auto"/>
        </w:rPr>
        <w:t>”).</w:t>
      </w:r>
    </w:p>
    <w:p>
      <w:pPr>
        <w:spacing w:after="0" w:line="200" w:lineRule="exact"/>
        <w:rPr>
          <w:sz w:val="20"/>
          <w:szCs w:val="20"/>
          <w:color w:val="auto"/>
        </w:rPr>
      </w:pPr>
    </w:p>
    <w:p>
      <w:pPr>
        <w:spacing w:after="0" w:line="223" w:lineRule="exact"/>
        <w:rPr>
          <w:sz w:val="20"/>
          <w:szCs w:val="20"/>
          <w:color w:val="auto"/>
        </w:rPr>
      </w:pPr>
    </w:p>
    <w:p>
      <w:pPr>
        <w:ind w:right="360" w:firstLine="656"/>
        <w:spacing w:after="0" w:line="290" w:lineRule="auto"/>
        <w:tabs>
          <w:tab w:leader="none" w:pos="129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The Dealer Agreements permit CAC and its assignees, under certain circumstances, to set off any Collections received with respect to any Pool of a Dealer against Advances under other Pools of that Dealer and such set off rights are authorized and permitted under the CAC Credit Facility Documents, the Wells Fargo Warehouse Documents, the Fifth Third Warehouse Documents, the BMO Warehouse Documents, the Flagstar Warehouse Documents, the Credit Suisse Warehouse Documents, the Citizens Warehouse Documents, the 2021-1 Financing Documents, the 2020-3 Securitization Documents, the 2020-2 Securitization Documents, the 2020-1 Securitization Documents, the 2019-3 Securitization Documents, the 2019-2 Financing Documents, the 2019-1 Securitization Documents, the 2018-3 Securitization Documents, the 2018-2 Securitization Documents, the 2018-1 Securitization Documents and the 2017-3 Securitization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40" w:right="359" w:bottom="1440" w:gutter="0" w:footer="0" w:header="0"/>
        </w:sectPr>
      </w:pPr>
    </w:p>
    <w:bookmarkStart w:id="213" w:name="page214"/>
    <w:bookmarkEnd w:id="213"/>
    <w:p>
      <w:pPr>
        <w:spacing w:after="0" w:line="204" w:lineRule="exact"/>
        <w:rPr>
          <w:sz w:val="20"/>
          <w:szCs w:val="20"/>
          <w:color w:val="auto"/>
        </w:rPr>
      </w:pPr>
    </w:p>
    <w:p>
      <w:pPr>
        <w:jc w:val="both"/>
        <w:ind w:right="80" w:firstLine="656"/>
        <w:spacing w:after="0" w:line="250" w:lineRule="auto"/>
        <w:tabs>
          <w:tab w:leader="none" w:pos="126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parties hereto acknowledge that the rights of CAC or its assigns, pursuant to the Dealer Agreements, to set off Collections received with respect to a Pool against the outstanding balance under any other Pool are not intended, and should not be permitted, to be used to prejudice the collateral position of any of the parties hereto, and therefore the exercise of such rights should be limited to Back-end Dealer Payments.</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consideration of the mutual premises and promises set forth herein and other good and valuable consideration, the receipt and sufficiency of which is hereby acknowledged, the parties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Agreements</w:t>
      </w:r>
    </w:p>
    <w:p>
      <w:pPr>
        <w:spacing w:after="0" w:line="226" w:lineRule="exact"/>
        <w:rPr>
          <w:sz w:val="20"/>
          <w:szCs w:val="20"/>
          <w:color w:val="auto"/>
        </w:rPr>
      </w:pPr>
    </w:p>
    <w:p>
      <w:pPr>
        <w:jc w:val="both"/>
        <w:ind w:firstLine="656"/>
        <w:spacing w:after="0" w:line="290" w:lineRule="auto"/>
        <w:tabs>
          <w:tab w:leader="none" w:pos="1296" w:val="left"/>
        </w:tabs>
        <w:numPr>
          <w:ilvl w:val="0"/>
          <w:numId w:val="214"/>
        </w:numPr>
        <w:rPr>
          <w:rFonts w:ascii="Arial" w:cs="Arial" w:eastAsia="Arial" w:hAnsi="Arial"/>
          <w:sz w:val="19"/>
          <w:szCs w:val="19"/>
          <w:color w:val="auto"/>
        </w:rPr>
      </w:pPr>
      <w:r>
        <w:rPr>
          <w:rFonts w:ascii="Arial" w:cs="Arial" w:eastAsia="Arial" w:hAnsi="Arial"/>
          <w:sz w:val="19"/>
          <w:szCs w:val="19"/>
          <w:u w:val="single" w:color="auto"/>
          <w:color w:val="auto"/>
        </w:rPr>
        <w:t>Confirmation</w:t>
      </w:r>
      <w:r>
        <w:rPr>
          <w:rFonts w:ascii="Arial" w:cs="Arial" w:eastAsia="Arial" w:hAnsi="Arial"/>
          <w:sz w:val="19"/>
          <w:szCs w:val="19"/>
          <w:color w:val="auto"/>
        </w:rPr>
        <w:t>. Notwithstanding any statement or provision contained in the Financing Documents or otherwise to the contrary, and irrespective of the time, order or method of attachment or perfection of security interests granted pursuant to the Financing Documents, respectively, or the time or order of filing or recording of any financing statements, or other notices of security interests, liens or other interests granted pursuant to the Financing Documents, respectively, or the giving of or failure to give notice of the acquisition or expected acquisition of purchase money or other security interests, and irrespective of anything contained in any filing or agreement to which any Creditor may now or hereafter be a party and irrespective of the ordinary rules for determining priority under the Uniform Commercial Code or under any other law governing the relative priorities of secured creditors, subject, however, to the terms and conditions of this Agreement:</w:t>
      </w:r>
    </w:p>
    <w:p>
      <w:pPr>
        <w:spacing w:after="0" w:line="156" w:lineRule="exact"/>
        <w:rPr>
          <w:sz w:val="20"/>
          <w:szCs w:val="20"/>
          <w:color w:val="auto"/>
        </w:rPr>
      </w:pPr>
    </w:p>
    <w:p>
      <w:pPr>
        <w:jc w:val="both"/>
        <w:ind w:firstLine="656"/>
        <w:spacing w:after="0" w:line="286" w:lineRule="auto"/>
        <w:tabs>
          <w:tab w:leader="none" w:pos="1293" w:val="left"/>
        </w:tabs>
        <w:numPr>
          <w:ilvl w:val="0"/>
          <w:numId w:val="215"/>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Wells Fargo</w:t>
      </w:r>
      <w:r>
        <w:rPr>
          <w:rFonts w:ascii="Arial" w:cs="Arial" w:eastAsia="Arial" w:hAnsi="Arial"/>
          <w:sz w:val="19"/>
          <w:szCs w:val="19"/>
          <w:color w:val="auto"/>
        </w:rPr>
        <w:t>. Wells Fargo, as the collateral agent, (i) releases any and all rights in and to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Collections with respect to the Comerica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Wells Fargo Warehouse Loans and (ii) relinquishes all rights it has or may have to require CAC, individually or as servicer, any successor servicer or Warehouse Funding II to use Collections on its behalf contrary to clause (a)(i). Wells Fargo, as collateral agent, agrees that the lien and security interest granted to it pursuant to the Wells Fargo Warehouse Documents does not and shall not attach to the Comerica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161" w:lineRule="exact"/>
        <w:rPr>
          <w:rFonts w:ascii="Arial" w:cs="Arial" w:eastAsia="Arial" w:hAnsi="Arial"/>
          <w:sz w:val="19"/>
          <w:szCs w:val="19"/>
          <w:color w:val="auto"/>
        </w:rPr>
      </w:pPr>
    </w:p>
    <w:p>
      <w:pPr>
        <w:ind w:firstLine="656"/>
        <w:spacing w:after="0" w:line="263" w:lineRule="auto"/>
        <w:tabs>
          <w:tab w:leader="none" w:pos="1291" w:val="left"/>
        </w:tabs>
        <w:numPr>
          <w:ilvl w:val="0"/>
          <w:numId w:val="215"/>
        </w:numPr>
        <w:rPr>
          <w:rFonts w:ascii="Arial" w:cs="Arial" w:eastAsia="Arial" w:hAnsi="Arial"/>
          <w:sz w:val="22"/>
          <w:szCs w:val="22"/>
          <w:color w:val="auto"/>
        </w:rPr>
      </w:pPr>
      <w:r>
        <w:rPr>
          <w:rFonts w:ascii="Arial" w:cs="Arial" w:eastAsia="Arial" w:hAnsi="Arial"/>
          <w:sz w:val="22"/>
          <w:szCs w:val="22"/>
          <w:b w:val="1"/>
          <w:bCs w:val="1"/>
          <w:i w:val="1"/>
          <w:iCs w:val="1"/>
          <w:color w:val="auto"/>
        </w:rPr>
        <w:t>Release by Fifth Third</w:t>
      </w:r>
      <w:r>
        <w:rPr>
          <w:rFonts w:ascii="Arial" w:cs="Arial" w:eastAsia="Arial" w:hAnsi="Arial"/>
          <w:sz w:val="22"/>
          <w:szCs w:val="22"/>
          <w:color w:val="auto"/>
        </w:rPr>
        <w:t>. Fifth Third, as the collateral agent, (i) releases any and all rights in and to any Collections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the Comerica Loans, the Wells Fargo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Warehouse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the 2017-3 Loans or in any Back-end Dealer Payments; </w:t>
      </w:r>
      <w:r>
        <w:rPr>
          <w:rFonts w:ascii="Arial" w:cs="Arial" w:eastAsia="Arial" w:hAnsi="Arial"/>
          <w:sz w:val="21"/>
          <w:szCs w:val="21"/>
          <w:i w:val="1"/>
          <w:iCs w:val="1"/>
          <w:color w:val="auto"/>
        </w:rPr>
        <w:t>provided</w:t>
      </w:r>
      <w:r>
        <w:rPr>
          <w:rFonts w:ascii="Arial" w:cs="Arial" w:eastAsia="Arial" w:hAnsi="Arial"/>
          <w:sz w:val="21"/>
          <w:szCs w:val="21"/>
          <w:color w:val="auto"/>
        </w:rPr>
        <w:t>, that no release shall have been granted with respect to amounts collected under any Pools which are Back-end Dealer Payments that have been set off by CAC or by Comerica pursuant to the CAC Credit Facility Documents against amounts owing under the Fifth Third Loans and (ii) relinquishes all rights it has or may have to require CAC, individually or as servicer, any successor servicer or Warehouse Funding V to use Collections on its behalf contrary to clause (b)(i). Fifth Third, as collateral agent, agrees that the lien and security interest granted to it pursuant to the Fifth Third Warehouse Documents does not and shall not attach to the Comerica Loans, the Wells Fargo Warehouse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189" w:lineRule="exact"/>
        <w:rPr>
          <w:sz w:val="20"/>
          <w:szCs w:val="20"/>
          <w:color w:val="auto"/>
        </w:rPr>
      </w:pPr>
    </w:p>
    <w:p>
      <w:pPr>
        <w:jc w:val="both"/>
        <w:ind w:firstLine="656"/>
        <w:spacing w:after="0" w:line="286" w:lineRule="auto"/>
        <w:tabs>
          <w:tab w:leader="none" w:pos="1293" w:val="left"/>
        </w:tabs>
        <w:numPr>
          <w:ilvl w:val="0"/>
          <w:numId w:val="216"/>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2017-3 Trustee</w:t>
      </w:r>
      <w:r>
        <w:rPr>
          <w:rFonts w:ascii="Arial" w:cs="Arial" w:eastAsia="Arial" w:hAnsi="Arial"/>
          <w:sz w:val="19"/>
          <w:szCs w:val="19"/>
          <w:color w:val="auto"/>
        </w:rPr>
        <w:t>. The 2017-3 Trustee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2017-3 Loans and (ii) relinquishes all rights it has or may have to require CAC, individually or as servicer, any successor servicer, Funding 2017-3 or the 2017-3 Trust to use Collections on its behalf contrary to clause (c)(i). The 2017-3 Trust agrees that the lien and security interest granted to the 2017-3 Trustee pursuant to the 2017-3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(or related Collections) or to any Back-end Dealer Payments and shall not assert any claim thereto.</w:t>
      </w:r>
    </w:p>
    <w:p>
      <w:pPr>
        <w:spacing w:after="0" w:line="161" w:lineRule="exact"/>
        <w:rPr>
          <w:rFonts w:ascii="Arial" w:cs="Arial" w:eastAsia="Arial" w:hAnsi="Arial"/>
          <w:sz w:val="19"/>
          <w:szCs w:val="19"/>
          <w:color w:val="auto"/>
        </w:rPr>
      </w:pPr>
    </w:p>
    <w:p>
      <w:pPr>
        <w:jc w:val="both"/>
        <w:ind w:firstLine="656"/>
        <w:spacing w:after="0" w:line="247" w:lineRule="auto"/>
        <w:tabs>
          <w:tab w:leader="none" w:pos="1291" w:val="left"/>
        </w:tabs>
        <w:numPr>
          <w:ilvl w:val="0"/>
          <w:numId w:val="216"/>
        </w:numPr>
        <w:rPr>
          <w:rFonts w:ascii="Arial" w:cs="Arial" w:eastAsia="Arial" w:hAnsi="Arial"/>
          <w:sz w:val="22"/>
          <w:szCs w:val="22"/>
          <w:color w:val="auto"/>
        </w:rPr>
      </w:pPr>
      <w:r>
        <w:rPr>
          <w:rFonts w:ascii="Arial" w:cs="Arial" w:eastAsia="Arial" w:hAnsi="Arial"/>
          <w:sz w:val="22"/>
          <w:szCs w:val="22"/>
          <w:b w:val="1"/>
          <w:bCs w:val="1"/>
          <w:i w:val="1"/>
          <w:iCs w:val="1"/>
          <w:color w:val="auto"/>
        </w:rPr>
        <w:t>Release by the 2018-1 Trustee</w:t>
      </w:r>
      <w:r>
        <w:rPr>
          <w:rFonts w:ascii="Arial" w:cs="Arial" w:eastAsia="Arial" w:hAnsi="Arial"/>
          <w:sz w:val="22"/>
          <w:szCs w:val="22"/>
          <w:color w:val="auto"/>
        </w:rPr>
        <w:t>. The 2018-1 Trustee (i) releases any and all rights in and to any Collections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respect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2017-3 Loans or in any Back-end Dealer Payments; </w:t>
      </w:r>
      <w:r>
        <w:rPr>
          <w:rFonts w:ascii="Arial" w:cs="Arial" w:eastAsia="Arial" w:hAnsi="Arial"/>
          <w:sz w:val="22"/>
          <w:szCs w:val="22"/>
          <w:i w:val="1"/>
          <w:iCs w:val="1"/>
          <w:color w:val="auto"/>
        </w:rPr>
        <w:t>provided</w:t>
      </w:r>
      <w:r>
        <w:rPr>
          <w:rFonts w:ascii="Arial" w:cs="Arial" w:eastAsia="Arial" w:hAnsi="Arial"/>
          <w:sz w:val="22"/>
          <w:szCs w:val="22"/>
          <w:color w:val="auto"/>
        </w:rPr>
        <w:t>, that no release shall have been granted with respect to amounts collected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Pools which are Back-end Dealer Payments that have been set off by CAC or by Comerica pursuant to the CAC Credit Facility Documents against amounts owing under the 2018-1 Loans and (ii) relinquishes all rights it has or may have to require CAC, individually or as servicer, any successor servicer, Funding 2018-1 or the 2018-1 Trust to use Collections on its behalf contrary to clause (d)(i). The 2018-1 Trust agrees that the lien and security interest granted to the 2018-1 Trustee pursuant to the 2018-1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2017-3 Loans (or related Collections) or to any Back-end Dealer Payments and shall not assert any claim thereto.</w:t>
      </w:r>
    </w:p>
    <w:p>
      <w:pPr>
        <w:spacing w:after="0" w:line="157" w:lineRule="exact"/>
        <w:rPr>
          <w:sz w:val="20"/>
          <w:szCs w:val="20"/>
          <w:color w:val="auto"/>
        </w:rPr>
      </w:pPr>
    </w:p>
    <w:p>
      <w:pPr>
        <w:jc w:val="both"/>
        <w:ind w:firstLine="656"/>
        <w:spacing w:after="0" w:line="286" w:lineRule="auto"/>
        <w:tabs>
          <w:tab w:leader="none" w:pos="1293" w:val="left"/>
        </w:tabs>
        <w:numPr>
          <w:ilvl w:val="0"/>
          <w:numId w:val="217"/>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2018-2 Trustee</w:t>
      </w:r>
      <w:r>
        <w:rPr>
          <w:rFonts w:ascii="Arial" w:cs="Arial" w:eastAsia="Arial" w:hAnsi="Arial"/>
          <w:sz w:val="19"/>
          <w:szCs w:val="19"/>
          <w:color w:val="auto"/>
        </w:rPr>
        <w:t>. The 2018-2 Trustee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2018-2 Loans and (ii) relinquishes all rights it has or may have to require CAC, individually or as servicer, any successor servicer, Funding 2018-2 or the 2018-2 Trust to use Collections on its behalf contrary to clause (e)(i). The 2018-2 Trust agrees that the lien and security interest granted to the 2018-2 Trustee pursuant to the 2018-2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2018-1 Loans, the 2017-3 Loans (or related Collections) or to any Back-end Dealer Payments and shall not assert any claim thereto.</w:t>
      </w:r>
    </w:p>
    <w:p>
      <w:pPr>
        <w:spacing w:after="0" w:line="161" w:lineRule="exact"/>
        <w:rPr>
          <w:rFonts w:ascii="Arial" w:cs="Arial" w:eastAsia="Arial" w:hAnsi="Arial"/>
          <w:sz w:val="19"/>
          <w:szCs w:val="19"/>
          <w:color w:val="auto"/>
        </w:rPr>
      </w:pPr>
    </w:p>
    <w:p>
      <w:pPr>
        <w:jc w:val="both"/>
        <w:ind w:firstLine="656"/>
        <w:spacing w:after="0" w:line="289" w:lineRule="auto"/>
        <w:tabs>
          <w:tab w:leader="none" w:pos="1296" w:val="left"/>
        </w:tabs>
        <w:numPr>
          <w:ilvl w:val="0"/>
          <w:numId w:val="217"/>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2018-3 Trustee</w:t>
      </w:r>
      <w:r>
        <w:rPr>
          <w:rFonts w:ascii="Arial" w:cs="Arial" w:eastAsia="Arial" w:hAnsi="Arial"/>
          <w:sz w:val="19"/>
          <w:szCs w:val="19"/>
          <w:color w:val="auto"/>
        </w:rPr>
        <w:t>. The 2018-3 Trustee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2018-3 Loans and (ii) relinquishes all rights it has or may have to require CAC, individually or as servicer, any successor servicer, Funding 2018-3 or the 2018-3 Trust to use Collections on its behalf contrary to clause (f)(i). The 2018-3 Trust agrees that the lien and security interest granted to the 2018-3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Trustee pursuant to the 2018-3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2018-2 Loans, the 2018-1 Loans, the 2017-3 Loans (or related Collections) or to any Back-end Dealer Payments and shall not assert any claim thereto.</w:t>
      </w:r>
    </w:p>
    <w:p>
      <w:pPr>
        <w:spacing w:after="0" w:line="147" w:lineRule="exact"/>
        <w:rPr>
          <w:sz w:val="20"/>
          <w:szCs w:val="20"/>
          <w:color w:val="auto"/>
        </w:rPr>
      </w:pPr>
    </w:p>
    <w:p>
      <w:pPr>
        <w:jc w:val="both"/>
        <w:ind w:firstLine="656"/>
        <w:spacing w:after="0" w:line="286" w:lineRule="auto"/>
        <w:tabs>
          <w:tab w:leader="none" w:pos="1291" w:val="left"/>
        </w:tabs>
        <w:numPr>
          <w:ilvl w:val="0"/>
          <w:numId w:val="218"/>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2019-1 Trustee</w:t>
      </w:r>
      <w:r>
        <w:rPr>
          <w:rFonts w:ascii="Arial" w:cs="Arial" w:eastAsia="Arial" w:hAnsi="Arial"/>
          <w:sz w:val="19"/>
          <w:szCs w:val="19"/>
          <w:color w:val="auto"/>
        </w:rPr>
        <w:t>. The 2019-1 Trustee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2019-1 Loans and (ii) relinquishes all rights it has or may have to require CAC, individually or as servicer, any successor servicer, Funding 2019-1 or the 2019-1 Trust to use Collections on its behalf contrary to clause (g)(i). The 2019-1 Trust agrees that the lien and security interest granted to the 2019-1 Trustee pursuant to the 2019-1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2019-2 Loans, the 2018-3 Loans, the 2018-2 Loans, the 2018-1 Loans, the 2017-3 Loans (or related Collections) or to any Back-end Dealer Payments and shall not assert any claim thereto.</w:t>
      </w:r>
    </w:p>
    <w:p>
      <w:pPr>
        <w:spacing w:after="0" w:line="161" w:lineRule="exact"/>
        <w:rPr>
          <w:rFonts w:ascii="Arial" w:cs="Arial" w:eastAsia="Arial" w:hAnsi="Arial"/>
          <w:sz w:val="19"/>
          <w:szCs w:val="19"/>
          <w:color w:val="auto"/>
        </w:rPr>
      </w:pPr>
    </w:p>
    <w:p>
      <w:pPr>
        <w:jc w:val="both"/>
        <w:ind w:firstLine="656"/>
        <w:spacing w:after="0" w:line="286" w:lineRule="auto"/>
        <w:tabs>
          <w:tab w:leader="none" w:pos="1291" w:val="left"/>
        </w:tabs>
        <w:numPr>
          <w:ilvl w:val="0"/>
          <w:numId w:val="218"/>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2019-2 Collateral Agent</w:t>
      </w:r>
      <w:r>
        <w:rPr>
          <w:rFonts w:ascii="Arial" w:cs="Arial" w:eastAsia="Arial" w:hAnsi="Arial"/>
          <w:sz w:val="19"/>
          <w:szCs w:val="19"/>
          <w:color w:val="auto"/>
        </w:rPr>
        <w:t>. The 2019-2 Collateral Agent (i) releases any and all rights in and to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Collections with respect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2019-1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2019-2 Loans and (ii) relinquishes all rights it has or may have to require CAC, individually or as servicer, any successor servicer or Funding 2019-2 to use Collections on its behalf contrary to clause (h)(i). The 2019-2 Collateral Agent agrees that the lien and security interest granted to the 2019-2 Collateral Agent pursuant to the 2019-2 Financing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2020-1 Loans, the 2019-3 Loans, the 2019-1 Loans, the 2018-3 Loans,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2018-2 Loans, the 2018-1 Loans, the 2017-3 Loans (or related Collections) or to any Back-end Dealer Payments and shall not assert any claim thereto.</w:t>
      </w:r>
    </w:p>
    <w:p>
      <w:pPr>
        <w:spacing w:after="0" w:line="175" w:lineRule="exact"/>
        <w:rPr>
          <w:sz w:val="20"/>
          <w:szCs w:val="20"/>
          <w:color w:val="auto"/>
        </w:rPr>
      </w:pPr>
    </w:p>
    <w:p>
      <w:pPr>
        <w:jc w:val="both"/>
        <w:ind w:firstLine="656"/>
        <w:spacing w:after="0" w:line="286" w:lineRule="auto"/>
        <w:tabs>
          <w:tab w:leader="none" w:pos="1284" w:val="left"/>
        </w:tabs>
        <w:numPr>
          <w:ilvl w:val="0"/>
          <w:numId w:val="219"/>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2019-3 Trustee</w:t>
      </w:r>
      <w:r>
        <w:rPr>
          <w:rFonts w:ascii="Arial" w:cs="Arial" w:eastAsia="Arial" w:hAnsi="Arial"/>
          <w:sz w:val="19"/>
          <w:szCs w:val="19"/>
          <w:color w:val="auto"/>
        </w:rPr>
        <w:t>. The 2019-3 Trustee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Citizens Warehouse Loans, the 2021-1 Loans, the 2020-3 Loans, the 2020-2 Loans, the 2020-1 Loans, the 2019-2 Loans, the 2019-1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2019-3 Loans and (ii) relinquishes all rights it has or may have to require CAC, individually or as servicer, any successor servicer, Funding 2019-3 or the 2019-3 Trust to use Collections on its behalf contrary to clause (i)(i). The 2019-3 Trust agrees that the lien and security interest granted to the 2019-3 Trustee pursuant to the 2019-3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2020-1 Loans, the 2019-2 Loans, the 2019-1 Loans, the 2018-3 Loans, the 2018-2 Loans, the 2018-1 Loans, the 2017-3 Loans (or related Collections) or to any Back-end Dealer Payments and shall not assert any claim thereto.</w:t>
      </w:r>
    </w:p>
    <w:p>
      <w:pPr>
        <w:spacing w:after="0" w:line="161" w:lineRule="exact"/>
        <w:rPr>
          <w:rFonts w:ascii="Arial" w:cs="Arial" w:eastAsia="Arial" w:hAnsi="Arial"/>
          <w:sz w:val="19"/>
          <w:szCs w:val="19"/>
          <w:color w:val="auto"/>
        </w:rPr>
      </w:pPr>
    </w:p>
    <w:p>
      <w:pPr>
        <w:jc w:val="both"/>
        <w:ind w:firstLine="656"/>
        <w:spacing w:after="0" w:line="286" w:lineRule="auto"/>
        <w:tabs>
          <w:tab w:leader="none" w:pos="1284" w:val="left"/>
        </w:tabs>
        <w:numPr>
          <w:ilvl w:val="0"/>
          <w:numId w:val="219"/>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2020-1 Trustee</w:t>
      </w:r>
      <w:r>
        <w:rPr>
          <w:rFonts w:ascii="Arial" w:cs="Arial" w:eastAsia="Arial" w:hAnsi="Arial"/>
          <w:sz w:val="19"/>
          <w:szCs w:val="19"/>
          <w:color w:val="auto"/>
        </w:rPr>
        <w:t>. The 2020-1 Trustee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Citizens Warehouse Loans, the 2021-1 Loans, the 2020-3 Loans, the 2020-2 Loans, the 2019-3 Loans, the 2019-2 Loans, the 2019-1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2020-1 Loans and (ii) relinquishes all rights it has or may have to require CAC, individually or as servicer, any successor servicer, Funding 2020-1 or the 2020-1 Trust to use Collections on its behalf contrary to clause (j)(i). The 2020-1 Trust agrees that the lien and security interest granted to the 2020-1 Trustee pursuant to the 2020-1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2020-2 Loans, the 2019-3 Loans, the 2019-2 Loans, the 2019-1 Loans, the 2018-3 Loans, the 2018-2 Loans, the 2018-1 Loans, the 2017-3 Loans (or related Collections) or to any Back-end Dealer Payments and shall not assert any claim thereto.</w:t>
      </w:r>
    </w:p>
    <w:p>
      <w:pPr>
        <w:spacing w:after="0" w:line="161" w:lineRule="exact"/>
        <w:rPr>
          <w:rFonts w:ascii="Arial" w:cs="Arial" w:eastAsia="Arial" w:hAnsi="Arial"/>
          <w:sz w:val="19"/>
          <w:szCs w:val="19"/>
          <w:color w:val="auto"/>
        </w:rPr>
      </w:pPr>
    </w:p>
    <w:p>
      <w:pPr>
        <w:ind w:firstLine="656"/>
        <w:spacing w:after="0" w:line="263" w:lineRule="auto"/>
        <w:tabs>
          <w:tab w:leader="none" w:pos="1291" w:val="left"/>
        </w:tabs>
        <w:numPr>
          <w:ilvl w:val="0"/>
          <w:numId w:val="219"/>
        </w:numPr>
        <w:rPr>
          <w:rFonts w:ascii="Arial" w:cs="Arial" w:eastAsia="Arial" w:hAnsi="Arial"/>
          <w:sz w:val="22"/>
          <w:szCs w:val="22"/>
          <w:color w:val="auto"/>
        </w:rPr>
      </w:pPr>
      <w:r>
        <w:rPr>
          <w:rFonts w:ascii="Arial" w:cs="Arial" w:eastAsia="Arial" w:hAnsi="Arial"/>
          <w:sz w:val="22"/>
          <w:szCs w:val="22"/>
          <w:b w:val="1"/>
          <w:bCs w:val="1"/>
          <w:i w:val="1"/>
          <w:iCs w:val="1"/>
          <w:color w:val="auto"/>
        </w:rPr>
        <w:t>Release by the 2020-2 Trustee</w:t>
      </w:r>
      <w:r>
        <w:rPr>
          <w:rFonts w:ascii="Arial" w:cs="Arial" w:eastAsia="Arial" w:hAnsi="Arial"/>
          <w:sz w:val="22"/>
          <w:szCs w:val="22"/>
          <w:color w:val="auto"/>
        </w:rPr>
        <w:t>. The 2020-2 Trustee (i) releases any and all rights in and to any Collections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 to the Comerica Loans, the Wells Fargo Warehouse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Fifth Third Loans, the BMO Warehouse Loans, the Flagstar Warehouse Loans, the Credit Suisse Warehouse Loans, the Citizens Warehouse Loans, the 2021-1 Loans, the 2020-3 Loans, the 2020-1 Loans, the 2019-3 Loans, the 2019-2 Loans, the 2019-1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w:t>
      </w:r>
      <w:r>
        <w:rPr>
          <w:rFonts w:ascii="Arial" w:cs="Arial" w:eastAsia="Arial" w:hAnsi="Arial"/>
          <w:sz w:val="19"/>
          <w:szCs w:val="19"/>
          <w:i w:val="1"/>
          <w:iCs w:val="1"/>
          <w:color w:val="auto"/>
        </w:rPr>
        <w:t xml:space="preserve"> </w:t>
      </w:r>
      <w:r>
        <w:rPr>
          <w:rFonts w:ascii="Arial" w:cs="Arial" w:eastAsia="Arial" w:hAnsi="Arial"/>
          <w:sz w:val="19"/>
          <w:szCs w:val="19"/>
          <w:color w:val="auto"/>
        </w:rPr>
        <w:t>Payments that have been set off by CAC or by Comerica pursuant to the CAC Credit Facility Documents against amounts owing under the 2020-2 Loans and (ii) relinquishes all rights it has or may have to require CAC, individually or as servicer, any successor servicer, Funding 2020-2 or the 2020-2 Trust to use Collections on its behalf contrary to clause (k)(i). The 2020-2 Trust agrees that the lien and security interest granted to the 2020-2 Trustee pursuant to the 2020-2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2020-3 Loans, the 2020-1 Loans, the 2019-3 Loans, the 2019-2 Loans, the 2019-1 Loans, the 2018-3 Loans, the 2018-2 Loans, the 2018-1 Loans, the 2017-3 Loans (or related Collections) or to any Back-end Dealer Payments and shall not assert any claim thereto.</w:t>
      </w: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86" w:lineRule="auto"/>
        <w:tabs>
          <w:tab w:leader="none" w:pos="1338" w:val="left"/>
        </w:tabs>
        <w:numPr>
          <w:ilvl w:val="0"/>
          <w:numId w:val="220"/>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the 2020-3 Trustee</w:t>
      </w:r>
      <w:r>
        <w:rPr>
          <w:rFonts w:ascii="Arial" w:cs="Arial" w:eastAsia="Arial" w:hAnsi="Arial"/>
          <w:sz w:val="19"/>
          <w:szCs w:val="19"/>
          <w:color w:val="auto"/>
        </w:rPr>
        <w:t>. The 2020-3 Trustee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Citizens Warehouse Loans, the 2021-1 Loans, the 2020-2 Loans, the 2020-1 Loans, 2019-3 Loans, the 2019-2 Loans, the 2019-1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2020-3 Loans and (ii) relinquishes all rights it has or may have to require CAC, individually or as servicer, any successor servicer, Funding 2020-3 or the 2020-3 Trust to use Collections on its behalf contrary to clause (l)(i). The 2020-3 Trust agrees that the lien and security interest granted to the 2020-3 Trustee pursuant to the 2020-3 Securitization Documents to which it is a party does not and shall not attach to the Comerica Loans, the Wells Fargo Warehouse Loans, the Fifth Third Loans, the BMO Warehouse Loans, the Flagstar Warehouse Loans, the Credit Suisse Warehouse Loans, the Citizens Warehouse Loans, the 2021-1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161" w:lineRule="exact"/>
        <w:rPr>
          <w:rFonts w:ascii="Arial" w:cs="Arial" w:eastAsia="Arial" w:hAnsi="Arial"/>
          <w:sz w:val="19"/>
          <w:szCs w:val="19"/>
          <w:color w:val="auto"/>
        </w:rPr>
      </w:pPr>
    </w:p>
    <w:p>
      <w:pPr>
        <w:jc w:val="both"/>
        <w:ind w:firstLine="656"/>
        <w:spacing w:after="0" w:line="247" w:lineRule="auto"/>
        <w:tabs>
          <w:tab w:leader="none" w:pos="1284" w:val="left"/>
        </w:tabs>
        <w:numPr>
          <w:ilvl w:val="0"/>
          <w:numId w:val="220"/>
        </w:numPr>
        <w:rPr>
          <w:rFonts w:ascii="Arial" w:cs="Arial" w:eastAsia="Arial" w:hAnsi="Arial"/>
          <w:sz w:val="22"/>
          <w:szCs w:val="22"/>
          <w:color w:val="auto"/>
        </w:rPr>
      </w:pPr>
      <w:r>
        <w:rPr>
          <w:rFonts w:ascii="Arial" w:cs="Arial" w:eastAsia="Arial" w:hAnsi="Arial"/>
          <w:sz w:val="22"/>
          <w:szCs w:val="22"/>
          <w:b w:val="1"/>
          <w:bCs w:val="1"/>
          <w:i w:val="1"/>
          <w:iCs w:val="1"/>
          <w:color w:val="auto"/>
        </w:rPr>
        <w:t>Release by the 2021-1 Collateral Agent</w:t>
      </w:r>
      <w:r>
        <w:rPr>
          <w:rFonts w:ascii="Arial" w:cs="Arial" w:eastAsia="Arial" w:hAnsi="Arial"/>
          <w:sz w:val="22"/>
          <w:szCs w:val="22"/>
          <w:color w:val="auto"/>
        </w:rPr>
        <w:t>. The 2021-1 Collateral Agent (i) releases any and all rights in and to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Collections with respect to the Comerica Loans, the Wells Fargo Warehouse Loans, the Fifth Third Loans, the BMO Warehouse Loans, the Flagstar Warehouse Loans, the Credit Suisse Warehouse Loans, the Citizens Warehouse Loans, the 2020-3 Loans, the 2020-2 Loans, the 2020-1 Loans, the 2019-3 Loans, the 2019-2 Loans, the 2019-1 Loans, the 2018-3 Loans, the 2018-2 Loans, the 2018-1 Loans, the 2017-3 Loans or in any Back-end Dealer Payments; </w:t>
      </w:r>
      <w:r>
        <w:rPr>
          <w:rFonts w:ascii="Arial" w:cs="Arial" w:eastAsia="Arial" w:hAnsi="Arial"/>
          <w:sz w:val="22"/>
          <w:szCs w:val="22"/>
          <w:i w:val="1"/>
          <w:iCs w:val="1"/>
          <w:color w:val="auto"/>
        </w:rPr>
        <w:t>provided</w:t>
      </w:r>
      <w:r>
        <w:rPr>
          <w:rFonts w:ascii="Arial" w:cs="Arial" w:eastAsia="Arial" w:hAnsi="Arial"/>
          <w:sz w:val="22"/>
          <w:szCs w:val="22"/>
          <w:color w:val="auto"/>
        </w:rPr>
        <w:t>, that no release shall have been granted with respect to amounts collected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under any Pools which are Back-end Dealer Payments that have been set off by CAC or by Comerica pursuant to the CAC Credit Facility Documents against amounts owing under the 2021-1 Loans and (ii) relinquishes all rights it has or may have to require CAC, individually or as servicer, any successor servicer or Funding 2021-1 to use Collections on its behalf contrary to clause (m)</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 The 2021-1 Collateral Agent agrees that the lien and security interest granted to the 2021-1 Collateral Agent pursuant to the 2021-1 Financing Documents to which it is a party does not and shall not attach to the Comerica Loans, the Wells Fargo Warehouse Loans, the Fifth Third Loans, the BMO Warehouse Loans, the Flagstar Warehouse Loans, the Credit Suisse Warehouse Loans, the Citizens Warehouse Loans, the 2020-3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186" w:lineRule="exact"/>
        <w:rPr>
          <w:sz w:val="20"/>
          <w:szCs w:val="20"/>
          <w:color w:val="auto"/>
        </w:rPr>
      </w:pPr>
    </w:p>
    <w:p>
      <w:pPr>
        <w:jc w:val="both"/>
        <w:ind w:firstLine="656"/>
        <w:spacing w:after="0" w:line="286" w:lineRule="auto"/>
        <w:tabs>
          <w:tab w:leader="none" w:pos="1291" w:val="left"/>
        </w:tabs>
        <w:numPr>
          <w:ilvl w:val="0"/>
          <w:numId w:val="221"/>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BMO</w:t>
      </w:r>
      <w:r>
        <w:rPr>
          <w:rFonts w:ascii="Arial" w:cs="Arial" w:eastAsia="Arial" w:hAnsi="Arial"/>
          <w:sz w:val="19"/>
          <w:szCs w:val="19"/>
          <w:color w:val="auto"/>
        </w:rPr>
        <w:t>. BMO, as the collateral agent,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Flagstar Warehouse Loans, the Credit Suisse Warehouse Loans, the Citizens Warehouse Loans, the 2021-1 Loans, the 2020-3 Loans, the 2020-2 Loans, the 2020-1 Loans, the 2019-3 Loans, the 2019-2 Loans, the 2019-1 Loans, the 2018-3 Loans, the 2018-2 Loans, the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BMO Warehouse Loans and (ii) relinquishes all rights it has or may have to require CAC, individually or as servicer, any successor servicer or Warehouse Funding IV to use Collections on its behalf contrary to clause (n)(i). BMO, as collateral agent, agrees that the lien and security interest granted to it pursuant to the BMO Warehouse Documents does not and shall not attach to the Comerica Loans, the Wells Fargo Warehouse Loans, the Fifth Third Loans, the Flagstar Warehouse Loans, the Credit Suisse Warehouse Loans, the Citizens Warehouse Loans, the 2021-1 Loans, the 2020-3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88" w:lineRule="auto"/>
        <w:tabs>
          <w:tab w:leader="none" w:pos="1291" w:val="left"/>
        </w:tabs>
        <w:numPr>
          <w:ilvl w:val="0"/>
          <w:numId w:val="221"/>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Comerica</w:t>
      </w:r>
      <w:r>
        <w:rPr>
          <w:rFonts w:ascii="Arial" w:cs="Arial" w:eastAsia="Arial" w:hAnsi="Arial"/>
          <w:sz w:val="19"/>
          <w:szCs w:val="19"/>
          <w:color w:val="auto"/>
        </w:rPr>
        <w:t>. Comerica (i) releases any and all rights in and to any Collections with respect to the Wells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Fargo Warehouse Loans, the Fifth Third Loans, the BMO Loans, the Flagstar Warehouse Loans, the Credit Suisse Warehouse Loans, the Citizens Warehouse Loans, the 2021-1 Loans, the 2020-3 Loans, the 2020-2 Loans, the 2020-1 Loans, the 2019-3 Loans, the 2019-2 Loans, the 2019-1 Loans, the 2018-3 Loans, the 2018-2 Loans, the 2018-1 Loans or the 2017-3 Loans other than amounts collected under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or the 2017-3 Loans, which are owed to Dealers as Back-end Dealer Payments and which are subject to set off by CAC pursuant to the related Dealer Agreement and which have not been set off by CAC or by Comerica pursuant to the CAC Credit Facility Documents against amounts owing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and the 2017-3 Loans, and (ii) relinquishes all rights it has or may have to require CAC, individually or as servicer, or any successor servicer to use Collections on its behalf contrary to clause (o)(i) above. Except for Back-end Dealer Payments to the extent provided in clause (o)(i) above, Comerica agrees that the lien and security interest granted to it pursuant to the CAC Credit Facility Documents does not and shall not attach to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or the 2017-3 Loans and shall not assert any claim against the Wells Fargo Warehouse Loans, the Fifth Third Loans, the BMO Warehouse Loans, the Flagstar Warehouse Loans, the Credit Suisse Warehouse Loans, the Citizens Warehouse Loans, the 2021-1 Loans, the 2020-3 Loans, the 2020-2 Loans, the 2020-1 Loans, the 2019-3 Loans, the 2019-2 Loans, the 2019-1 Loans, the 2018-3 Loans, the 2018-2 Loans, the 2018-1 Loans or the 2017-3 Loans or Collections related thereto.</w:t>
      </w:r>
    </w:p>
    <w:p>
      <w:pPr>
        <w:spacing w:after="0" w:line="200" w:lineRule="exact"/>
        <w:rPr>
          <w:sz w:val="20"/>
          <w:szCs w:val="20"/>
          <w:color w:val="auto"/>
        </w:rPr>
      </w:pPr>
    </w:p>
    <w:p>
      <w:pPr>
        <w:spacing w:after="0" w:line="222" w:lineRule="exact"/>
        <w:rPr>
          <w:sz w:val="20"/>
          <w:szCs w:val="20"/>
          <w:color w:val="auto"/>
        </w:rPr>
      </w:pPr>
    </w:p>
    <w:p>
      <w:pPr>
        <w:jc w:val="both"/>
        <w:ind w:firstLine="656"/>
        <w:spacing w:after="0" w:line="286" w:lineRule="auto"/>
        <w:tabs>
          <w:tab w:leader="none" w:pos="1291" w:val="left"/>
        </w:tabs>
        <w:numPr>
          <w:ilvl w:val="0"/>
          <w:numId w:val="222"/>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Flagstar</w:t>
      </w:r>
      <w:r>
        <w:rPr>
          <w:rFonts w:ascii="Arial" w:cs="Arial" w:eastAsia="Arial" w:hAnsi="Arial"/>
          <w:sz w:val="19"/>
          <w:szCs w:val="19"/>
          <w:color w:val="auto"/>
        </w:rPr>
        <w:t>. Flagstar, as the collateral agent,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Credit Suisse Warehouse Loans, the Citizens Warehouse Loans, the 2021-1 Loans, the 2020-3 Loans, the 2020-2 Loans, the 2020-1 Loans, the 2019-3 Loans, the 2019-2 Loans, the 2019-1 Loans, the 2018-3 Loans, the 2018-2 Loans,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Flagstar Warehouse Loans and (ii) relinquishes all rights it has or may have to require CAC, individually or as servicer, any successor servicer or Warehouse Funding VI to use Collections on its behalf contrary to clause (p)(i). Flagstar, as collateral agent, agrees that the lien and security interest granted to it pursuant to the Flagstar Warehouse Documents does not and shall not attach to the Comerica Loans, the Wells Fargo Warehouse Loans, the Fifth Third Loans, the BMO Warehouse Loans, the Credit Suisse Warehouse Loans, the Citizens Warehouse Loans, the 2021-1 Loans, the 2020-3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47" w:lineRule="auto"/>
        <w:tabs>
          <w:tab w:leader="none" w:pos="1291" w:val="left"/>
        </w:tabs>
        <w:numPr>
          <w:ilvl w:val="0"/>
          <w:numId w:val="222"/>
        </w:numPr>
        <w:rPr>
          <w:rFonts w:ascii="Arial" w:cs="Arial" w:eastAsia="Arial" w:hAnsi="Arial"/>
          <w:sz w:val="22"/>
          <w:szCs w:val="22"/>
          <w:color w:val="auto"/>
        </w:rPr>
      </w:pPr>
      <w:r>
        <w:rPr>
          <w:rFonts w:ascii="Arial" w:cs="Arial" w:eastAsia="Arial" w:hAnsi="Arial"/>
          <w:sz w:val="22"/>
          <w:szCs w:val="22"/>
          <w:b w:val="1"/>
          <w:bCs w:val="1"/>
          <w:i w:val="1"/>
          <w:iCs w:val="1"/>
          <w:color w:val="auto"/>
        </w:rPr>
        <w:t>Release by the Credit Suisse Warehouse Collateral Agent</w:t>
      </w:r>
      <w:r>
        <w:rPr>
          <w:rFonts w:ascii="Arial" w:cs="Arial" w:eastAsia="Arial" w:hAnsi="Arial"/>
          <w:sz w:val="22"/>
          <w:szCs w:val="22"/>
          <w:color w:val="auto"/>
        </w:rPr>
        <w:t>. The Credit Suisse Warehouse Collateral Agent, as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collateral agent, (i) releases any and all rights in and to any Collections with respect to the Comerica Loans, the Wells Fargo Warehouse Loans, the Fifth Third Loans, the BMO Warehouse Loans, the Flagstar Warehouse Loans, the Citizens Warehouse Loans, the 2021-1 Loans, the 2020-3 Loans, the 2020-2 Loans, the 2020-1 Loans, the 2019-3 Loans, the 2019-2 Loans, the 2019-1 Loans, the 2018-3 Loans, the 2018-2 Loans, the 2018-1 Loans, the 2017-3 Loans or in any Back-end Dealer Payments; </w:t>
      </w:r>
      <w:r>
        <w:rPr>
          <w:rFonts w:ascii="Arial" w:cs="Arial" w:eastAsia="Arial" w:hAnsi="Arial"/>
          <w:sz w:val="22"/>
          <w:szCs w:val="22"/>
          <w:i w:val="1"/>
          <w:iCs w:val="1"/>
          <w:color w:val="auto"/>
        </w:rPr>
        <w:t>provided</w:t>
      </w:r>
      <w:r>
        <w:rPr>
          <w:rFonts w:ascii="Arial" w:cs="Arial" w:eastAsia="Arial" w:hAnsi="Arial"/>
          <w:sz w:val="22"/>
          <w:szCs w:val="22"/>
          <w:color w:val="auto"/>
        </w:rPr>
        <w:t>, that no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shall have been granted with respect to amounts collected under any Pools which are Back-end Dealer Payments that have been set off by CAC or by Comerica pursuant to the CAC Credit Facility Documents against amounts owing under the Credit Suisse Warehouse Loans and (ii) relinquishes all rights it has or may have to require CAC, individually or as servicer, any successor servicer or Warehouse Funding VII to use Collections on its behalf contrary to clause (q)(i). The Credit Suisse Warehouse Collateral Agent, as collateral agent, agrees that the lien and security interest granted to it pursuant to the Credit Suisse Warehouse Documents does not and shall not attach to the Comerica Loans, the Wells Fargo Warehouse Loans, the Fifth Third Loans, the BMO Warehouse Loans, the Flagstar Warehouse Loans, the Citizens Warehouse Loans, the 2021-1 Loans, the 2020-3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185" w:lineRule="exact"/>
        <w:rPr>
          <w:sz w:val="20"/>
          <w:szCs w:val="20"/>
          <w:color w:val="auto"/>
        </w:rPr>
      </w:pPr>
    </w:p>
    <w:p>
      <w:pPr>
        <w:jc w:val="both"/>
        <w:ind w:firstLine="656"/>
        <w:spacing w:after="0" w:line="286" w:lineRule="auto"/>
        <w:tabs>
          <w:tab w:leader="none" w:pos="1296" w:val="left"/>
        </w:tabs>
        <w:numPr>
          <w:ilvl w:val="0"/>
          <w:numId w:val="223"/>
        </w:numPr>
        <w:rPr>
          <w:rFonts w:ascii="Arial" w:cs="Arial" w:eastAsia="Arial" w:hAnsi="Arial"/>
          <w:sz w:val="19"/>
          <w:szCs w:val="19"/>
          <w:color w:val="auto"/>
        </w:rPr>
      </w:pPr>
      <w:r>
        <w:rPr>
          <w:rFonts w:ascii="Arial" w:cs="Arial" w:eastAsia="Arial" w:hAnsi="Arial"/>
          <w:sz w:val="19"/>
          <w:szCs w:val="19"/>
          <w:b w:val="1"/>
          <w:bCs w:val="1"/>
          <w:i w:val="1"/>
          <w:iCs w:val="1"/>
          <w:color w:val="auto"/>
        </w:rPr>
        <w:t>Release by Citizens</w:t>
      </w:r>
      <w:r>
        <w:rPr>
          <w:rFonts w:ascii="Arial" w:cs="Arial" w:eastAsia="Arial" w:hAnsi="Arial"/>
          <w:sz w:val="19"/>
          <w:szCs w:val="19"/>
          <w:color w:val="auto"/>
        </w:rPr>
        <w:t>. Citizens, as the collateral agent, (i) releases any and all rights in and to any Collections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to the Comerica Loans, the Wells Fargo Warehouse Loans, the Fifth Third Loans, the BMO Warehouse Loans, the Flagstar Warehouse Loans, the Credit Suisse Warehouse Loans, the 2021-1 Loans, the 2020-3 Loans, the 2020-2 Loans, the 2020-1 Loans, the 2019-3 Loans, the 2019-2 Loans, the 2019-1 Loans, the 2018-3 Loans, the 2018-2 Loans, 2018-1 Loans, the 2017-3 Loans or in any Back-end Dealer Payments; </w:t>
      </w:r>
      <w:r>
        <w:rPr>
          <w:rFonts w:ascii="Arial" w:cs="Arial" w:eastAsia="Arial" w:hAnsi="Arial"/>
          <w:sz w:val="19"/>
          <w:szCs w:val="19"/>
          <w:i w:val="1"/>
          <w:iCs w:val="1"/>
          <w:color w:val="auto"/>
        </w:rPr>
        <w:t>provided</w:t>
      </w:r>
      <w:r>
        <w:rPr>
          <w:rFonts w:ascii="Arial" w:cs="Arial" w:eastAsia="Arial" w:hAnsi="Arial"/>
          <w:sz w:val="19"/>
          <w:szCs w:val="19"/>
          <w:color w:val="auto"/>
        </w:rPr>
        <w:t>, that no release shall have been granted with respect to amounts collected under any Pools which are Back-end Dealer Payments that have been set off by CAC or by Comerica pursuant to the CAC Credit Facility Documents against amounts owing under the Citizens Warehouse Loans and (ii) relinquishes all rights it has or may have to require CAC, individually or as servicer, any successor servicer or Warehouse Funding VIII to use Collections on its behalf contrary to clause (r)(i). Citizens, as collateral agent, agrees that the lien and security interest granted to it pursuant to the Citizens Warehouse Documents does not and shall not attach to the Comerica Loans, the Wells Fargo Warehouse Loans, the Fifth Third Loans, the BMO Warehouse Loans, the Flagstar Warehouse Loans, the Credit Suisse Warehouse Loans, the 2021-1 Loans, the 2020-3 Loans, the 2020-2 Loans, the 2020-1 Loans, the 2019-3 Loans, the 2019-2 Loans, the 2019-1 Loans, the 2018-3 Loans, the 2018-2 Loans, the 2018-1 Loans, the 2017-3 Loans (or related Collections) or to any Back-end Dealer Payments and shall not assert any claim thereto.</w:t>
      </w:r>
    </w:p>
    <w:p>
      <w:pPr>
        <w:spacing w:after="0" w:line="200" w:lineRule="exact"/>
        <w:rPr>
          <w:sz w:val="20"/>
          <w:szCs w:val="20"/>
          <w:color w:val="auto"/>
        </w:rPr>
      </w:pPr>
    </w:p>
    <w:p>
      <w:pPr>
        <w:spacing w:after="0" w:line="222"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Covenant of the CAC Entities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94" w:lineRule="auto"/>
        <w:tabs>
          <w:tab w:leader="none" w:pos="128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Each of the CAC Entities covenants that it shall not use any right it may have under the Dealer Agreements or the Purchase Agreements, whether at the direction of Comerica, Wells Fargo, Fifth Third, BMO, Flagstar, Credit Suisse, the Credit Suisse Warehouse Collateral Agent, Citizens, the 2021-1 Collateral Agent, the 2020-3 Trustee, the 2020-2 Trustee, the 2020-1 Trustee, the 2019-3 Trustee, the 2019-2 Collateral Agent, the 2019-1 Trustee, the 2018-3 Trustee, the 2018-2 Trustee, the 2018-1 Trustee, the 2017-3 Trustee or otherwise, to set off any Collections, other than amounts which are owed to Dealers as Back-end Dealer Payments, from one Pool against amounts owed under another Pool encumbered in favor of another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40" w:right="339" w:bottom="1440" w:gutter="0" w:footer="0" w:header="0"/>
        </w:sectPr>
      </w:pPr>
    </w:p>
    <w:bookmarkStart w:id="222" w:name="page223"/>
    <w:bookmarkEnd w:id="222"/>
    <w:p>
      <w:pPr>
        <w:jc w:val="both"/>
        <w:ind w:firstLine="656"/>
        <w:spacing w:after="0" w:line="292" w:lineRule="auto"/>
        <w:tabs>
          <w:tab w:leader="none" w:pos="129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Each of the CAC Entities covenants that it will require any other person or entity which hereafter acquires any security interest in the Pools, Dealer Agreements, Purchased Loans and related assets from a CAC Entity to become parties to this Agreement by executing an amendment or acknowledgment, in form and substance reasonably satisfactory to CAC and the Creditors, by which such persons or entities agree to be bound by the terms of this Agreement, and delivering such signed amendment or acknowledgement hereof to each of the CAC Entities and the Creditors;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in the event the amount owed by the CAC Entities to any Creditor shall be reduced to zero and such Creditor shall have no obligation or agreement to make any further advances to any CAC Entity, such Creditor shall have no rights under this </w:t>
      </w:r>
      <w:r>
        <w:rPr>
          <w:rFonts w:ascii="Arial" w:cs="Arial" w:eastAsia="Arial" w:hAnsi="Arial"/>
          <w:sz w:val="19"/>
          <w:szCs w:val="19"/>
          <w:u w:val="single" w:color="auto"/>
          <w:color w:val="auto"/>
        </w:rPr>
        <w:t>Section 2(b)</w:t>
      </w:r>
      <w:r>
        <w:rPr>
          <w:rFonts w:ascii="Arial" w:cs="Arial" w:eastAsia="Arial" w:hAnsi="Arial"/>
          <w:sz w:val="19"/>
          <w:szCs w:val="19"/>
          <w:color w:val="auto"/>
        </w:rPr>
        <w:t>.</w:t>
      </w:r>
    </w:p>
    <w:p>
      <w:pPr>
        <w:spacing w:after="0" w:line="151" w:lineRule="exact"/>
        <w:rPr>
          <w:sz w:val="20"/>
          <w:szCs w:val="20"/>
          <w:color w:val="auto"/>
        </w:rPr>
      </w:pPr>
    </w:p>
    <w:p>
      <w:pPr>
        <w:jc w:val="both"/>
        <w:ind w:firstLine="656"/>
        <w:spacing w:after="0" w:line="284" w:lineRule="auto"/>
        <w:tabs>
          <w:tab w:leader="none" w:pos="1296"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Turnover of Proceeds</w:t>
      </w:r>
      <w:r>
        <w:rPr>
          <w:rFonts w:ascii="Arial" w:cs="Arial" w:eastAsia="Arial" w:hAnsi="Arial"/>
          <w:sz w:val="19"/>
          <w:szCs w:val="19"/>
          <w:color w:val="auto"/>
        </w:rPr>
        <w:t>. The parties hereto agree that if, at any time, a Creditor (a “</w:t>
      </w:r>
      <w:r>
        <w:rPr>
          <w:rFonts w:ascii="Arial" w:cs="Arial" w:eastAsia="Arial" w:hAnsi="Arial"/>
          <w:sz w:val="19"/>
          <w:szCs w:val="19"/>
          <w:u w:val="single" w:color="auto"/>
          <w:color w:val="auto"/>
        </w:rPr>
        <w:t>Receiving Creditor</w:t>
      </w:r>
      <w:r>
        <w:rPr>
          <w:rFonts w:ascii="Arial" w:cs="Arial" w:eastAsia="Arial" w:hAnsi="Arial"/>
          <w:sz w:val="19"/>
          <w:szCs w:val="19"/>
          <w:color w:val="auto"/>
        </w:rPr>
        <w:t xml:space="preserve">”) (x) receives any payment, distribution, security or the proceeds thereof to which another Creditor or Creditors shall, under the terms of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this Agreement, be entitled (the “</w:t>
      </w:r>
      <w:r>
        <w:rPr>
          <w:rFonts w:ascii="Arial" w:cs="Arial" w:eastAsia="Arial" w:hAnsi="Arial"/>
          <w:sz w:val="19"/>
          <w:szCs w:val="19"/>
          <w:u w:val="single" w:color="auto"/>
          <w:color w:val="auto"/>
        </w:rPr>
        <w:t>Wrong Payments</w:t>
      </w:r>
      <w:r>
        <w:rPr>
          <w:rFonts w:ascii="Arial" w:cs="Arial" w:eastAsia="Arial" w:hAnsi="Arial"/>
          <w:sz w:val="19"/>
          <w:szCs w:val="19"/>
          <w:color w:val="auto"/>
        </w:rPr>
        <w:t>”) and (y) the Receiving Creditor either (A) had actual knowledge, at the time of such receipt, that such payment, distribution or proceeds were wrongfully received by it or (B) another Creditor or Creditors shall have given written notice to the Receiving Creditor, prior to such receipt, of its good faith belief that such payments, distributions or proceeds are being misapplied, and such notice contains evidence reasonably satisfactory to the Receiving Creditor of such misapplication, then such Receiving Creditor shall receive and hold the same separately and in trust for the benefit of, and shall forthwith pay over and deliver the same to the relevant Creditor. Without limiting the rights and remedies of the other Creditors, to the extent the Wrong Payments have been received and applied by the Receiving Creditor making the turnover of the same impossible, the Receiving Creditor agrees that such Wrong Payments shall be netted against future payments to which it is entitled under the relevant Financing Documents. For purposes of the foregoing, (i) the actual knowledge of the 2021-1 Collateral Agent shall be determined based on the actual knowledge of the 2021-1 Collateral Agent’s Responsible Officers (as defined in the 2021-1 Financing Documents), it being understood that each such Responsible Officer shall have no duty to make any inquiry regarding the propriety of any payment, distribution or proceeds, (ii) the actual knowledge of the 2020-3 Trustee shall be determined based on the actual knowledge of the 2020-3 Trustee’s Responsible Officers (as defined in the 2020-3 Indenture), it being understood that each such Responsible Officer shall have no duty to make any inquiry regarding the propriety of any payment, distribution or proceeds, (iii) the actual knowledge of the 2020-2 Trustee shall be determined based on the actual knowledge of the 2020-2 Trustee’s Responsible Officers (as defined in the 2020-2 Indenture), it being understood that each such Responsible Officer shall have no duty to make any inquiry regarding the propriety of any payment, distribution or proceeds, (iv) the actual knowledge of the 2020-1 Trustee shall be determined based on the actual knowledge of the 2020-1 Trustee’s Responsible Officers (as defined in the 2020-1 Indenture), it being understood that each such Responsible Officer shall have no duty to make any inquiry regarding the propriety of any payment, distribution or proceeds, (v) the actual knowledge of the 2019-3 Trustee shall be determined based on the actual knowledge of the 2019-3 Trustee’s Responsible Officers (as defined in the 2019-3 Indenture), it being understood that each such Responsible Officer shall have no duty to make any inquiry regarding the propriety of any payment, distribution or proceeds, (vi) the actual knowledge of the 2019-2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23" w:name="page224"/>
    <w:bookmarkEnd w:id="223"/>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Collateral Agent shall be determined based on the actual knowledge of the 2019-2 Collateral Agent’s Responsible Officers (as defined in the 2019-2 Loan and Security Agreement), it being understood that each such Responsible Officer shall have no duty to make any inquiry regarding the propriety of any payment, distribution or proceeds, (vii) the actual knowledge of the 2019-1 Trustee shall be determined based on the actual knowledge of the 2019-1 Trustee’s Responsible Officers (as defined in the 2019-1 Indenture), it being understood that each such Responsible Officer shall have no duty to make any inquiry regarding the propriety of any payment, distribution or proceeds, (viii) the actual knowledge of Citizens shall be determined based on the actual knowledge of Citizens’ Responsible Officers (as defined in the Citizens Warehouse Documents), it being understood that each such Responsible Officer shall have no duty to make any inquiry regarding the propriety of any payment, distribution or proceeds, (ix) the actual knowledge of the 2018-3 Trustee shall be determined based on the actual knowledge of the 2018-3 Trustee’s Responsible Officers (as defined in the 2018-3 Indenture), it being understood that each such Responsible Officer shall have no duty to make any inquiry regarding the propriety of any payment, distribution or proceeds, (x) the actual knowledge of the 2018-2 Trustee shall be determined based on the actual knowledge of the 2018-2 Trustee’s Responsible Officers (as defined in the 2018-2 Indenture), it being understood that each such Responsible Officer shall have no duty to make any inquiry regarding the propriety of any payment, distribution or proceeds, (xi) the actual knowledge of the 2018-1 Trustee shall be determined based on the actual knowledge of the 2018-1 Trustee’s Responsible Officers (as defined in the 2018-1 Indenture), it being understood that each such Responsible Officer shall have no duty to make any inquiry regarding the propriety of any payment, distribution or proceeds, (xii) the actual knowledge of the 2017-3 Trustee shall be determined based on the actual knowledge of the 2017-3 Trustee’s Responsible Officers (as defined in the 2017-3 Indenture), it being understood that each such Responsible Officer shall have no duty to make any inquiry regarding the propriety of any payment, distribution or proceeds, (xiii) the actual knowledge of Wells Fargo shall be determined based on the actual knowledge of Wells Fargo’s Responsible Officers (as defined in the Wells Fargo Warehouse Documents), it being understood that each such Responsible Officer shall have no duty to make any inquiry regarding the propriety of any payment, distribution or proceeds, (xiv) the actual knowledge of the Credit Suisse Warehouse Collateral Agent shall be determined based on the actual knowledge of the Credit Suisse Warehouse Collateral Agent’s Responsible Officers (as defined in the Credit Suisse Warehouse Documents), it being understood that each such Responsible Officer shall have no duty to make any inquiry regarding the propriety of any payment, distribution or proceeds and (xv) the actual knowledge of Fifth Third shall be determined based on the actual knowledge of Fifth Third’s Responsible Officers (as defined in the Fifth Third Warehouse Documents), it being understood that each such Responsible Officer shall have no duty to make any inquiry regarding the propriety of any payment, distribution or proceeds.</w:t>
      </w:r>
    </w:p>
    <w:p>
      <w:pPr>
        <w:spacing w:after="0" w:line="200" w:lineRule="exact"/>
        <w:rPr>
          <w:sz w:val="20"/>
          <w:szCs w:val="20"/>
          <w:color w:val="auto"/>
        </w:rPr>
      </w:pPr>
    </w:p>
    <w:p>
      <w:pPr>
        <w:spacing w:after="0" w:line="217" w:lineRule="exact"/>
        <w:rPr>
          <w:sz w:val="20"/>
          <w:szCs w:val="20"/>
          <w:color w:val="auto"/>
        </w:rPr>
      </w:pPr>
    </w:p>
    <w:p>
      <w:pPr>
        <w:jc w:val="both"/>
        <w:ind w:firstLine="656"/>
        <w:spacing w:after="0" w:line="265" w:lineRule="auto"/>
        <w:tabs>
          <w:tab w:leader="none" w:pos="1296" w:val="left"/>
        </w:tabs>
        <w:numPr>
          <w:ilvl w:val="0"/>
          <w:numId w:val="228"/>
        </w:numPr>
        <w:rPr>
          <w:rFonts w:ascii="Arial" w:cs="Arial" w:eastAsia="Arial" w:hAnsi="Arial"/>
          <w:sz w:val="21"/>
          <w:szCs w:val="21"/>
          <w:color w:val="auto"/>
        </w:rPr>
      </w:pPr>
      <w:r>
        <w:rPr>
          <w:rFonts w:ascii="Arial" w:cs="Arial" w:eastAsia="Arial" w:hAnsi="Arial"/>
          <w:sz w:val="21"/>
          <w:szCs w:val="21"/>
          <w:u w:val="single" w:color="auto"/>
          <w:color w:val="auto"/>
        </w:rPr>
        <w:t>Further Assurances</w:t>
      </w:r>
      <w:r>
        <w:rPr>
          <w:rFonts w:ascii="Arial" w:cs="Arial" w:eastAsia="Arial" w:hAnsi="Arial"/>
          <w:sz w:val="21"/>
          <w:szCs w:val="21"/>
          <w:color w:val="auto"/>
        </w:rPr>
        <w:t>. Each Creditor and CAC Entity agrees that it shall be bound by all of the provisions of this Agreement. Without limiting any other provision hereof, each of the Creditors and CAC Entities agrees that it will promptly execute such instruments, notices or other documents as may be reasonably requested in writing by any party hereto for the purpose of confirming the provisions of this Agreement or better effectuating the intent hereof. CAC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reimburse each Creditor for all reasonable expenses incurred by such Creditor pursuant to this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45" w:lineRule="auto"/>
        <w:tabs>
          <w:tab w:leader="none" w:pos="1296"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Governing Law; Jurisdiction; Waiver of Jury Trial</w:t>
      </w:r>
      <w:r>
        <w:rPr>
          <w:rFonts w:ascii="Arial" w:cs="Arial" w:eastAsia="Arial" w:hAnsi="Arial"/>
          <w:sz w:val="22"/>
          <w:szCs w:val="22"/>
          <w:color w:val="auto"/>
        </w:rPr>
        <w:t>. This Agreement shall be governed by and construed in accordance with the internal laws of the State of New York. Each of the parties hereto agrees to the non-exclusive jurisdiction of any federal court located within the State of New York.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PARTY HERETO IRREVOCABLY WAIVES ALL RIGHT OF TRIAL BY JURY IN ANY ACTION, PROCEEDING OR COUNTERCLAIM BASED ON, OR ARISING OUT OF, UNDER OR IN CONNECTION WITH THIS AGREEMENT, ANY OTHER FINANCING DOCUMENT, OR ANY MATTER ARISING HEREUNDER OR THEREUNDER.</w:t>
      </w:r>
    </w:p>
    <w:p>
      <w:pPr>
        <w:spacing w:after="0" w:line="200" w:lineRule="exact"/>
        <w:rPr>
          <w:rFonts w:ascii="Arial" w:cs="Arial" w:eastAsia="Arial" w:hAnsi="Arial"/>
          <w:sz w:val="22"/>
          <w:szCs w:val="22"/>
          <w:color w:val="auto"/>
        </w:rPr>
      </w:pPr>
    </w:p>
    <w:p>
      <w:pPr>
        <w:jc w:val="both"/>
        <w:ind w:firstLine="656"/>
        <w:spacing w:after="0" w:line="286" w:lineRule="auto"/>
        <w:tabs>
          <w:tab w:leader="none" w:pos="1296"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shall be valid, binding, and enforceable against a party when executed and delivered by an authorized individual on behalf of the party by means of (i) an original manual signature; (ii) a faxed, scanned, or photocopied manual signature, or (iii) any other electronic signature permitted by the federal Electronic Signatures in Global and National Commerce Act, state enactments of the Uniform Electronic Transactions Act, and/or any other relevant electronic signatures law, including any relevant provisions of the Uniform Commercial Code (collectively, “</w:t>
      </w:r>
      <w:r>
        <w:rPr>
          <w:rFonts w:ascii="Arial" w:cs="Arial" w:eastAsia="Arial" w:hAnsi="Arial"/>
          <w:sz w:val="19"/>
          <w:szCs w:val="19"/>
          <w:u w:val="single" w:color="auto"/>
          <w:color w:val="auto"/>
        </w:rPr>
        <w:t>Signature Law</w:t>
      </w:r>
      <w:r>
        <w:rPr>
          <w:rFonts w:ascii="Arial" w:cs="Arial" w:eastAsia="Arial" w:hAnsi="Arial"/>
          <w:sz w:val="19"/>
          <w:szCs w:val="19"/>
          <w:color w:val="auto"/>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w:t>
      </w:r>
    </w:p>
    <w:p>
      <w:pPr>
        <w:spacing w:after="0" w:line="165"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one or more of the covenants, agreements, provisions or terms of this Agreement shall for any reason whatsoever be held invalid, then such covenants, agreements, provisions, or terms shall be deemed severable from the remaining covenants, agreements, provisions or terms of this Agreement and shall in no way affect the validity or enforceability of the other provisions of this Agreement.</w:t>
      </w:r>
    </w:p>
    <w:p>
      <w:pPr>
        <w:spacing w:after="0" w:line="187" w:lineRule="exact"/>
        <w:rPr>
          <w:rFonts w:ascii="Arial" w:cs="Arial" w:eastAsia="Arial" w:hAnsi="Arial"/>
          <w:sz w:val="22"/>
          <w:szCs w:val="22"/>
          <w:color w:val="auto"/>
        </w:rPr>
      </w:pPr>
    </w:p>
    <w:p>
      <w:pPr>
        <w:jc w:val="both"/>
        <w:ind w:firstLine="656"/>
        <w:spacing w:after="0" w:line="265" w:lineRule="auto"/>
        <w:tabs>
          <w:tab w:leader="none" w:pos="1296" w:val="left"/>
        </w:tabs>
        <w:numPr>
          <w:ilvl w:val="0"/>
          <w:numId w:val="229"/>
        </w:numPr>
        <w:rPr>
          <w:rFonts w:ascii="Arial" w:cs="Arial" w:eastAsia="Arial" w:hAnsi="Arial"/>
          <w:sz w:val="21"/>
          <w:szCs w:val="21"/>
          <w:color w:val="auto"/>
        </w:rPr>
      </w:pPr>
      <w:r>
        <w:rPr>
          <w:rFonts w:ascii="Arial" w:cs="Arial" w:eastAsia="Arial" w:hAnsi="Arial"/>
          <w:sz w:val="21"/>
          <w:szCs w:val="21"/>
          <w:u w:val="single" w:color="auto"/>
          <w:color w:val="auto"/>
        </w:rPr>
        <w:t>No Proceedings</w:t>
      </w:r>
      <w:r>
        <w:rPr>
          <w:rFonts w:ascii="Arial" w:cs="Arial" w:eastAsia="Arial" w:hAnsi="Arial"/>
          <w:sz w:val="21"/>
          <w:szCs w:val="21"/>
          <w:color w:val="auto"/>
        </w:rPr>
        <w:t>. Each of the parties hereto hereby agrees that it will not institute against, or join any other person in instituting against, Warehouse Funding II, Warehouse Funding IV, Warehouse Funding V, Warehouse Funding VI, Warehouse Funding VII, Warehouse Funding VIII, Funding 2021-1, Funding 2020-3, the 2020-3 Trust, Funding 2020-2, the 2020-2 Trust, Funding 2020-1, the 2020-1 Trust, Funding 2019-3, the 2019-3 Trust,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2019-2, Funding 2019-1, the 2019-1 Trust, Funding 2018-3, the 2018-3 Trust, Funding 2018-2, the 2018-2 Trust, Funding 2018-1, the 2018-1 Trust, Funding 2017-3 or the 2017-3 Trust, any bankruptcy, reorganization, arrangement, insolvency or liquidation proceedings, or other proceedings under any federal or state bankruptcy or similar law so long as there shall not have elapsed one year and one day after there are no remaining amounts owed to any of the Creditors by any of the CAC Entities pursuant to the Wells Fargo Warehouse Documents, the Fifth Third Warehouse Documents, the BMO Warehouse Documents, the Flagstar Warehouse Documents, the Credit Suisse Warehouse Documents, the Citizens Warehouse Documents, the 2021-1 Financing Documents, the 2020-3 Securitization Documents, the 2020-2 Securitization Documents, the 2020-1 Securitization Documents, the 2019-3 Securitization Documents, the 2019-2 Financing Documents, the 2019-1 Securitization Documents, the 2018-3 Securitization Documents, the 2018-2 Securitization Documents, the 2018-1 Securitization Documents and the 2017-3 Securitization Documents.</w:t>
      </w:r>
    </w:p>
    <w:p>
      <w:pPr>
        <w:spacing w:after="0" w:line="185" w:lineRule="exact"/>
        <w:rPr>
          <w:sz w:val="20"/>
          <w:szCs w:val="20"/>
          <w:color w:val="auto"/>
        </w:rPr>
      </w:pPr>
    </w:p>
    <w:p>
      <w:pPr>
        <w:jc w:val="both"/>
        <w:ind w:firstLine="656"/>
        <w:spacing w:after="0" w:line="302" w:lineRule="auto"/>
        <w:tabs>
          <w:tab w:leader="none" w:pos="1296"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This Agreement and the rights and obligations of the parties hereunder may not be changed orally, but only by an instrument in writing executed by all of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amount owed by the CAC Entities to any Creditor shall be reduced to zero and such Creditor shall have no obligation or agreement to make any further advances to any CAC Entity, this Agreement may be amended by the other parties hereto without the consent of such Creditor.</w:t>
      </w:r>
    </w:p>
    <w:p>
      <w:pPr>
        <w:spacing w:after="0" w:line="142" w:lineRule="exact"/>
        <w:rPr>
          <w:rFonts w:ascii="Arial" w:cs="Arial" w:eastAsia="Arial" w:hAnsi="Arial"/>
          <w:sz w:val="19"/>
          <w:szCs w:val="19"/>
          <w:color w:val="auto"/>
        </w:rPr>
      </w:pPr>
    </w:p>
    <w:p>
      <w:pPr>
        <w:ind w:firstLine="656"/>
        <w:spacing w:after="0" w:line="263" w:lineRule="auto"/>
        <w:tabs>
          <w:tab w:leader="none" w:pos="1296"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This Agreement is not intended to confer upon any person other than the parties hereto any rights or remedies hereunder.</w:t>
      </w:r>
    </w:p>
    <w:p>
      <w:pPr>
        <w:spacing w:after="0" w:line="174" w:lineRule="exact"/>
        <w:rPr>
          <w:rFonts w:ascii="Arial" w:cs="Arial" w:eastAsia="Arial" w:hAnsi="Arial"/>
          <w:sz w:val="22"/>
          <w:szCs w:val="22"/>
          <w:color w:val="auto"/>
        </w:rPr>
      </w:pPr>
    </w:p>
    <w:p>
      <w:pPr>
        <w:jc w:val="both"/>
        <w:ind w:firstLine="656"/>
        <w:spacing w:after="0" w:line="259" w:lineRule="auto"/>
        <w:tabs>
          <w:tab w:leader="none" w:pos="1288" w:val="left"/>
        </w:tabs>
        <w:numPr>
          <w:ilvl w:val="0"/>
          <w:numId w:val="230"/>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This Agreement shall be binding upon and inure to the benefit of each of the parties hereto and their respective successors and assigns, including any successor or assignor to the 2020-3 Trustee under the 2020-3 Securitization Documents, any successor or assignor to the 2020-2 Trustee under the 2020-2 Securitization Documents, any successor or assignor to the 2020-1 Trustee under the 2020-1 Securitization Documents, any successor or assignor to the 2019-3 Trustee under the 2019-3 Securitization Documents, any successor or assignor to the 2019-1 Trustee under the 2019-1 Securitization Documents, any successor or assignor to the 2018-3 Trustee under the 2018-3 Securitization Documents, any successor or assignor to the 2018-2 Trustee under the 2018-2 Securitization Documents, any successor or assignor to the 2018-1 Trustee under the 2018-1 Securitization Documents and any successor or assignor to the 2017-3 Trustee under the 2017-3 Securitization Documents.</w:t>
      </w:r>
    </w:p>
    <w:p>
      <w:pPr>
        <w:spacing w:after="0" w:line="179" w:lineRule="exact"/>
        <w:rPr>
          <w:rFonts w:ascii="Arial" w:cs="Arial" w:eastAsia="Arial" w:hAnsi="Arial"/>
          <w:sz w:val="21"/>
          <w:szCs w:val="21"/>
          <w:color w:val="auto"/>
        </w:rPr>
      </w:pPr>
    </w:p>
    <w:p>
      <w:pPr>
        <w:jc w:val="both"/>
        <w:ind w:firstLine="656"/>
        <w:spacing w:after="0" w:line="292" w:lineRule="auto"/>
        <w:tabs>
          <w:tab w:leader="none" w:pos="1296"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provided herein, all notices or demand hereunder to the parties hereto shall be sufficient if made in writing, and: (i) sent via certified or registered mail (or the equivalent thereof), postage prepaid, (ii) delivered by messenger or overnight courier, or (iii) transmitted via electronic means or facsimile with a confirmation of the receipt thereof. Notice shall be deemed to be given for purposes of this Agreement on the day of receipt. Unless otherwise specified in a notice sent or delivered in accordance with the foregoing provisions of this Section, notices, demands and other communications in writing shall be given to or made upon the respective parties hereto: (a) in the case of any of the CAC Entities, to Silver Triangle Building, 25505 West Twelve Mile Road, Southfield, Michigan 48034-8339,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Douglas W. Busk, telephone: (248) 353-2700 (ext. 4432), facsimile: (866) 743-2704; (b) in the case of the 2020-3 Trust, the 2020-2 Trust, the 2020-1 Trust, the 2019-3 Trust, the 2019-1 Trust, the 2018-3 Trust, the 2018-2 Trust, the 2018-1 Trust and the 2017-3 Trust also to Delle Donne Corporate Center, Mail Code: EX-DE-WD2D, 1011 Centre Road, Wilmington, Delaware 19805 Attention: Global Corporate Trust, telephone: (302) 576-3704, facsimile: (302) 576-3717; (c) in the case of Fifth Third or the 2021-1 Collateral Agent, to 38 Fountain Square Plaza, MD 109046, Cincinnati, Ohio 45263, Attention: Brian Gardner, telephone: (513) 534-7949, facsimile: (513) 534-0319; (d) in the case of BMO, to Bank of Montreal, 115 South LaSalle Street, 20th Floor West, Chicago, Illinois 60603, Attention: Karen Louie, Facsimile No.: (312) 293-4948, Confirmation No.: (312) 293-4410; (e) in the case of the 2020-3 Trustee, the 2020-2 Trustee, the 2020-1 Trustee, the 2019-3 Trustee, the 2019-2 Collateral Agent, the 2019-1 Trustee, the 2018-3 Trustee, 2018-2 Trustee, the 2018-1 Trustee and 2017-3 Trustee to MAC N9300-061, 600 S. 4th Street, Minneapolis, Minnesota 55415 Attention: Corporate Trust Services – Asset-Backed Administration, telephone:</w:t>
      </w:r>
    </w:p>
    <w:p>
      <w:pPr>
        <w:spacing w:after="0" w:line="2" w:lineRule="exact"/>
        <w:rPr>
          <w:sz w:val="20"/>
          <w:szCs w:val="20"/>
          <w:color w:val="auto"/>
        </w:rPr>
      </w:pPr>
    </w:p>
    <w:p>
      <w:pPr>
        <w:jc w:val="both"/>
        <w:ind w:firstLine="8"/>
        <w:spacing w:after="0" w:line="234" w:lineRule="auto"/>
        <w:tabs>
          <w:tab w:leader="none" w:pos="548" w:val="left"/>
        </w:tabs>
        <w:numPr>
          <w:ilvl w:val="0"/>
          <w:numId w:val="231"/>
        </w:numPr>
        <w:rPr>
          <w:rFonts w:ascii="Arial" w:cs="Arial" w:eastAsia="Arial" w:hAnsi="Arial"/>
          <w:sz w:val="21"/>
          <w:szCs w:val="21"/>
          <w:color w:val="auto"/>
        </w:rPr>
      </w:pPr>
      <w:r>
        <w:rPr>
          <w:rFonts w:ascii="Arial" w:cs="Arial" w:eastAsia="Arial" w:hAnsi="Arial"/>
          <w:sz w:val="21"/>
          <w:szCs w:val="21"/>
          <w:color w:val="auto"/>
        </w:rPr>
        <w:t>667-8058, facsimile: (612) 667-3464; (f) in the case of Comerica, to 411 West Lafayette, 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Floor, MC: 3394, Detroit, Michigan 48226, Attention: Anthony E. Lemelin, telephone: (313) 222-9224, facsimile: (313) 222-3716; (g) in the case of Flagstar, to 5151 Corporate Drive, Troy, Michigan 48098, Attention: Kelly Hamrick, telephone: (248)-312-2593, facsimile: (248)-250-5845; (h) in the case of the Credit Suisse Warehouse Collateral Agent, to 600 S. 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Street, MAC N9300-061, Minneapolis, Minnesota 55415, Attention: Corporate Trust Services — Asset-Backed Administration, telephone: (612) 667-8058, facsimile: (612) 667-3464; and (i) in the case of the Citizens, to Citizens Bank, N.A., 600 Washington Boulevard, Stamford, Connecticut, 06901, Attention: Erik Priede, telephone: (203) 900-6824; and (j) in the case of the Wells Fargo, to 600 S. 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Street, MAC N9300-061, Minneapolis, Minnesota 55415, Attention: Corporate Trust Services — Asset-Backed Administration, telephone: (612) 667-8058, facsimile: (612) 667-3464.</w:t>
      </w:r>
    </w:p>
    <w:p>
      <w:pPr>
        <w:spacing w:after="0" w:line="199" w:lineRule="exact"/>
        <w:rPr>
          <w:rFonts w:ascii="Arial" w:cs="Arial" w:eastAsia="Arial" w:hAnsi="Arial"/>
          <w:sz w:val="21"/>
          <w:szCs w:val="21"/>
          <w:color w:val="auto"/>
        </w:rPr>
      </w:pPr>
    </w:p>
    <w:p>
      <w:pPr>
        <w:jc w:val="both"/>
        <w:ind w:firstLine="656"/>
        <w:spacing w:after="0" w:line="287" w:lineRule="auto"/>
        <w:tabs>
          <w:tab w:leader="none" w:pos="1296" w:val="left"/>
        </w:tabs>
        <w:numPr>
          <w:ilvl w:val="1"/>
          <w:numId w:val="231"/>
        </w:numPr>
        <w:rPr>
          <w:rFonts w:ascii="Arial" w:cs="Arial" w:eastAsia="Arial" w:hAnsi="Arial"/>
          <w:sz w:val="19"/>
          <w:szCs w:val="19"/>
          <w:color w:val="auto"/>
        </w:rPr>
      </w:pPr>
      <w:r>
        <w:rPr>
          <w:rFonts w:ascii="Arial" w:cs="Arial" w:eastAsia="Arial" w:hAnsi="Arial"/>
          <w:sz w:val="19"/>
          <w:szCs w:val="19"/>
          <w:u w:val="single" w:color="auto"/>
          <w:color w:val="auto"/>
        </w:rPr>
        <w:t>Direction Orders</w:t>
      </w:r>
      <w:r>
        <w:rPr>
          <w:rFonts w:ascii="Arial" w:cs="Arial" w:eastAsia="Arial" w:hAnsi="Arial"/>
          <w:sz w:val="19"/>
          <w:szCs w:val="19"/>
          <w:color w:val="auto"/>
        </w:rPr>
        <w:t>. CAC, as administrator under the 2020-3 Securitization Documents and Funding 2020-3, as certificateholder, each directs the Owner Trustee of the 2020-3 Trust to enter into this Agreement; CAC, as administrator under the 2020-2 Securitization Documents and Funding 2020-2, as certificateholder, each directs the Owner Trustee of the 2020-2 Trust to enter into this Agreement; CAC, as administrator under the 2020-1 Securitization Documents and Funding 2020-1, as certificateholder, each directs the Owner Trustee of the 2020-1 Trust to enter into this Agreement; CAC, as administrator under the 2019-3 Securitization Documents and Funding 2019-3, as certificateholder, each directs the Owner Trustee of the 2019-3 Trust to enter into this Agreement; CAC, as administrator under the 2019-1 Securitization Documents and Funding 2019-1, as certificateholder, each directs the Owner Trustee of the 2019-1 Trust to enter into this Agreement; CAC, as administrator under the 2018-3 Securitization Documents and Funding 2018-3, as certificateholder, directs the Owner Trustee of the 2018-3 Trust to enter into this Agreement; Funding 2018-2, as certificateholder, directs the Owner Trustee of the 2018-2 Trust to enter into this Agreement; Funding 2018-1, as certificateholder, directs the Owner Trustee of the 2018-1 Trust to enter into this Agreement; and Funding 2017-3, as certificateholder, directs the Owner Trustee of the 2017-3 Trust to enter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204" w:lineRule="exact"/>
        <w:rPr>
          <w:sz w:val="20"/>
          <w:szCs w:val="20"/>
          <w:color w:val="auto"/>
        </w:rPr>
      </w:pPr>
    </w:p>
    <w:p>
      <w:pPr>
        <w:jc w:val="both"/>
        <w:ind w:firstLine="656"/>
        <w:spacing w:after="0" w:line="246" w:lineRule="auto"/>
        <w:tabs>
          <w:tab w:leader="none" w:pos="1296"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Each party’s rights and obligations under this Agreement shall terminate at the time all amounts due to or owed by such party have been paid in full and such party’s applicable Financing Documents have been terminated so long as each party whose rights and obligations are subject to termination pursuant to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(i) has no actual knowledge or written notice of payments, distributions, security or the proceeds thereof to which another Creditor or Creditors is entitled, as provided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hereof, and (ii) has not received a written notice from Comerica under the CAC Credit Facility Documents that there is a “Default” or an “Event of Default” (as such terms are defined therein) at the time of the termination of the applicable Financing Documents.</w:t>
      </w:r>
    </w:p>
    <w:p>
      <w:pPr>
        <w:spacing w:after="0" w:line="196" w:lineRule="exact"/>
        <w:rPr>
          <w:rFonts w:ascii="Arial" w:cs="Arial" w:eastAsia="Arial" w:hAnsi="Arial"/>
          <w:sz w:val="22"/>
          <w:szCs w:val="22"/>
          <w:color w:val="auto"/>
        </w:rPr>
      </w:pPr>
    </w:p>
    <w:p>
      <w:pPr>
        <w:jc w:val="both"/>
        <w:ind w:firstLine="656"/>
        <w:spacing w:after="0" w:line="290" w:lineRule="auto"/>
        <w:tabs>
          <w:tab w:leader="none" w:pos="1296"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Integration; Termination of Prior Agreement</w:t>
      </w:r>
      <w:r>
        <w:rPr>
          <w:rFonts w:ascii="Arial" w:cs="Arial" w:eastAsia="Arial" w:hAnsi="Arial"/>
          <w:sz w:val="19"/>
          <w:szCs w:val="19"/>
          <w:color w:val="auto"/>
        </w:rPr>
        <w:t>. This Agreement sets forth the entire understanding of the parties relating to the subject matter hereof, and all prior understandings, written or oral, are superseded by this Agreement. Without limiting the generality of the foregoing, this Agreement is intended to supersede the Prior Agreement in its entirety. Each of Comerica, Wells Fargo, Fifth Third, BMO, Flagstar, the Credit Suisse Warehouse Collateral Agent, Citizens, the 2020-3 Trustee, the 2020-2 Trustee, the 2020-1 Trustee, the 2019-3 Trustee, the 2019-1 Trustee, the 2018-3 Trustee, the 2018-2 Trustee, the 2018-1 Trustee and the 2017-3 Trustee and the CAC Entities that were parties to the Prior Agreement further acknowledge and agree that, as among themselves, this Agreement supersedes the Prior Agreement with respect to their rights as against each other and that this Agreement shall govern their rights against each other and the other parties hereto.</w:t>
      </w:r>
    </w:p>
    <w:p>
      <w:pPr>
        <w:spacing w:after="0" w:line="155" w:lineRule="exact"/>
        <w:rPr>
          <w:rFonts w:ascii="Arial" w:cs="Arial" w:eastAsia="Arial" w:hAnsi="Arial"/>
          <w:sz w:val="19"/>
          <w:szCs w:val="19"/>
          <w:color w:val="auto"/>
        </w:rPr>
      </w:pPr>
    </w:p>
    <w:p>
      <w:pPr>
        <w:jc w:val="both"/>
        <w:ind w:firstLine="656"/>
        <w:spacing w:after="0" w:line="287" w:lineRule="auto"/>
        <w:tabs>
          <w:tab w:leader="none" w:pos="1296" w:val="left"/>
        </w:tabs>
        <w:numPr>
          <w:ilvl w:val="0"/>
          <w:numId w:val="232"/>
        </w:numPr>
        <w:rPr>
          <w:rFonts w:ascii="Arial" w:cs="Arial" w:eastAsia="Arial" w:hAnsi="Arial"/>
          <w:sz w:val="19"/>
          <w:szCs w:val="19"/>
          <w:color w:val="auto"/>
        </w:rPr>
      </w:pPr>
      <w:r>
        <w:rPr>
          <w:rFonts w:ascii="Arial" w:cs="Arial" w:eastAsia="Arial" w:hAnsi="Arial"/>
          <w:sz w:val="19"/>
          <w:szCs w:val="19"/>
          <w:u w:val="single" w:color="auto"/>
          <w:color w:val="auto"/>
        </w:rPr>
        <w:t>PATRIOT Act.</w:t>
      </w:r>
      <w:r>
        <w:rPr>
          <w:rFonts w:ascii="Arial" w:cs="Arial" w:eastAsia="Arial" w:hAnsi="Arial"/>
          <w:sz w:val="19"/>
          <w:szCs w:val="19"/>
          <w:color w:val="auto"/>
        </w:rPr>
        <w:t xml:space="preserve"> The parties hereto acknowledge that in accordance with the Customer Identification Program (CIP) requirements under the Uniting and Strengthening America by Providing Appropriate Tools Required to Intercept and Obstruct Terrorism Act of 2001, Title III of Pub. L. 107 56 (signed into law October 26, 2001) and its implementing regulations (collectively, the “</w:t>
      </w:r>
      <w:r>
        <w:rPr>
          <w:rFonts w:ascii="Arial" w:cs="Arial" w:eastAsia="Arial" w:hAnsi="Arial"/>
          <w:sz w:val="19"/>
          <w:szCs w:val="19"/>
          <w:u w:val="single" w:color="auto"/>
          <w:color w:val="auto"/>
        </w:rPr>
        <w:t>USA PATRIOT Act</w:t>
      </w:r>
      <w:r>
        <w:rPr>
          <w:rFonts w:ascii="Arial" w:cs="Arial" w:eastAsia="Arial" w:hAnsi="Arial"/>
          <w:sz w:val="19"/>
          <w:szCs w:val="19"/>
          <w:color w:val="auto"/>
        </w:rPr>
        <w:t>”), each of Comerica, Wells Fargo, Fifth Third, BMO, Flagstar, the Credit Suisse Warehouse Collateral Agent, Citizens, the 2021-1 Collateral Agent, the 2020-3 Trustee, the 2020-2 Trustee, the 2020-1 Trustee, the 2019-3 Trustee, the 2019-2 Collateral Agent, the 2019-1 Trustee, the 2018-3 Trustee, the 2018-2 Trustee, the 2018-1 Trustee and the 2017-3 Trustee (collectively, and as applicable, the “</w:t>
      </w:r>
      <w:r>
        <w:rPr>
          <w:rFonts w:ascii="Arial" w:cs="Arial" w:eastAsia="Arial" w:hAnsi="Arial"/>
          <w:sz w:val="19"/>
          <w:szCs w:val="19"/>
          <w:u w:val="single" w:color="auto"/>
          <w:color w:val="auto"/>
        </w:rPr>
        <w:t>Trustees</w:t>
      </w:r>
      <w:r>
        <w:rPr>
          <w:rFonts w:ascii="Arial" w:cs="Arial" w:eastAsia="Arial" w:hAnsi="Arial"/>
          <w:sz w:val="19"/>
          <w:szCs w:val="19"/>
          <w:color w:val="auto"/>
        </w:rPr>
        <w:t>”) in order to help fight the funding of terrorism and money laundering, is required to obtain, verify, and record information that identifies each person or legal entity that establishes a relationship or opens an account with the Trustees. Each party hereby agrees that it shall provide the Trustees with such information as the Trustees may request that will help Trustees to identify and verify each party’s identity, including without limitation each party’s name, physical address, tax identification number, organizational documents, certificate of good standing, license to do business, or other pertinent identifying information.</w:t>
      </w:r>
    </w:p>
    <w:p>
      <w:pPr>
        <w:spacing w:after="0" w:line="158" w:lineRule="exact"/>
        <w:rPr>
          <w:rFonts w:ascii="Arial" w:cs="Arial" w:eastAsia="Arial" w:hAnsi="Arial"/>
          <w:sz w:val="19"/>
          <w:szCs w:val="19"/>
          <w:color w:val="auto"/>
        </w:rPr>
      </w:pPr>
    </w:p>
    <w:p>
      <w:pPr>
        <w:jc w:val="both"/>
        <w:ind w:firstLine="656"/>
        <w:spacing w:after="0" w:line="248" w:lineRule="auto"/>
        <w:tabs>
          <w:tab w:leader="none" w:pos="1404"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Concerning the Owner Trustees</w:t>
      </w:r>
      <w:r>
        <w:rPr>
          <w:rFonts w:ascii="Arial" w:cs="Arial" w:eastAsia="Arial" w:hAnsi="Arial"/>
          <w:sz w:val="22"/>
          <w:szCs w:val="22"/>
          <w:color w:val="auto"/>
        </w:rPr>
        <w:t>. It is expressly understood and agreed by the parties hereto that (i) this Agreement is executed and delivered by U.S. Bank Trust National Association, not individually or personally but solely in its capacity as trustee on behalf of each of the Trusts (in such capacity, the “</w:t>
      </w:r>
      <w:r>
        <w:rPr>
          <w:rFonts w:ascii="Arial" w:cs="Arial" w:eastAsia="Arial" w:hAnsi="Arial"/>
          <w:sz w:val="22"/>
          <w:szCs w:val="22"/>
          <w:u w:val="single" w:color="auto"/>
          <w:color w:val="auto"/>
        </w:rPr>
        <w:t>Owner Trustee</w:t>
      </w:r>
      <w:r>
        <w:rPr>
          <w:rFonts w:ascii="Arial" w:cs="Arial" w:eastAsia="Arial" w:hAnsi="Arial"/>
          <w:sz w:val="22"/>
          <w:szCs w:val="22"/>
          <w:color w:val="auto"/>
        </w:rPr>
        <w:t>”), at the direction of, as applicable, CAC, as administrator, or the relevant Funding entity, each as certificateholder, pursuant to and in the exercise of the powers and authority conferred and vested in it under the Trust Agreement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respective Trust, (ii) each of the representations, warranties, undertakings and agreements herein made on the part of each Trust is made and intended not as personal representations, warranties, undertakings and agreements by U.S. Bank Trust National Association or the Owner Trustee but is made and intended for the purpose of binding, and is binding only on, the applicable Trust, (iii) nothing herein contained shall be construed as creating any obligation or liability on U.S. Bank Trust National Association, individually or personally or as Owner Trustee, to perform any covenant either expressed or implied contained herein, all such obligation or liability, if any, being expressly waived by the parties hereto and by any Person claiming by, through or under the parties hereto, (iv) U.S. Bank Trust National Association, individually and as Owner Trustee, has made no investigation as to the accuracy or completeness of any representations or warranties made by the Trusts in this Agreement and</w:t>
      </w:r>
    </w:p>
    <w:p>
      <w:pPr>
        <w:spacing w:after="0" w:line="2" w:lineRule="exact"/>
        <w:rPr>
          <w:sz w:val="20"/>
          <w:szCs w:val="20"/>
          <w:color w:val="auto"/>
        </w:rPr>
      </w:pPr>
    </w:p>
    <w:p>
      <w:pPr>
        <w:jc w:val="both"/>
        <w:ind w:firstLine="8"/>
        <w:spacing w:after="0" w:line="259" w:lineRule="auto"/>
        <w:tabs>
          <w:tab w:leader="none" w:pos="308" w:val="left"/>
        </w:tabs>
        <w:numPr>
          <w:ilvl w:val="0"/>
          <w:numId w:val="233"/>
        </w:numPr>
        <w:rPr>
          <w:rFonts w:ascii="Arial" w:cs="Arial" w:eastAsia="Arial" w:hAnsi="Arial"/>
          <w:sz w:val="21"/>
          <w:szCs w:val="21"/>
          <w:color w:val="auto"/>
        </w:rPr>
      </w:pPr>
      <w:r>
        <w:rPr>
          <w:rFonts w:ascii="Arial" w:cs="Arial" w:eastAsia="Arial" w:hAnsi="Arial"/>
          <w:sz w:val="21"/>
          <w:szCs w:val="21"/>
          <w:color w:val="auto"/>
        </w:rPr>
        <w:t>under no circumstances shall U.S. Bank Trust National Association or the Owner Trustee be personally liable for the payment of any indebtedness, indemnities or expenses of the Trusts or be liable for the performance, breach or failure of any obligation, representation, warranty or covenant made or undertaken by the Trusts under this Agreement, or any other related documents, as to all of which recourse shall be had solely to the assets of the applicable Trusts.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Amended and Restated Intercreditor Agreement has been executed and delivered by the parties hereto as of the date first above written.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CORPORATION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CAC WAREHOUSE FUNDING CORPORATION II</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CAC WAREHOUSE FUNDING LLC IV</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CAC WAREHOUSE FUNDING LLC V</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CAC WAREHOUSE FUNDING LLC VI</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CAC WAREHOUSE FUNDING LLC VII</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CAC WAREHOUSE FUNDING LLC VIII</w:t>
      </w:r>
    </w:p>
    <w:p>
      <w:pPr>
        <w:sectPr>
          <w:pgSz w:w="11900" w:h="16838" w:orient="portrait"/>
          <w:cols w:equalWidth="0" w:num="1">
            <w:col w:w="10860"/>
          </w:cols>
          <w:pgMar w:left="32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[A&amp;R Intercreditor Agreement]</w:t>
      </w:r>
    </w:p>
    <w:p>
      <w:pPr>
        <w:sectPr>
          <w:pgSz w:w="11900" w:h="16838" w:orient="portrait"/>
          <w:cols w:equalWidth="0" w:num="1">
            <w:col w:w="10860"/>
          </w:cols>
          <w:pgMar w:left="320" w:top="1440" w:right="719" w:bottom="1440" w:gutter="0" w:footer="0" w:header="0"/>
          <w:type w:val="continuous"/>
        </w:sectPr>
      </w:pPr>
    </w:p>
    <w:bookmarkStart w:id="230" w:name="page231"/>
    <w:bookmarkEnd w:id="230"/>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ACCEPTANCE FUNDING LLC 2021-1</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ACCEPTANCE FUNDING LLC 2020-3</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ACCEPTANCE FUNDING LLC 2020-2</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ACCEPTANCE FUNDING LLC 2020-1</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ACCEPTANCE FUNDING LLC 2019-3</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CREDIT ACCEPTANCE FUNDING LLC 2019-2</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[A&amp;R Intercreditor Agreement]</w:t>
      </w:r>
    </w:p>
    <w:p>
      <w:pPr>
        <w:sectPr>
          <w:pgSz w:w="11900" w:h="16838" w:orient="portrait"/>
          <w:cols w:equalWidth="0" w:num="1">
            <w:col w:w="10139"/>
          </w:cols>
          <w:pgMar w:left="320" w:top="1440" w:right="1440" w:bottom="1440" w:gutter="0" w:footer="0" w:header="0"/>
          <w:type w:val="continuous"/>
        </w:sectPr>
      </w:pPr>
    </w:p>
    <w:bookmarkStart w:id="231" w:name="page232"/>
    <w:bookmarkEnd w:id="231"/>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FUNDING LLC 2019-1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FUNDING LLC 2018-3</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FUNDING LLC 2018-2</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FUNDING LLC 2018-1</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FUNDING LLC 2017-3</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34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Douglas W. Busk</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Chief Treasury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3599"/>
        <w:spacing w:after="0"/>
        <w:rPr>
          <w:sz w:val="20"/>
          <w:szCs w:val="20"/>
          <w:color w:val="auto"/>
        </w:rPr>
      </w:pPr>
      <w:r>
        <w:rPr>
          <w:rFonts w:ascii="Arial" w:cs="Arial" w:eastAsia="Arial" w:hAnsi="Arial"/>
          <w:sz w:val="14"/>
          <w:szCs w:val="14"/>
          <w:color w:val="auto"/>
        </w:rPr>
        <w:t>[A&amp;R Intercreditor Agreement]</w:t>
      </w:r>
    </w:p>
    <w:p>
      <w:pPr>
        <w:sectPr>
          <w:pgSz w:w="11900" w:h="16838" w:orient="portrait"/>
          <w:cols w:equalWidth="0" w:num="1">
            <w:col w:w="10139"/>
          </w:cols>
          <w:pgMar w:left="320" w:top="1428" w:right="1440"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2020-3</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2020-2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2020-1</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2019-3</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1292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[A&amp;R Intercreditor Agreement]</w:t>
      </w:r>
    </w:p>
    <w:p>
      <w:pPr>
        <w:sectPr>
          <w:pgSz w:w="11900" w:h="16838" w:orient="portrait"/>
          <w:cols w:equalWidth="0" w:num="1">
            <w:col w:w="10139"/>
          </w:cols>
          <w:pgMar w:left="320" w:top="1422" w:right="1440"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2019-1</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2018-3</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2018-2</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2018-1</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U.S. Bank Trust National Association,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Not In Its Individual Capacity But Solely</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1292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[A&amp;R Intercreditor Agreement]</w:t>
      </w:r>
    </w:p>
    <w:p>
      <w:pPr>
        <w:sectPr>
          <w:pgSz w:w="11900" w:h="16838" w:orient="portrait"/>
          <w:cols w:equalWidth="0" w:num="1">
            <w:col w:w="10139"/>
          </w:cols>
          <w:pgMar w:left="320" w:top="1422" w:right="1440"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22"/>
          <w:szCs w:val="22"/>
          <w:b w:val="1"/>
          <w:bCs w:val="1"/>
          <w:color w:val="auto"/>
        </w:rPr>
        <w:t>CREDIT ACCEPTANCE AUTO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 TRUST 2017-3</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U.S. Bank Trust National Association,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Not In Its Individual Capacity But Solely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Owner Trustee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 Mirtza J.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12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1292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Mirtza J. Escobar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w:t>
      </w:r>
    </w:p>
    <w:p>
      <w:pPr>
        <w:spacing w:after="0" w:line="27"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Not In Its Individual Capacity But Solely as the 2017-3 Trustee, the 2018-1 Trustee, the 2018-2 Trustee, the 2018-3 Trustee, the 2019-1 Trustee, the 2019-2 Collateral Agent, the 2019-3 Trustee, the 2020-1 Trustee, the 2020-2 Trustee, the 2020-3 Trustee, the Collateral Agent under the Wells Fargo Warehouse Documents and the Collateral Agent under the Credit Suisse Warehouse Documents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 Kristen L. Puttin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34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Kristen L. Puttin</w:t>
      </w:r>
    </w:p>
    <w:p>
      <w:pPr>
        <w:spacing w:after="0" w:line="4"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[A&amp;R Intercreditor Agreement]</w:t>
      </w:r>
    </w:p>
    <w:p>
      <w:pPr>
        <w:sectPr>
          <w:pgSz w:w="11900" w:h="16838" w:orient="portrait"/>
          <w:cols w:equalWidth="0" w:num="1">
            <w:col w:w="11140"/>
          </w:cols>
          <w:pgMar w:left="320" w:top="1422" w:right="439" w:bottom="1440" w:gutter="0" w:footer="0" w:header="0"/>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FIFTH THIRD BANK, NATIONAL ASSOCIATION</w:t>
      </w:r>
      <w:r>
        <w:rPr>
          <w:rFonts w:ascii="Arial" w:cs="Arial" w:eastAsia="Arial" w:hAnsi="Arial"/>
          <w:sz w:val="22"/>
          <w:szCs w:val="22"/>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As Lender, as the 2021-1 Collateral Agent and as Collateral Agent under the Fifth Third Warehouse Documents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 Brian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5011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By: Brian Gardner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00"/>
        <w:spacing w:after="0"/>
        <w:rPr>
          <w:sz w:val="20"/>
          <w:szCs w:val="20"/>
          <w:color w:val="auto"/>
        </w:rPr>
      </w:pPr>
      <w:r>
        <w:rPr>
          <w:rFonts w:ascii="Arial" w:cs="Arial" w:eastAsia="Arial" w:hAnsi="Arial"/>
          <w:sz w:val="13"/>
          <w:szCs w:val="13"/>
          <w:color w:val="auto"/>
        </w:rPr>
        <w:t>[A&amp;R Intercreditor Agreement]</w:t>
      </w:r>
    </w:p>
    <w:p>
      <w:pPr>
        <w:sectPr>
          <w:pgSz w:w="11900" w:h="16838" w:orient="portrait"/>
          <w:cols w:equalWidth="0" w:num="1">
            <w:col w:w="10139"/>
          </w:cols>
          <w:pgMar w:left="320" w:top="1440" w:right="1440"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As Lender and Collateral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Karen Louie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24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20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Karen Louie</w:t>
      </w:r>
    </w:p>
    <w:p>
      <w:pPr>
        <w:spacing w:after="0" w:line="21"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599"/>
        <w:spacing w:after="0"/>
        <w:rPr>
          <w:sz w:val="20"/>
          <w:szCs w:val="20"/>
          <w:color w:val="auto"/>
        </w:rPr>
      </w:pPr>
      <w:r>
        <w:rPr>
          <w:rFonts w:ascii="Arial" w:cs="Arial" w:eastAsia="Arial" w:hAnsi="Arial"/>
          <w:sz w:val="14"/>
          <w:szCs w:val="14"/>
          <w:color w:val="auto"/>
        </w:rPr>
        <w:t>[A&amp;R Intercreditor Agreement]</w:t>
      </w:r>
    </w:p>
    <w:p>
      <w:pPr>
        <w:sectPr>
          <w:pgSz w:w="11900" w:h="16838" w:orient="portrait"/>
          <w:cols w:equalWidth="0" w:num="1">
            <w:col w:w="10139"/>
          </w:cols>
          <w:pgMar w:left="320" w:top="1422" w:right="1440"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b w:val="1"/>
          <w:bCs w:val="1"/>
          <w:color w:val="auto"/>
        </w:rPr>
        <w:t>COMERICA BANK</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As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Paul G.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935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Paul G. Russo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3599"/>
        <w:spacing w:after="0"/>
        <w:rPr>
          <w:sz w:val="20"/>
          <w:szCs w:val="20"/>
          <w:color w:val="auto"/>
        </w:rPr>
      </w:pPr>
      <w:r>
        <w:rPr>
          <w:rFonts w:ascii="Arial" w:cs="Arial" w:eastAsia="Arial" w:hAnsi="Arial"/>
          <w:sz w:val="14"/>
          <w:szCs w:val="14"/>
          <w:color w:val="auto"/>
        </w:rPr>
        <w:t>[A&amp;R Intercreditor Agreement]</w:t>
      </w:r>
    </w:p>
    <w:p>
      <w:pPr>
        <w:sectPr>
          <w:pgSz w:w="11900" w:h="16838" w:orient="portrait"/>
          <w:cols w:equalWidth="0" w:num="1">
            <w:col w:w="10139"/>
          </w:cols>
          <w:pgMar w:left="320" w:top="1422" w:right="1440"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b w:val="1"/>
          <w:bCs w:val="1"/>
          <w:color w:val="auto"/>
        </w:rPr>
        <w:t>FLAGSTAR BANK, FSB</w:t>
      </w:r>
      <w:r>
        <w:rPr>
          <w:rFonts w:ascii="Arial" w:cs="Arial" w:eastAsia="Arial" w:hAnsi="Arial"/>
          <w:sz w:val="22"/>
          <w:szCs w:val="2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As Lender and Collateral Agent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Patrick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70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700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Patrick Green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3599"/>
        <w:spacing w:after="0"/>
        <w:rPr>
          <w:sz w:val="20"/>
          <w:szCs w:val="20"/>
          <w:color w:val="auto"/>
        </w:rPr>
      </w:pPr>
      <w:r>
        <w:rPr>
          <w:rFonts w:ascii="Arial" w:cs="Arial" w:eastAsia="Arial" w:hAnsi="Arial"/>
          <w:sz w:val="14"/>
          <w:szCs w:val="14"/>
          <w:color w:val="auto"/>
        </w:rPr>
        <w:t>[A&amp;R Intercreditor Agreement]</w:t>
      </w:r>
    </w:p>
    <w:p>
      <w:pPr>
        <w:sectPr>
          <w:pgSz w:w="11900" w:h="16838" w:orient="portrait"/>
          <w:cols w:equalWidth="0" w:num="1">
            <w:col w:w="10139"/>
          </w:cols>
          <w:pgMar w:left="320" w:top="1422" w:right="1440" w:bottom="1440" w:gutter="0" w:footer="0" w:header="0"/>
        </w:sectPr>
      </w:pPr>
    </w:p>
    <w:bookmarkStart w:id="239" w:name="page240"/>
    <w:bookmarkEnd w:id="239"/>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As Lender and Collateral Agent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/s/ Gordon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897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8971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By: Gordon Wong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599"/>
        <w:spacing w:after="0"/>
        <w:rPr>
          <w:sz w:val="20"/>
          <w:szCs w:val="20"/>
          <w:color w:val="auto"/>
        </w:rPr>
      </w:pPr>
      <w:r>
        <w:rPr>
          <w:rFonts w:ascii="Arial" w:cs="Arial" w:eastAsia="Arial" w:hAnsi="Arial"/>
          <w:sz w:val="14"/>
          <w:szCs w:val="14"/>
          <w:color w:val="auto"/>
        </w:rPr>
        <w:t>[A&amp;R Intercreditor Agreement]</w:t>
      </w:r>
    </w:p>
    <w:p>
      <w:pPr>
        <w:sectPr>
          <w:pgSz w:w="11900" w:h="16838" w:orient="portrait"/>
          <w:cols w:equalWidth="0" w:num="1">
            <w:col w:w="10139"/>
          </w:cols>
          <w:pgMar w:left="320" w:top="1440" w:right="1440" w:bottom="1440" w:gutter="0" w:footer="0" w:header="0"/>
        </w:sectPr>
      </w:pPr>
    </w:p>
    <w:bookmarkStart w:id="240" w:name="page241"/>
    <w:bookmarkEnd w:id="240"/>
    <w:p>
      <w:pPr>
        <w:spacing w:after="0" w:line="198"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2017-3 Indenture</w:t>
      </w:r>
      <w:r>
        <w:rPr>
          <w:rFonts w:ascii="Arial" w:cs="Arial" w:eastAsia="Arial" w:hAnsi="Arial"/>
          <w:sz w:val="22"/>
          <w:szCs w:val="22"/>
          <w:color w:val="auto"/>
        </w:rPr>
        <w:t>: The Indenture, dated as of October 26, 2017, between the 2017-3 Trustee and the 2017-3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2017-3 Securitization Documents</w:t>
      </w:r>
      <w:r>
        <w:rPr>
          <w:rFonts w:ascii="Arial" w:cs="Arial" w:eastAsia="Arial" w:hAnsi="Arial"/>
          <w:sz w:val="22"/>
          <w:szCs w:val="22"/>
          <w:color w:val="auto"/>
        </w:rPr>
        <w:t>: The Sale and Servicing Agreement, dated as of October 26, 2017, among the 2017-3 Trust, Funding 2017-3, CAC, the 2017-3 Trustee, and Wells Fargo Bank, National Association, as the Backup Servicer, the 2017-3 Indenture, and the documents related thereto, as amended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2018-1 Indenture</w:t>
      </w:r>
      <w:r>
        <w:rPr>
          <w:rFonts w:ascii="Arial" w:cs="Arial" w:eastAsia="Arial" w:hAnsi="Arial"/>
          <w:sz w:val="22"/>
          <w:szCs w:val="22"/>
          <w:color w:val="auto"/>
        </w:rPr>
        <w:t>: The Indenture, dated as of February 22, 2018, between the 2018-1 Trustee and the 2018-1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2018-1 Securitization Documents</w:t>
      </w:r>
      <w:r>
        <w:rPr>
          <w:rFonts w:ascii="Arial" w:cs="Arial" w:eastAsia="Arial" w:hAnsi="Arial"/>
          <w:sz w:val="22"/>
          <w:szCs w:val="22"/>
          <w:color w:val="auto"/>
        </w:rPr>
        <w:t>: The Sale and Servicing Agreement, dated as of February 22, 2018, among the 2018-1 Trust, Funding 2018-1, CAC, the 2018-1 Trustee, and Wells Fargo Bank, National Association, as the Backup Servicer, the 2018-1 Indenture, and the documents related thereto, as amended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2018-2 Indenture</w:t>
      </w:r>
      <w:r>
        <w:rPr>
          <w:rFonts w:ascii="Arial" w:cs="Arial" w:eastAsia="Arial" w:hAnsi="Arial"/>
          <w:sz w:val="22"/>
          <w:szCs w:val="22"/>
          <w:color w:val="auto"/>
        </w:rPr>
        <w:t>: The Indenture, dated as of May 24, 2018, between the 2018-2 Trustee and the 2018-2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2018-2 Securitization Documents</w:t>
      </w:r>
      <w:r>
        <w:rPr>
          <w:rFonts w:ascii="Arial" w:cs="Arial" w:eastAsia="Arial" w:hAnsi="Arial"/>
          <w:sz w:val="22"/>
          <w:szCs w:val="22"/>
          <w:color w:val="auto"/>
        </w:rPr>
        <w:t>: The Sale and Servicing Agreement, dated as of May 24, 2018, among the 2018-2 Trust, Funding 2018-2, CAC, the 2018-2 Trustee, and Wells Fargo Bank, National Association, as the Backup Servicer, the 2018-2 Indenture, and the documents related thereto, as amended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2018-3 Indenture</w:t>
      </w:r>
      <w:r>
        <w:rPr>
          <w:rFonts w:ascii="Arial" w:cs="Arial" w:eastAsia="Arial" w:hAnsi="Arial"/>
          <w:sz w:val="22"/>
          <w:szCs w:val="22"/>
          <w:color w:val="auto"/>
        </w:rPr>
        <w:t>: The Indenture, dated as of August 23, 2018, between the 2018-3 Trustee and the 2018-3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2018-3 Securitization Documents</w:t>
      </w:r>
      <w:r>
        <w:rPr>
          <w:rFonts w:ascii="Arial" w:cs="Arial" w:eastAsia="Arial" w:hAnsi="Arial"/>
          <w:sz w:val="22"/>
          <w:szCs w:val="22"/>
          <w:color w:val="auto"/>
        </w:rPr>
        <w:t>: The Sale and Servicing Agreement, dated as of August 23, 2018, among the 2018-3 Trust, Funding 2018-3, CAC, the 2018-3 Trustee, and Wells Fargo Bank, National Association, as the Backup Servicer, the 2018-3 Indenture, and the documents related thereto, as amended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2019-1 Indenture</w:t>
      </w:r>
      <w:r>
        <w:rPr>
          <w:rFonts w:ascii="Arial" w:cs="Arial" w:eastAsia="Arial" w:hAnsi="Arial"/>
          <w:sz w:val="22"/>
          <w:szCs w:val="22"/>
          <w:color w:val="auto"/>
        </w:rPr>
        <w:t>: The Indenture, dated as of February 21, 2019, between the 2019-1 Trustee and the 2019-1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2019-1 Securitization Documents</w:t>
      </w:r>
      <w:r>
        <w:rPr>
          <w:rFonts w:ascii="Arial" w:cs="Arial" w:eastAsia="Arial" w:hAnsi="Arial"/>
          <w:sz w:val="22"/>
          <w:szCs w:val="22"/>
          <w:color w:val="auto"/>
        </w:rPr>
        <w:t>: The Sale and Servicing Agreement, dated as of February 21, 2019, among the 2019-1 Trust, Funding 2019-1, CAC, the 2019-1 Trustee, and Wells Fargo Bank, National Association, as the Backup Servicer, the 2019-1 Indenture, and the documents related thereto, as amended from time to time.</w:t>
      </w:r>
    </w:p>
    <w:p>
      <w:pPr>
        <w:spacing w:after="0" w:line="18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u w:val="single" w:color="auto"/>
          <w:color w:val="auto"/>
        </w:rPr>
        <w:t>2019-2 Financing Documents</w:t>
      </w:r>
      <w:r>
        <w:rPr>
          <w:rFonts w:ascii="Arial" w:cs="Arial" w:eastAsia="Arial" w:hAnsi="Arial"/>
          <w:sz w:val="19"/>
          <w:szCs w:val="19"/>
          <w:color w:val="auto"/>
        </w:rPr>
        <w:t>: The Loan and Security Agreement, dated as of August 28, 2019, among Funding 2019-2, CAC, and Wells Fargo Bank, National Association, and the documents related thereto,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20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2019-3 Indenture</w:t>
      </w:r>
      <w:r>
        <w:rPr>
          <w:rFonts w:ascii="Arial" w:cs="Arial" w:eastAsia="Arial" w:hAnsi="Arial"/>
          <w:sz w:val="22"/>
          <w:szCs w:val="22"/>
          <w:color w:val="auto"/>
        </w:rPr>
        <w:t>: The Indenture, dated as of November 21, 2019, between the 2019-3 Trustee and the 2019-3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2019-3 Securitization Documents</w:t>
      </w:r>
      <w:r>
        <w:rPr>
          <w:rFonts w:ascii="Arial" w:cs="Arial" w:eastAsia="Arial" w:hAnsi="Arial"/>
          <w:sz w:val="22"/>
          <w:szCs w:val="22"/>
          <w:color w:val="auto"/>
        </w:rPr>
        <w:t>: The Sale and Servicing Agreement, dated as of November 21, 2019, among the 2019-3 Trust, Funding 2019-3, CAC, the 2019-3 Trustee, and Wells Fargo Bank, National Association, as the Backup Servicer, the 2019-3 Indenture, and the documents related thereto, as amended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2020-1 Indenture</w:t>
      </w:r>
      <w:r>
        <w:rPr>
          <w:rFonts w:ascii="Arial" w:cs="Arial" w:eastAsia="Arial" w:hAnsi="Arial"/>
          <w:sz w:val="22"/>
          <w:szCs w:val="22"/>
          <w:color w:val="auto"/>
        </w:rPr>
        <w:t>: The Indenture, dated as of February 20, 2020, between the 2020-1 Trustee and the 2020-1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2020-1 Securitization Documents</w:t>
      </w:r>
      <w:r>
        <w:rPr>
          <w:rFonts w:ascii="Arial" w:cs="Arial" w:eastAsia="Arial" w:hAnsi="Arial"/>
          <w:sz w:val="22"/>
          <w:szCs w:val="22"/>
          <w:color w:val="auto"/>
        </w:rPr>
        <w:t>: The Sale and Servicing Agreement, dated as of February 20, 2020, among the 2020-1 Trust, Funding 2020-1, CAC, the 2020-1 Trustee, and Wells Fargo Bank, National Association, as the Backup Servicer, the 2020-1 Indenture, and the documents related thereto, as amended from time to time.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2020-2 Indenture</w:t>
      </w:r>
      <w:r>
        <w:rPr>
          <w:rFonts w:ascii="Arial" w:cs="Arial" w:eastAsia="Arial" w:hAnsi="Arial"/>
          <w:sz w:val="22"/>
          <w:szCs w:val="22"/>
          <w:color w:val="auto"/>
        </w:rPr>
        <w:t>: The Indenture, dated as of July 23, 2020, between the 2020-2 Trustee and the 2020-2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2020-2 Securitization Documents</w:t>
      </w:r>
      <w:r>
        <w:rPr>
          <w:rFonts w:ascii="Arial" w:cs="Arial" w:eastAsia="Arial" w:hAnsi="Arial"/>
          <w:sz w:val="22"/>
          <w:szCs w:val="22"/>
          <w:color w:val="auto"/>
        </w:rPr>
        <w:t>: The Sale and Servicing Agreement, dated as of July 23, 2020, among the 2020-2 Trust, Funding 2020-2, CAC, the 2020-2 Trustee, and Wells Fargo Bank, National Association, as the Backup Servicer, the 2020-2 Indenture, and the documents related thereto, as amended from time to time.</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2020-3 Indenture</w:t>
      </w:r>
      <w:r>
        <w:rPr>
          <w:rFonts w:ascii="Arial" w:cs="Arial" w:eastAsia="Arial" w:hAnsi="Arial"/>
          <w:sz w:val="22"/>
          <w:szCs w:val="22"/>
          <w:color w:val="auto"/>
        </w:rPr>
        <w:t>: The Indenture, dated as of October 22, 2020, between the 2020-3 Trustee and the 2020-3 Trust, as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2020-3 Securitization Documents</w:t>
      </w:r>
      <w:r>
        <w:rPr>
          <w:rFonts w:ascii="Arial" w:cs="Arial" w:eastAsia="Arial" w:hAnsi="Arial"/>
          <w:sz w:val="22"/>
          <w:szCs w:val="22"/>
          <w:color w:val="auto"/>
        </w:rPr>
        <w:t>: The Sale and Servicing Agreement, dated as of October 22, 2020, among the 2020-3 Trust, Funding 2020-3, CAC, the 2020-3 Trustee, and Wells Fargo Bank, National Association, as the Backup Servicer, the 2020-3 Indenture, and the documents related thereto, as amended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2021-1 Financing Documents</w:t>
      </w:r>
      <w:r>
        <w:rPr>
          <w:rFonts w:ascii="Arial" w:cs="Arial" w:eastAsia="Arial" w:hAnsi="Arial"/>
          <w:sz w:val="22"/>
          <w:szCs w:val="22"/>
          <w:color w:val="auto"/>
        </w:rPr>
        <w:t>: The Loan and Security Agreement, dated as of January 29, 2021, among Funding 2021-1, CAC, Fifth Third Bank, National Association, and Systems &amp; Services Technologies, Inc., as the backup servicer, and the documents related thereto, as amended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Advance</w:t>
      </w:r>
      <w:r>
        <w:rPr>
          <w:rFonts w:ascii="Arial" w:cs="Arial" w:eastAsia="Arial" w:hAnsi="Arial"/>
          <w:sz w:val="19"/>
          <w:szCs w:val="19"/>
          <w:color w:val="auto"/>
        </w:rPr>
        <w:t>: Amounts advanced to a Dealer upon the acceptance of a Contract by CAC pursuant to a Dealer Agreement.</w:t>
      </w:r>
    </w:p>
    <w:p>
      <w:pPr>
        <w:spacing w:after="0" w:line="2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u w:val="single" w:color="auto"/>
          <w:color w:val="auto"/>
        </w:rPr>
        <w:t>BMO Warehouse Documents</w:t>
      </w:r>
      <w:r>
        <w:rPr>
          <w:rFonts w:ascii="Arial" w:cs="Arial" w:eastAsia="Arial" w:hAnsi="Arial"/>
          <w:sz w:val="21"/>
          <w:szCs w:val="21"/>
          <w:color w:val="auto"/>
        </w:rPr>
        <w:t>: The Amended and Restated Loan and Security Agreement, dated as of May 10, 2018, among Warehouse Funding IV, CAC, BMO Capital Markets Corp., BMO, Wells Fargo Bank, National Association and the other parties from time to time party thereto, and the documents related thereto,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CAC Credit Facility Documents</w:t>
      </w:r>
      <w:r>
        <w:rPr>
          <w:rFonts w:ascii="Arial" w:cs="Arial" w:eastAsia="Arial" w:hAnsi="Arial"/>
          <w:sz w:val="22"/>
          <w:szCs w:val="22"/>
          <w:color w:val="auto"/>
        </w:rPr>
        <w:t>: The Sixth Amended and Restated Credit Acceptance Corporation Credit Agreement, dated as of June 23, 2014, by and among the banks signatory thereto, Comerica and CAC, and the documents related thereto, as amended from time to time.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u w:val="single" w:color="auto"/>
          <w:color w:val="auto"/>
        </w:rPr>
        <w:t>CAC Entities</w:t>
      </w:r>
      <w:r>
        <w:rPr>
          <w:rFonts w:ascii="Arial" w:cs="Arial" w:eastAsia="Arial" w:hAnsi="Arial"/>
          <w:sz w:val="22"/>
          <w:szCs w:val="22"/>
          <w:color w:val="auto"/>
        </w:rPr>
        <w:t>: Each of CAC, Warehouse Funding II, Warehouse Funding IV, Warehouse Funding V, Warehouse Funding VI, Warehouse Funding VII, Warehouse Funding VIII, Funding 2021-1, Funding 2020-3, the 2020-3 Trust, Funding 2020-2, the 2020-2 Trust, Funding 2020-1, the 2020-1 Trust, Funding 2019-3, the 2019-3 Trust, Funding 2019-2, Funding 2019-1, the 2019-1 Trust, Funding 2018-3, the 2018-3 Trust, Funding 2018-2, the 2018-2 Trust, Funding 2018-1, the 2018-1 Trust, Funding 2017-3 and the 2017-3 Trust.</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Citizens Warehouse Documents</w:t>
      </w:r>
      <w:r>
        <w:rPr>
          <w:rFonts w:ascii="Arial" w:cs="Arial" w:eastAsia="Arial" w:hAnsi="Arial"/>
          <w:sz w:val="22"/>
          <w:szCs w:val="22"/>
          <w:color w:val="auto"/>
        </w:rPr>
        <w:t>: The Loan and Security Agreement, dated as of July 26, 2019, among Warehouse Funding VIII, CAC, Citizens Bank, N.A., Wells Fargo Bank, National Association and the other parties from time to time party thereto, and the documents related thereto, as amended from time to time.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u w:val="single" w:color="auto"/>
          <w:color w:val="auto"/>
        </w:rPr>
        <w:t>Collections</w:t>
      </w:r>
      <w:r>
        <w:rPr>
          <w:rFonts w:ascii="Arial" w:cs="Arial" w:eastAsia="Arial" w:hAnsi="Arial"/>
          <w:sz w:val="21"/>
          <w:szCs w:val="21"/>
          <w:color w:val="auto"/>
        </w:rPr>
        <w:t>: All money, amounts or other payments received or collected by CAC, individually or as servicer, or any successor servicer or any other CAC entity with respect to a contract in the form of cash, checks, wire transfers or other form of payment in accordance with the Contracts or the Dealer Agreements, including, without limitation, with respect to Pool amounts collected under any other Pool which are Back-end Dealer Payments that have been set off by CAC or by Comerica pursuant to the CAC Credit Facility Documents, against amounts owing under such Pool.</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Contract</w:t>
      </w:r>
      <w:r>
        <w:rPr>
          <w:rFonts w:ascii="Arial" w:cs="Arial" w:eastAsia="Arial" w:hAnsi="Arial"/>
          <w:sz w:val="22"/>
          <w:szCs w:val="22"/>
          <w:color w:val="auto"/>
        </w:rPr>
        <w:t>: A retail installment contract for the sale of motor vehicles assigned outright by Dealers to CAC or a subsidiary of CAC or written by Dealers in the name of CAC or a subsidiary of CAC (and funded by CAC or such subsidiary) or assigned by Dealers to CAC or a subsidiary of CAC, as nominee for the Dealer, for administration, servicing, and collection, in each case pursuant to an applicable Dealer Agreement.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u w:val="single" w:color="auto"/>
          <w:color w:val="auto"/>
        </w:rPr>
        <w:t>Credit Suisse Warehouse Documents</w:t>
      </w:r>
      <w:r>
        <w:rPr>
          <w:rFonts w:ascii="Arial" w:cs="Arial" w:eastAsia="Arial" w:hAnsi="Arial"/>
          <w:sz w:val="21"/>
          <w:szCs w:val="21"/>
          <w:color w:val="auto"/>
        </w:rPr>
        <w:t>: The Loan and Security Agreement, dated as of December 1, 2017, among Warehouse Funding VII, CAC, Credit Suisse AG, New York Branch, Wells Fargo Bank, National Association, and the other parties from time to time party thereto, and the documents related thereto, as amended from time to time.</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Creditor</w:t>
      </w:r>
      <w:r>
        <w:rPr>
          <w:rFonts w:ascii="Arial" w:cs="Arial" w:eastAsia="Arial" w:hAnsi="Arial"/>
          <w:sz w:val="19"/>
          <w:szCs w:val="19"/>
          <w:color w:val="auto"/>
        </w:rPr>
        <w:t>: Each of Comerica, Wells Fargo, Fifth Third, BMO, Flagstar, the Credit Suisse Warehouse Collateral Agent, Citizens, the 2021-1 Collateral Agent, the 2020-3 Trustee, the 2020-2 Trustee, the 2020-1 Trustee, the 2019-3 Trustee, the 2019-2 Collateral Agent, the 2019-1 Trustee, the 2018-3 Trustee, the 2018-2 Trustee, the 2018-1 Trustee and the 2017-3 Trustee.</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Dealer</w:t>
      </w:r>
      <w:r>
        <w:rPr>
          <w:rFonts w:ascii="Arial" w:cs="Arial" w:eastAsia="Arial" w:hAnsi="Arial"/>
          <w:sz w:val="22"/>
          <w:szCs w:val="22"/>
          <w:color w:val="auto"/>
        </w:rPr>
        <w:t>: A person engaged in the business of the retail sale or lease of new or used motor vehicles, including both businesses exclusively selling used motor vehicles and businesses principally selling new motor vehicles, but having a used vehicle department, including any such person which constitutes an affiliate of CAC.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20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Dealer Agreement</w:t>
      </w:r>
      <w:r>
        <w:rPr>
          <w:rFonts w:ascii="Arial" w:cs="Arial" w:eastAsia="Arial" w:hAnsi="Arial"/>
          <w:sz w:val="19"/>
          <w:szCs w:val="19"/>
          <w:color w:val="auto"/>
        </w:rPr>
        <w:t>: The sales and/or servicing agreements between CAC or its subsidiaries and a participating Dealer which sets forth the terms and conditions under which CAC or its subsidiaries (i) accepts, as nominee for such Dealer, the assignment of Contracts for purposes of administration, servicing and collection and under which CAC or its subsidiary may make advances to such Dealers and (ii) accepts outright assignments of Contracts from Dealers or funds Contracts originated by such Dealer in the name of CAC or any of its subsidiaries, in each case as such agreements may be in effect from time to time.</w:t>
      </w:r>
    </w:p>
    <w:p>
      <w:pPr>
        <w:spacing w:after="0" w:line="14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u w:val="single" w:color="auto"/>
          <w:color w:val="auto"/>
        </w:rPr>
        <w:t>Financing Documents</w:t>
      </w:r>
      <w:r>
        <w:rPr>
          <w:rFonts w:ascii="Arial" w:cs="Arial" w:eastAsia="Arial" w:hAnsi="Arial"/>
          <w:sz w:val="19"/>
          <w:szCs w:val="19"/>
          <w:color w:val="auto"/>
        </w:rPr>
        <w:t>: The CAC Credit Facility Documents, the Wells Fargo Warehouse Documents, the Fifth Third Warehouse Documents, the Flagstar Warehouse Documents, the BMO Warehouse Documents, the Credit Suisse Warehouse Documents, the Citizens Warehouse Documents, the 2021-1 Financing Documents, the 2020-3 Securitization Documents, the 2020-2 Securitization Documents, the 2020-1 Securitization Documents, the 2019-3 Securitization Documents, the 2019-2 Financing Documents, the 2019-1 Securitization Documents, the 2018-3 Securitization Documents, the 2018-2 Securitization Documents, the 2018-1 Securitization Documents and the 2017-3 Securitization Documents.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Fifth Third Warehouse Documents</w:t>
      </w:r>
      <w:r>
        <w:rPr>
          <w:rFonts w:ascii="Arial" w:cs="Arial" w:eastAsia="Arial" w:hAnsi="Arial"/>
          <w:sz w:val="22"/>
          <w:szCs w:val="22"/>
          <w:color w:val="auto"/>
        </w:rPr>
        <w:t>: The Loan and Security Agreement, dated as of September 25, 2014, among Warehouse Funding V, CAC, Fifth Third, and the other parties from time to time party thereto, and the documents related thereto, as amended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Flagstar Warehouse Documents</w:t>
      </w:r>
      <w:r>
        <w:rPr>
          <w:rFonts w:ascii="Arial" w:cs="Arial" w:eastAsia="Arial" w:hAnsi="Arial"/>
          <w:sz w:val="22"/>
          <w:szCs w:val="22"/>
          <w:color w:val="auto"/>
        </w:rPr>
        <w:t>: The Loan and Security Agreement, dated as of September 30, 2015, among Warehouse Funding VI, CAC, Flagstar, and the other parties from time to time party thereto, and the documents related thereto, as amended from time to time.</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Pool</w:t>
      </w:r>
      <w:r>
        <w:rPr>
          <w:rFonts w:ascii="Arial" w:cs="Arial" w:eastAsia="Arial" w:hAnsi="Arial"/>
          <w:sz w:val="22"/>
          <w:szCs w:val="22"/>
          <w:color w:val="auto"/>
        </w:rPr>
        <w:t>: A grouping on the books and records of CAC or any of its subsidiaries of Advances or Contracts originated or to be originated with CAC or any of its subsidiaries by a Dealer and bearing the same pool identification number assigned by CAC’s computer system.</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u w:val="single" w:color="auto"/>
          <w:color w:val="auto"/>
        </w:rPr>
        <w:t>Prior Agreement</w:t>
      </w:r>
      <w:r>
        <w:rPr>
          <w:rFonts w:ascii="Arial" w:cs="Arial" w:eastAsia="Arial" w:hAnsi="Arial"/>
          <w:sz w:val="19"/>
          <w:szCs w:val="19"/>
          <w:color w:val="auto"/>
        </w:rPr>
        <w:t>: The Amended and Restated Intercreditor Agreement, dated as of October 22, 2020, among CAC, Warehouse Funding II, Warehouse Funding IV, Warehouse Funding V, Warehouse Funding VI, Warehouse Funding VII, Warehouse Funding VIII, Funding 2020-3, Funding 2020-2, Funding 2020-1, Funding 2019-3, Funding 2019-2, Funding 2019-1, Funding 2018-3, Funding 2018-2, Funding 2018-1, Funding 2017-3, Funding 2017-2 (as defined therein), the 2020-3 Trust, the 2020-2 Trust, the 2020-1 Trust, the 2019-3 Trust, the 2019-1 Trust, the 2018-3 Trust, the 2018-2 Trust, the 2018-1 Trust, the 2017-3 Trust, the 2017-2 Trust (as defined therein), Wells Fargo, Fifth Third, the 2020-3 Trustee, the 2020-2 Trustee, the 2020-1 Trustee, the 2019-1 Trustee, the 2018-3 Trustee, the 2018-2 Trustee, the 2018-1 Trustee, the 2017-3 Trustee, the 2017-2 Trustee (as defined therein), the Credit Suisse Warehouse Collateral Agent, BMO, Flagstar, Citizens and Comerica.</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Purchase Agreement</w:t>
      </w:r>
      <w:r>
        <w:rPr>
          <w:rFonts w:ascii="Arial" w:cs="Arial" w:eastAsia="Arial" w:hAnsi="Arial"/>
          <w:sz w:val="22"/>
          <w:szCs w:val="22"/>
          <w:color w:val="auto"/>
        </w:rPr>
        <w:t>: The purchase agreements between CAC or its subsidiaries and a participating Dealer which sets forth the terms and conditions under which CAC or its subsidiaries purchases from a Dealer the Purchased Loans and related Contracts, as such agreements may be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Purchased Loan</w:t>
      </w:r>
      <w:r>
        <w:rPr>
          <w:rFonts w:ascii="Arial" w:cs="Arial" w:eastAsia="Arial" w:hAnsi="Arial"/>
          <w:sz w:val="22"/>
          <w:szCs w:val="22"/>
          <w:color w:val="auto"/>
        </w:rPr>
        <w:t>: A motor vehicle retail installment loan relating to the sale of an automobile or light-duty truck originated by a Dealer, purchased by CAC or a subsidiary from such Dealer and evidenced by a motor vehicle retail installment sales contract.</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Wells Fargo Warehouse Documents</w:t>
      </w:r>
      <w:r>
        <w:rPr>
          <w:rFonts w:ascii="Arial" w:cs="Arial" w:eastAsia="Arial" w:hAnsi="Arial"/>
          <w:sz w:val="22"/>
          <w:szCs w:val="22"/>
          <w:color w:val="auto"/>
        </w:rPr>
        <w:t>: The Sixth Amended and Restated Loan And Security Agreement, dated as of June 23, 2016, among Warehouse Funding II, CAC, Variable Funding Capital Company LLC, Wells Fargo Securities, LLC, Wells Fargo Bank, National Association and the other parties from time to time party thereto, and the documents related thereto,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240"/>
          </w:cols>
          <w:pgMar w:left="320" w:top="1440"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20"/>
          <w:szCs w:val="20"/>
          <w:b w:val="1"/>
          <w:bCs w:val="1"/>
          <w:color w:val="auto"/>
        </w:rPr>
        <w:t>Second Amendment to Amended and Restated Loan and Security Agreement</w:t>
      </w:r>
    </w:p>
    <w:p>
      <w:pPr>
        <w:spacing w:after="0" w:line="2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This Second Amendment to Amended and Restated Loan and Security Agreement, dated as of January 29, 2021 (this </w:t>
      </w:r>
      <w:r>
        <w:rPr>
          <w:rFonts w:ascii="Arial" w:cs="Arial" w:eastAsia="Arial" w:hAnsi="Arial"/>
          <w:sz w:val="19"/>
          <w:szCs w:val="19"/>
          <w:i w:val="1"/>
          <w:iCs w:val="1"/>
          <w:color w:val="auto"/>
        </w:rPr>
        <w:t>“Amendment”</w:t>
      </w:r>
      <w:r>
        <w:rPr>
          <w:rFonts w:ascii="Arial" w:cs="Arial" w:eastAsia="Arial" w:hAnsi="Arial"/>
          <w:sz w:val="19"/>
          <w:szCs w:val="19"/>
          <w:color w:val="auto"/>
        </w:rPr>
        <w:t>), is made pursuant to that certain Amended and Restated Loan and Security Agreement dated as of May 10, 2018, as amended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by the First Amendment to Amended and Restated Loan and Security Agreement, dated as of July 26, 2019 (as so amended and as further amended, modified or supplemented from time to time, the </w:t>
      </w:r>
      <w:r>
        <w:rPr>
          <w:rFonts w:ascii="Arial" w:cs="Arial" w:eastAsia="Arial" w:hAnsi="Arial"/>
          <w:sz w:val="19"/>
          <w:szCs w:val="19"/>
          <w:i w:val="1"/>
          <w:iCs w:val="1"/>
          <w:color w:val="auto"/>
        </w:rPr>
        <w:t>“Agreement”</w:t>
      </w:r>
      <w:r>
        <w:rPr>
          <w:rFonts w:ascii="Arial" w:cs="Arial" w:eastAsia="Arial" w:hAnsi="Arial"/>
          <w:sz w:val="19"/>
          <w:szCs w:val="19"/>
          <w:color w:val="auto"/>
        </w:rPr>
        <w:t xml:space="preserve">), among CAC Warehouse Funding LLC IV, a Delaware limited liability company (the </w:t>
      </w:r>
      <w:r>
        <w:rPr>
          <w:rFonts w:ascii="Arial" w:cs="Arial" w:eastAsia="Arial" w:hAnsi="Arial"/>
          <w:sz w:val="19"/>
          <w:szCs w:val="19"/>
          <w:i w:val="1"/>
          <w:iCs w:val="1"/>
          <w:color w:val="auto"/>
        </w:rPr>
        <w:t>“Borrower”</w:t>
      </w:r>
      <w:r>
        <w:rPr>
          <w:rFonts w:ascii="Arial" w:cs="Arial" w:eastAsia="Arial" w:hAnsi="Arial"/>
          <w:sz w:val="19"/>
          <w:szCs w:val="19"/>
          <w:color w:val="auto"/>
        </w:rPr>
        <w:t>), Credit Acceptance Corporation, a Michigan corporation (</w:t>
      </w:r>
      <w:r>
        <w:rPr>
          <w:rFonts w:ascii="Arial" w:cs="Arial" w:eastAsia="Arial" w:hAnsi="Arial"/>
          <w:sz w:val="19"/>
          <w:szCs w:val="19"/>
          <w:i w:val="1"/>
          <w:iCs w:val="1"/>
          <w:color w:val="auto"/>
        </w:rPr>
        <w:t>“Credit Acceptance”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“Originator”</w:t>
      </w:r>
      <w:r>
        <w:rPr>
          <w:rFonts w:ascii="Arial" w:cs="Arial" w:eastAsia="Arial" w:hAnsi="Arial"/>
          <w:sz w:val="19"/>
          <w:szCs w:val="19"/>
          <w:color w:val="auto"/>
        </w:rPr>
        <w:t xml:space="preserve">, the </w:t>
      </w:r>
      <w:r>
        <w:rPr>
          <w:rFonts w:ascii="Arial" w:cs="Arial" w:eastAsia="Arial" w:hAnsi="Arial"/>
          <w:sz w:val="19"/>
          <w:szCs w:val="19"/>
          <w:i w:val="1"/>
          <w:iCs w:val="1"/>
          <w:color w:val="auto"/>
        </w:rPr>
        <w:t xml:space="preserve">“Servicer” </w:t>
      </w:r>
      <w:r>
        <w:rPr>
          <w:rFonts w:ascii="Arial" w:cs="Arial" w:eastAsia="Arial" w:hAnsi="Arial"/>
          <w:sz w:val="19"/>
          <w:szCs w:val="19"/>
          <w:color w:val="auto"/>
        </w:rPr>
        <w:t>or the</w:t>
      </w:r>
      <w:r>
        <w:rPr>
          <w:rFonts w:ascii="Arial" w:cs="Arial" w:eastAsia="Arial" w:hAnsi="Arial"/>
          <w:sz w:val="19"/>
          <w:szCs w:val="19"/>
          <w:i w:val="1"/>
          <w:iCs w:val="1"/>
          <w:color w:val="auto"/>
        </w:rPr>
        <w:t xml:space="preserve"> “Custodian”</w:t>
      </w:r>
      <w:r>
        <w:rPr>
          <w:rFonts w:ascii="Arial" w:cs="Arial" w:eastAsia="Arial" w:hAnsi="Arial"/>
          <w:sz w:val="19"/>
          <w:szCs w:val="19"/>
          <w:color w:val="auto"/>
        </w:rPr>
        <w:t>), Bank of Montreal, as lender (the</w:t>
      </w:r>
      <w:r>
        <w:rPr>
          <w:rFonts w:ascii="Arial" w:cs="Arial" w:eastAsia="Arial" w:hAnsi="Arial"/>
          <w:sz w:val="19"/>
          <w:szCs w:val="19"/>
          <w:i w:val="1"/>
          <w:iCs w:val="1"/>
          <w:color w:val="auto"/>
        </w:rPr>
        <w:t xml:space="preserve"> “Lender”</w:t>
      </w:r>
      <w:r>
        <w:rPr>
          <w:rFonts w:ascii="Arial" w:cs="Arial" w:eastAsia="Arial" w:hAnsi="Arial"/>
          <w:sz w:val="19"/>
          <w:szCs w:val="19"/>
          <w:color w:val="auto"/>
        </w:rPr>
        <w:t>), BMO Capital Markets Corp., a Delaware corporation (</w:t>
      </w:r>
      <w:r>
        <w:rPr>
          <w:rFonts w:ascii="Arial" w:cs="Arial" w:eastAsia="Arial" w:hAnsi="Arial"/>
          <w:sz w:val="19"/>
          <w:szCs w:val="19"/>
          <w:i w:val="1"/>
          <w:iCs w:val="1"/>
          <w:color w:val="auto"/>
        </w:rPr>
        <w:t>“BMO Capital Markets”</w:t>
      </w:r>
      <w:r>
        <w:rPr>
          <w:rFonts w:ascii="Arial" w:cs="Arial" w:eastAsia="Arial" w:hAnsi="Arial"/>
          <w:sz w:val="19"/>
          <w:szCs w:val="19"/>
          <w:color w:val="auto"/>
        </w:rPr>
        <w:t>), as deal agent (the</w:t>
      </w:r>
      <w:r>
        <w:rPr>
          <w:rFonts w:ascii="Arial" w:cs="Arial" w:eastAsia="Arial" w:hAnsi="Arial"/>
          <w:sz w:val="19"/>
          <w:szCs w:val="19"/>
          <w:i w:val="1"/>
          <w:iCs w:val="1"/>
          <w:color w:val="auto"/>
        </w:rPr>
        <w:t xml:space="preserve"> “</w:t>
      </w:r>
      <w:r>
        <w:rPr>
          <w:rFonts w:ascii="Arial" w:cs="Arial" w:eastAsia="Arial" w:hAnsi="Arial"/>
          <w:sz w:val="19"/>
          <w:szCs w:val="19"/>
          <w:color w:val="auto"/>
        </w:rPr>
        <w:t>Deal Agent</w:t>
      </w:r>
      <w:r>
        <w:rPr>
          <w:rFonts w:ascii="Arial" w:cs="Arial" w:eastAsia="Arial" w:hAnsi="Arial"/>
          <w:sz w:val="19"/>
          <w:szCs w:val="19"/>
          <w:i w:val="1"/>
          <w:iCs w:val="1"/>
          <w:color w:val="auto"/>
        </w:rPr>
        <w:t>”</w:t>
      </w:r>
      <w:r>
        <w:rPr>
          <w:rFonts w:ascii="Arial" w:cs="Arial" w:eastAsia="Arial" w:hAnsi="Arial"/>
          <w:sz w:val="19"/>
          <w:szCs w:val="19"/>
          <w:color w:val="auto"/>
        </w:rPr>
        <w:t>), Bank of Montreal (the</w:t>
      </w:r>
      <w:r>
        <w:rPr>
          <w:rFonts w:ascii="Arial" w:cs="Arial" w:eastAsia="Arial" w:hAnsi="Arial"/>
          <w:sz w:val="19"/>
          <w:szCs w:val="19"/>
          <w:i w:val="1"/>
          <w:iCs w:val="1"/>
          <w:color w:val="auto"/>
        </w:rPr>
        <w:t xml:space="preserve"> “Collateral Agent”</w:t>
      </w:r>
      <w:r>
        <w:rPr>
          <w:rFonts w:ascii="Arial" w:cs="Arial" w:eastAsia="Arial" w:hAnsi="Arial"/>
          <w:sz w:val="19"/>
          <w:szCs w:val="19"/>
          <w:color w:val="auto"/>
        </w:rPr>
        <w:t>), and Wells Fargo Bank, National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Association, a national banking association, as backup servicer (the </w:t>
      </w:r>
      <w:r>
        <w:rPr>
          <w:rFonts w:ascii="Arial" w:cs="Arial" w:eastAsia="Arial" w:hAnsi="Arial"/>
          <w:sz w:val="19"/>
          <w:szCs w:val="19"/>
          <w:i w:val="1"/>
          <w:iCs w:val="1"/>
          <w:color w:val="auto"/>
        </w:rPr>
        <w:t>“Backup Servicer”</w:t>
      </w:r>
      <w:r>
        <w:rPr>
          <w:rFonts w:ascii="Arial" w:cs="Arial" w:eastAsia="Arial" w:hAnsi="Arial"/>
          <w:sz w:val="19"/>
          <w:szCs w:val="19"/>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 :</w:t>
      </w:r>
    </w:p>
    <w:p>
      <w:pPr>
        <w:spacing w:after="0" w:line="2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Whereas, the Borrower, Credit Acceptance, the Backup Servicer, the Lender, the Deal Agent and the Collateral Agent have previously entered into and are currently party to the Agreement;</w:t>
      </w:r>
    </w:p>
    <w:p>
      <w:pPr>
        <w:spacing w:after="0" w:line="21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20"/>
          <w:szCs w:val="20"/>
          <w:color w:val="auto"/>
        </w:rPr>
        <w:t>Whereas, the Borrower has requested that certain amendments be made to the Agreement, and the Borrower, Credit Acceptance, the Backup Servicer, the Lender, the Deal Agent and the Collateral Agent are willing to amend the Agreement under the terms and conditions set forth in this Amendment;</w:t>
      </w:r>
    </w:p>
    <w:p>
      <w:pPr>
        <w:spacing w:after="0" w:line="22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the parties hereto, intending to be legally bound, agree as follows:</w:t>
      </w:r>
    </w:p>
    <w:p>
      <w:pPr>
        <w:spacing w:after="0" w:line="204" w:lineRule="exact"/>
        <w:rPr>
          <w:sz w:val="20"/>
          <w:szCs w:val="20"/>
          <w:color w:val="auto"/>
        </w:rPr>
      </w:pPr>
    </w:p>
    <w:p>
      <w:pPr>
        <w:jc w:val="both"/>
        <w:ind w:firstLine="252"/>
        <w:spacing w:after="0" w:line="274" w:lineRule="auto"/>
        <w:rPr>
          <w:sz w:val="20"/>
          <w:szCs w:val="20"/>
          <w:color w:val="auto"/>
        </w:rPr>
      </w:pPr>
      <w:r>
        <w:rPr>
          <w:rFonts w:ascii="Arial" w:cs="Arial" w:eastAsia="Arial" w:hAnsi="Arial"/>
          <w:sz w:val="20"/>
          <w:szCs w:val="20"/>
          <w:i w:val="1"/>
          <w:iCs w:val="1"/>
          <w:color w:val="auto"/>
        </w:rPr>
        <w:t xml:space="preserve">Section 1. Defined Terms. </w:t>
      </w:r>
      <w:r>
        <w:rPr>
          <w:rFonts w:ascii="Arial" w:cs="Arial" w:eastAsia="Arial" w:hAnsi="Arial"/>
          <w:sz w:val="20"/>
          <w:szCs w:val="20"/>
          <w:color w:val="auto"/>
        </w:rPr>
        <w:t>Unless otherwise amended by the terms of this Amendment, terms used in this Amendment shall have the</w:t>
      </w:r>
      <w:r>
        <w:rPr>
          <w:rFonts w:ascii="Arial" w:cs="Arial" w:eastAsia="Arial" w:hAnsi="Arial"/>
          <w:sz w:val="20"/>
          <w:szCs w:val="20"/>
          <w:i w:val="1"/>
          <w:iCs w:val="1"/>
          <w:color w:val="auto"/>
        </w:rPr>
        <w:t xml:space="preserve"> </w:t>
      </w:r>
      <w:r>
        <w:rPr>
          <w:rFonts w:ascii="Arial" w:cs="Arial" w:eastAsia="Arial" w:hAnsi="Arial"/>
          <w:sz w:val="20"/>
          <w:szCs w:val="20"/>
          <w:color w:val="auto"/>
        </w:rPr>
        <w:t>meanings assigned in the Agreement.</w:t>
      </w:r>
    </w:p>
    <w:p>
      <w:pPr>
        <w:spacing w:after="0" w:line="21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20"/>
          <w:szCs w:val="20"/>
          <w:i w:val="1"/>
          <w:iCs w:val="1"/>
          <w:color w:val="auto"/>
        </w:rPr>
        <w:t>Section 2.</w:t>
      </w:r>
      <w:r>
        <w:rPr>
          <w:sz w:val="20"/>
          <w:szCs w:val="20"/>
          <w:color w:val="auto"/>
        </w:rPr>
        <w:tab/>
      </w:r>
      <w:r>
        <w:rPr>
          <w:rFonts w:ascii="Arial" w:cs="Arial" w:eastAsia="Arial" w:hAnsi="Arial"/>
          <w:sz w:val="16"/>
          <w:szCs w:val="16"/>
          <w:i w:val="1"/>
          <w:iCs w:val="1"/>
          <w:color w:val="auto"/>
        </w:rPr>
        <w:t>Amendments.</w:t>
      </w:r>
    </w:p>
    <w:p>
      <w:pPr>
        <w:spacing w:after="0" w:line="270" w:lineRule="exact"/>
        <w:rPr>
          <w:sz w:val="20"/>
          <w:szCs w:val="20"/>
          <w:color w:val="auto"/>
        </w:rPr>
      </w:pPr>
    </w:p>
    <w:p>
      <w:pPr>
        <w:jc w:val="both"/>
        <w:ind w:firstLine="208"/>
        <w:spacing w:after="0" w:line="274" w:lineRule="auto"/>
        <w:rPr>
          <w:sz w:val="20"/>
          <w:szCs w:val="20"/>
          <w:color w:val="auto"/>
        </w:rPr>
      </w:pPr>
      <w:r>
        <w:rPr>
          <w:rFonts w:ascii="Arial" w:cs="Arial" w:eastAsia="Arial" w:hAnsi="Arial"/>
          <w:sz w:val="20"/>
          <w:szCs w:val="20"/>
          <w:color w:val="auto"/>
        </w:rPr>
        <w:t xml:space="preserve">2.1. The defined term </w:t>
      </w:r>
      <w:r>
        <w:rPr>
          <w:rFonts w:ascii="Arial" w:cs="Arial" w:eastAsia="Arial" w:hAnsi="Arial"/>
          <w:sz w:val="20"/>
          <w:szCs w:val="20"/>
          <w:i w:val="1"/>
          <w:iCs w:val="1"/>
          <w:color w:val="auto"/>
        </w:rPr>
        <w:t>“Commitment Termination Date”</w:t>
      </w:r>
      <w:r>
        <w:rPr>
          <w:rFonts w:ascii="Arial" w:cs="Arial" w:eastAsia="Arial" w:hAnsi="Arial"/>
          <w:sz w:val="20"/>
          <w:szCs w:val="20"/>
          <w:color w:val="auto"/>
        </w:rPr>
        <w:t xml:space="preserve"> appearing in Section 1.1 of the Agreement is hereby amended and restated in its entirety and as so amended and restated shall read as follows:</w:t>
      </w:r>
    </w:p>
    <w:p>
      <w:pPr>
        <w:spacing w:after="0" w:line="204" w:lineRule="exact"/>
        <w:rPr>
          <w:sz w:val="20"/>
          <w:szCs w:val="20"/>
          <w:color w:val="auto"/>
        </w:rPr>
      </w:pPr>
    </w:p>
    <w:p>
      <w:pPr>
        <w:ind w:left="740" w:firstLine="648"/>
        <w:spacing w:after="0" w:line="274" w:lineRule="auto"/>
        <w:rPr>
          <w:sz w:val="20"/>
          <w:szCs w:val="20"/>
          <w:color w:val="auto"/>
        </w:rPr>
      </w:pPr>
      <w:r>
        <w:rPr>
          <w:rFonts w:ascii="Arial" w:cs="Arial" w:eastAsia="Arial" w:hAnsi="Arial"/>
          <w:sz w:val="20"/>
          <w:szCs w:val="20"/>
          <w:i w:val="1"/>
          <w:iCs w:val="1"/>
          <w:color w:val="auto"/>
        </w:rPr>
        <w:t xml:space="preserve">“Commitment Termination Date”: </w:t>
      </w:r>
      <w:r>
        <w:rPr>
          <w:rFonts w:ascii="Arial" w:cs="Arial" w:eastAsia="Arial" w:hAnsi="Arial"/>
          <w:sz w:val="20"/>
          <w:szCs w:val="20"/>
          <w:color w:val="auto"/>
        </w:rPr>
        <w:t>November 17, 2023, or such later date to which the Commitment Termination Date may</w:t>
      </w:r>
      <w:r>
        <w:rPr>
          <w:rFonts w:ascii="Arial" w:cs="Arial" w:eastAsia="Arial" w:hAnsi="Arial"/>
          <w:sz w:val="20"/>
          <w:szCs w:val="20"/>
          <w:i w:val="1"/>
          <w:iCs w:val="1"/>
          <w:color w:val="auto"/>
        </w:rPr>
        <w:t xml:space="preserve"> </w:t>
      </w:r>
      <w:r>
        <w:rPr>
          <w:rFonts w:ascii="Arial" w:cs="Arial" w:eastAsia="Arial" w:hAnsi="Arial"/>
          <w:sz w:val="20"/>
          <w:szCs w:val="20"/>
          <w:color w:val="auto"/>
        </w:rPr>
        <w:t>be extended if agreed in writing among the Borrower, the Deal Agent and the Lenders.”</w:t>
      </w:r>
    </w:p>
    <w:p>
      <w:pPr>
        <w:spacing w:after="0" w:line="217" w:lineRule="exact"/>
        <w:rPr>
          <w:sz w:val="20"/>
          <w:szCs w:val="20"/>
          <w:color w:val="auto"/>
        </w:rPr>
      </w:pPr>
    </w:p>
    <w:p>
      <w:pPr>
        <w:ind w:left="200"/>
        <w:spacing w:after="0"/>
        <w:tabs>
          <w:tab w:leader="none" w:pos="66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color w:val="auto"/>
        </w:rPr>
        <w:t>Article I of the Agreement is hereby amended by adding a new section at the end thereof to read as follows:</w:t>
      </w:r>
    </w:p>
    <w:p>
      <w:pPr>
        <w:spacing w:after="0" w:line="270" w:lineRule="exact"/>
        <w:rPr>
          <w:sz w:val="20"/>
          <w:szCs w:val="20"/>
          <w:color w:val="auto"/>
        </w:rPr>
      </w:pPr>
    </w:p>
    <w:p>
      <w:pPr>
        <w:jc w:val="both"/>
        <w:ind w:left="660" w:firstLine="648"/>
        <w:spacing w:after="0" w:line="284" w:lineRule="auto"/>
        <w:rPr>
          <w:sz w:val="20"/>
          <w:szCs w:val="20"/>
          <w:color w:val="auto"/>
        </w:rPr>
      </w:pPr>
      <w:r>
        <w:rPr>
          <w:rFonts w:ascii="Arial" w:cs="Arial" w:eastAsia="Arial" w:hAnsi="Arial"/>
          <w:sz w:val="19"/>
          <w:szCs w:val="19"/>
          <w:i w:val="1"/>
          <w:iCs w:val="1"/>
          <w:color w:val="auto"/>
        </w:rPr>
        <w:t xml:space="preserve">Section 1.5. Divisions. </w:t>
      </w:r>
      <w:r>
        <w:rPr>
          <w:rFonts w:ascii="Arial" w:cs="Arial" w:eastAsia="Arial" w:hAnsi="Arial"/>
          <w:sz w:val="19"/>
          <w:szCs w:val="19"/>
          <w:color w:val="auto"/>
        </w:rPr>
        <w:t>For all purposes under the Transaction Documents, in connection with any division or plan of</w:t>
      </w:r>
      <w:r>
        <w:rPr>
          <w:rFonts w:ascii="Arial" w:cs="Arial" w:eastAsia="Arial" w:hAnsi="Arial"/>
          <w:sz w:val="19"/>
          <w:szCs w:val="19"/>
          <w:i w:val="1"/>
          <w:iCs w:val="1"/>
          <w:color w:val="auto"/>
        </w:rPr>
        <w:t xml:space="preserve"> </w:t>
      </w:r>
      <w:r>
        <w:rPr>
          <w:rFonts w:ascii="Arial" w:cs="Arial" w:eastAsia="Arial" w:hAnsi="Arial"/>
          <w:sz w:val="19"/>
          <w:szCs w:val="19"/>
          <w:color w:val="auto"/>
        </w:rPr>
        <w:t>division under Delaware law (or any comparable event under a different jurisdiction’s laws): (a) if any asset, right, obligation or liability of any Person becomes the asset, right, obligation or liability of a different Person, then it shall be deemed to</w:t>
      </w:r>
    </w:p>
    <w:p>
      <w:pPr>
        <w:sectPr>
          <w:pgSz w:w="11900" w:h="16838" w:orient="portrait"/>
          <w:cols w:equalWidth="0" w:num="1">
            <w:col w:w="11240"/>
          </w:cols>
          <w:pgMar w:left="320" w:top="1426" w:right="339" w:bottom="1440" w:gutter="0" w:footer="0" w:header="0"/>
        </w:sectPr>
      </w:pPr>
    </w:p>
    <w:bookmarkStart w:id="246" w:name="page247"/>
    <w:bookmarkEnd w:id="246"/>
    <w:p>
      <w:pPr>
        <w:spacing w:after="0" w:line="249" w:lineRule="exact"/>
        <w:rPr>
          <w:sz w:val="20"/>
          <w:szCs w:val="20"/>
          <w:color w:val="auto"/>
        </w:rPr>
      </w:pPr>
    </w:p>
    <w:p>
      <w:pPr>
        <w:jc w:val="both"/>
        <w:ind w:left="460"/>
        <w:spacing w:after="0" w:line="332" w:lineRule="auto"/>
        <w:rPr>
          <w:sz w:val="20"/>
          <w:szCs w:val="20"/>
          <w:color w:val="auto"/>
        </w:rPr>
      </w:pPr>
      <w:r>
        <w:rPr>
          <w:rFonts w:ascii="Arial" w:cs="Arial" w:eastAsia="Arial" w:hAnsi="Arial"/>
          <w:sz w:val="18"/>
          <w:szCs w:val="18"/>
          <w:color w:val="auto"/>
        </w:rPr>
        <w:t>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6"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Article II of the Agreement is hereby amended by adding a new section at the end thereof to read as follows:</w:t>
      </w:r>
    </w:p>
    <w:p>
      <w:pPr>
        <w:spacing w:after="0" w:line="270" w:lineRule="exact"/>
        <w:rPr>
          <w:sz w:val="20"/>
          <w:szCs w:val="20"/>
          <w:color w:val="auto"/>
        </w:rPr>
      </w:pPr>
    </w:p>
    <w:p>
      <w:pPr>
        <w:jc w:val="both"/>
        <w:ind w:left="460" w:firstLine="648"/>
        <w:spacing w:after="0" w:line="285" w:lineRule="auto"/>
        <w:rPr>
          <w:sz w:val="20"/>
          <w:szCs w:val="20"/>
          <w:color w:val="auto"/>
        </w:rPr>
      </w:pPr>
      <w:r>
        <w:rPr>
          <w:rFonts w:ascii="Arial" w:cs="Arial" w:eastAsia="Arial" w:hAnsi="Arial"/>
          <w:sz w:val="18"/>
          <w:szCs w:val="18"/>
          <w:i w:val="1"/>
          <w:iCs w:val="1"/>
          <w:color w:val="auto"/>
        </w:rPr>
        <w:t xml:space="preserve">Section 2.14. Effect of Benchmark Transition Event. </w:t>
      </w:r>
      <w:r>
        <w:rPr>
          <w:rFonts w:ascii="Arial" w:cs="Arial" w:eastAsia="Arial" w:hAnsi="Arial"/>
          <w:sz w:val="18"/>
          <w:szCs w:val="18"/>
          <w:color w:val="auto"/>
        </w:rPr>
        <w:t>Notwithstanding anything to the contrary herein or in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Document (and any Hedge Agreement shall be deemed not to be a “Transaction Document” for purposes of this Section 2.14),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(3) of the definition of “Benchmark Replacement” for such Benchmark Replacement Date, such Benchmark Replacement will replace such Benchmark for all purposes hereunder and under any Transaction Document in respect of any Benchmark setting at or after 5:00 p.m. (Chicago time) on the 5th Business Day after the date notice of such Benchmark Replacement is provided to the Lenders without any amendment to, or further action or consent of any other party to, this Agreement or any other Transaction Document so long as the Deal Agent has not received, by such time, written notice of objection to such Benchmark Replacement from Lenders comprising the Required Lenders.</w:t>
      </w:r>
    </w:p>
    <w:p>
      <w:pPr>
        <w:spacing w:after="0" w:line="217" w:lineRule="exact"/>
        <w:rPr>
          <w:sz w:val="20"/>
          <w:szCs w:val="20"/>
          <w:color w:val="auto"/>
        </w:rPr>
      </w:pPr>
    </w:p>
    <w:p>
      <w:pPr>
        <w:jc w:val="both"/>
        <w:ind w:left="460" w:firstLine="644"/>
        <w:spacing w:after="0" w:line="257" w:lineRule="auto"/>
        <w:tabs>
          <w:tab w:leader="none" w:pos="1539" w:val="left"/>
        </w:tabs>
        <w:numPr>
          <w:ilvl w:val="0"/>
          <w:numId w:val="234"/>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Transaction Document and subject to the proviso below in this paragraph, if a Term SOFR Event and its related Benchmark Replacement Date have occurred prior to the Reference Time in respect of any setting of the then-current Benchmark, then the applicable Benchmark Replacement will replace the then-current Benchmark for all purposes hereunder or under any Transaction Document in respect of such Benchmark setting and subsequent Benchmark settings, without any amendment to, or further action or consent of any other party to, this Agreement or any other Transaction Document; provided that, this clause (b) shall not be effective unless the Deal Agent has delivered to the Lenders and the Borrower a Term SOFR Notice.</w:t>
      </w:r>
    </w:p>
    <w:p>
      <w:pPr>
        <w:spacing w:after="0" w:line="220" w:lineRule="exact"/>
        <w:rPr>
          <w:rFonts w:ascii="Arial" w:cs="Arial" w:eastAsia="Arial" w:hAnsi="Arial"/>
          <w:sz w:val="20"/>
          <w:szCs w:val="20"/>
          <w:color w:val="auto"/>
        </w:rPr>
      </w:pPr>
    </w:p>
    <w:p>
      <w:pPr>
        <w:jc w:val="both"/>
        <w:ind w:left="460" w:firstLine="644"/>
        <w:spacing w:after="0" w:line="298" w:lineRule="auto"/>
        <w:tabs>
          <w:tab w:leader="none" w:pos="163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Deal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 or any other Transaction Document.</w:t>
      </w:r>
    </w:p>
    <w:p>
      <w:pPr>
        <w:spacing w:after="0" w:line="200" w:lineRule="exact"/>
        <w:rPr>
          <w:rFonts w:ascii="Arial" w:cs="Arial" w:eastAsia="Arial" w:hAnsi="Arial"/>
          <w:sz w:val="18"/>
          <w:szCs w:val="18"/>
          <w:color w:val="auto"/>
        </w:rPr>
      </w:pPr>
    </w:p>
    <w:p>
      <w:pPr>
        <w:ind w:left="460" w:right="20" w:firstLine="644"/>
        <w:spacing w:after="0" w:line="274" w:lineRule="auto"/>
        <w:tabs>
          <w:tab w:leader="none" w:pos="1587" w:val="left"/>
        </w:tabs>
        <w:numPr>
          <w:ilvl w:val="0"/>
          <w:numId w:val="234"/>
        </w:numPr>
        <w:rPr>
          <w:rFonts w:ascii="Arial" w:cs="Arial" w:eastAsia="Arial" w:hAnsi="Arial"/>
          <w:sz w:val="20"/>
          <w:szCs w:val="20"/>
          <w:color w:val="auto"/>
        </w:rPr>
      </w:pPr>
      <w:r>
        <w:rPr>
          <w:rFonts w:ascii="Arial" w:cs="Arial" w:eastAsia="Arial" w:hAnsi="Arial"/>
          <w:sz w:val="20"/>
          <w:szCs w:val="20"/>
          <w:color w:val="auto"/>
        </w:rPr>
        <w:t>The Deal Agent will promptly notify the Borrower and the Lenders of (i) any occurrence of a Benchmark Transition Event, Term SOFR Event or Early Opt-in Election,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2-</w:t>
      </w:r>
    </w:p>
    <w:p>
      <w:pPr>
        <w:sectPr>
          <w:pgSz w:w="11900" w:h="16838" w:orient="portrait"/>
          <w:cols w:equalWidth="0" w:num="1">
            <w:col w:w="11040"/>
          </w:cols>
          <w:pgMar w:left="520" w:top="1440" w:right="339" w:bottom="1440" w:gutter="0" w:footer="0" w:header="0"/>
        </w:sectPr>
      </w:pPr>
    </w:p>
    <w:bookmarkStart w:id="247" w:name="page248"/>
    <w:bookmarkEnd w:id="247"/>
    <w:p>
      <w:pPr>
        <w:spacing w:after="0" w:line="24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applicable, and its related Benchmark Replacement Date,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Deal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 2.14.</w:t>
      </w:r>
    </w:p>
    <w:p>
      <w:pPr>
        <w:spacing w:after="0" w:line="200" w:lineRule="exact"/>
        <w:rPr>
          <w:sz w:val="20"/>
          <w:szCs w:val="20"/>
          <w:color w:val="auto"/>
        </w:rPr>
      </w:pPr>
    </w:p>
    <w:p>
      <w:pPr>
        <w:jc w:val="both"/>
        <w:ind w:firstLine="644"/>
        <w:spacing w:after="0" w:line="286" w:lineRule="auto"/>
        <w:tabs>
          <w:tab w:leader="none" w:pos="118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Transaction Document, at any time (including in connection with the implementation of a Benchmark Replacement), (i) if the then-current Benchmark is a term rate (including Term SOFR or LIBOR) and either (A) any tenor for such Benchmark is not displayed on a screen or other information service that publishes such rate from time to time as selected by the Deal Agent in its reasonable discretion or (B) the regulatory supervisor for the administrator of such Benchmark has provided a public statement or publication of information announcing that any tenor for such Benchmark is or will be no longer representative, then the Deal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Deal Agent may modify the definition of “Interest Period” for all Benchmark settings at or after such time to reinstate such previously removed tenor.</w:t>
      </w:r>
    </w:p>
    <w:p>
      <w:pPr>
        <w:spacing w:after="0" w:line="216" w:lineRule="exact"/>
        <w:rPr>
          <w:rFonts w:ascii="Arial" w:cs="Arial" w:eastAsia="Arial" w:hAnsi="Arial"/>
          <w:sz w:val="18"/>
          <w:szCs w:val="18"/>
          <w:color w:val="auto"/>
        </w:rPr>
      </w:pPr>
    </w:p>
    <w:p>
      <w:pPr>
        <w:jc w:val="both"/>
        <w:ind w:firstLine="644"/>
        <w:spacing w:after="0" w:line="291" w:lineRule="auto"/>
        <w:tabs>
          <w:tab w:leader="none" w:pos="106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borrowing of, conversion to or continuation of Eurodollar Loans to be made, converted or continued during any Benchmark Unavailability Period and, failing that, the Borrower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208" w:lineRule="exact"/>
        <w:rPr>
          <w:rFonts w:ascii="Arial" w:cs="Arial" w:eastAsia="Arial" w:hAnsi="Arial"/>
          <w:sz w:val="18"/>
          <w:szCs w:val="18"/>
          <w:color w:val="auto"/>
        </w:rPr>
      </w:pPr>
    </w:p>
    <w:p>
      <w:pPr>
        <w:ind w:left="1060" w:hanging="416"/>
        <w:spacing w:after="0"/>
        <w:tabs>
          <w:tab w:leader="none" w:pos="106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As used in this Section the following terms shall mean:</w:t>
      </w:r>
    </w:p>
    <w:p>
      <w:pPr>
        <w:spacing w:after="0" w:line="2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i w:val="1"/>
          <w:iCs w:val="1"/>
          <w:color w:val="auto"/>
        </w:rPr>
        <w:t xml:space="preserve">“Available Tenor” </w:t>
      </w:r>
      <w:r>
        <w:rPr>
          <w:rFonts w:ascii="Arial" w:cs="Arial" w:eastAsia="Arial" w:hAnsi="Arial"/>
          <w:sz w:val="20"/>
          <w:szCs w:val="20"/>
          <w:color w:val="auto"/>
        </w:rPr>
        <w:t>means, as of any date of determination and with respect to the then-current Benchmark, as applicable, any</w:t>
      </w:r>
      <w:r>
        <w:rPr>
          <w:rFonts w:ascii="Arial" w:cs="Arial" w:eastAsia="Arial" w:hAnsi="Arial"/>
          <w:sz w:val="20"/>
          <w:szCs w:val="20"/>
          <w:i w:val="1"/>
          <w:iCs w:val="1"/>
          <w:color w:val="auto"/>
        </w:rPr>
        <w:t xml:space="preserve"> </w:t>
      </w:r>
      <w:r>
        <w:rPr>
          <w:rFonts w:ascii="Arial" w:cs="Arial" w:eastAsia="Arial" w:hAnsi="Arial"/>
          <w:sz w:val="20"/>
          <w:szCs w:val="20"/>
          <w:color w:val="auto"/>
        </w:rPr>
        <w:t>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(e) of Section this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3-</w:t>
      </w:r>
    </w:p>
    <w:p>
      <w:pPr>
        <w:sectPr>
          <w:pgSz w:w="11900" w:h="16838" w:orient="portrait"/>
          <w:cols w:equalWidth="0" w:num="1">
            <w:col w:w="10580"/>
          </w:cols>
          <w:pgMar w:left="980" w:top="1440" w:right="339" w:bottom="1440" w:gutter="0" w:footer="0" w:header="0"/>
        </w:sectPr>
      </w:pPr>
    </w:p>
    <w:bookmarkStart w:id="248" w:name="page249"/>
    <w:bookmarkEnd w:id="248"/>
    <w:p>
      <w:pPr>
        <w:spacing w:after="0" w:line="24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8"/>
          <w:szCs w:val="18"/>
          <w:i w:val="1"/>
          <w:iCs w:val="1"/>
          <w:color w:val="auto"/>
        </w:rPr>
        <w:t xml:space="preserve">“Benchmark” </w:t>
      </w:r>
      <w:r>
        <w:rPr>
          <w:rFonts w:ascii="Arial" w:cs="Arial" w:eastAsia="Arial" w:hAnsi="Arial"/>
          <w:sz w:val="18"/>
          <w:szCs w:val="18"/>
          <w:color w:val="auto"/>
        </w:rPr>
        <w:t>means, initially, the LIBOR Index Rate; provided that if a Benchmark Transition Event, a Term SOFR Event</w:t>
      </w:r>
      <w:r>
        <w:rPr>
          <w:rFonts w:ascii="Arial" w:cs="Arial" w:eastAsia="Arial" w:hAnsi="Arial"/>
          <w:sz w:val="18"/>
          <w:szCs w:val="18"/>
          <w:i w:val="1"/>
          <w:iCs w:val="1"/>
          <w:color w:val="auto"/>
        </w:rPr>
        <w:t xml:space="preserve"> </w:t>
      </w:r>
      <w:r>
        <w:rPr>
          <w:rFonts w:ascii="Arial" w:cs="Arial" w:eastAsia="Arial" w:hAnsi="Arial"/>
          <w:sz w:val="18"/>
          <w:szCs w:val="18"/>
          <w:color w:val="auto"/>
        </w:rPr>
        <w:t>or an Early Opt-in Election, as applicable, and its related Benchmark Replacement Date have occurred with respect to the LIBOR Index Rate or the then-current Benchmark, then “Benchmark” means the applicable Benchmark Replacement to the extent that such Benchmark Replacement has replaced such prior benchmark rate pursuant to clause (a) or (b) of this Section 2.14.</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i w:val="1"/>
          <w:iCs w:val="1"/>
          <w:color w:val="auto"/>
        </w:rPr>
        <w:t xml:space="preserve">“Benchmark Replacement” </w:t>
      </w:r>
      <w:r>
        <w:rPr>
          <w:rFonts w:ascii="Arial" w:cs="Arial" w:eastAsia="Arial" w:hAnsi="Arial"/>
          <w:sz w:val="20"/>
          <w:szCs w:val="20"/>
          <w:color w:val="auto"/>
        </w:rPr>
        <w:t>means, for any Available Tenor, the first alternative set forth in the order below that can be</w:t>
      </w:r>
      <w:r>
        <w:rPr>
          <w:rFonts w:ascii="Arial" w:cs="Arial" w:eastAsia="Arial" w:hAnsi="Arial"/>
          <w:sz w:val="20"/>
          <w:szCs w:val="20"/>
          <w:i w:val="1"/>
          <w:iCs w:val="1"/>
          <w:color w:val="auto"/>
        </w:rPr>
        <w:t xml:space="preserve"> </w:t>
      </w:r>
      <w:r>
        <w:rPr>
          <w:rFonts w:ascii="Arial" w:cs="Arial" w:eastAsia="Arial" w:hAnsi="Arial"/>
          <w:sz w:val="20"/>
          <w:szCs w:val="20"/>
          <w:color w:val="auto"/>
        </w:rPr>
        <w:t>determined by the Deal Agent for the applicable Benchmark Replacement Date:</w:t>
      </w:r>
    </w:p>
    <w:p>
      <w:pPr>
        <w:spacing w:after="0" w:line="217" w:lineRule="exact"/>
        <w:rPr>
          <w:sz w:val="20"/>
          <w:szCs w:val="20"/>
          <w:color w:val="auto"/>
        </w:rPr>
      </w:pPr>
    </w:p>
    <w:p>
      <w:pPr>
        <w:ind w:left="1080" w:hanging="436"/>
        <w:spacing w:after="0"/>
        <w:tabs>
          <w:tab w:leader="none" w:pos="108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sum of: (a) Term SOFR and (b) the related Benchmark Replacement Adjustment;</w:t>
      </w:r>
    </w:p>
    <w:p>
      <w:pPr>
        <w:spacing w:after="0" w:line="269" w:lineRule="exact"/>
        <w:rPr>
          <w:rFonts w:ascii="Arial" w:cs="Arial" w:eastAsia="Arial" w:hAnsi="Arial"/>
          <w:sz w:val="20"/>
          <w:szCs w:val="20"/>
          <w:color w:val="auto"/>
        </w:rPr>
      </w:pPr>
    </w:p>
    <w:p>
      <w:pPr>
        <w:ind w:left="1080" w:hanging="436"/>
        <w:spacing w:after="0"/>
        <w:tabs>
          <w:tab w:leader="none" w:pos="1080"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sum of: (a) Daily Simple SOFR and (b) the related Benchmark Replacement Adjustment;</w:t>
      </w:r>
    </w:p>
    <w:p>
      <w:pPr>
        <w:spacing w:after="0" w:line="256" w:lineRule="exact"/>
        <w:rPr>
          <w:rFonts w:ascii="Arial" w:cs="Arial" w:eastAsia="Arial" w:hAnsi="Arial"/>
          <w:sz w:val="20"/>
          <w:szCs w:val="20"/>
          <w:color w:val="auto"/>
        </w:rPr>
      </w:pPr>
    </w:p>
    <w:p>
      <w:pPr>
        <w:jc w:val="both"/>
        <w:ind w:firstLine="644"/>
        <w:spacing w:after="0" w:line="257" w:lineRule="auto"/>
        <w:tabs>
          <w:tab w:leader="none" w:pos="1215" w:val="left"/>
        </w:tabs>
        <w:numPr>
          <w:ilvl w:val="0"/>
          <w:numId w:val="236"/>
        </w:numPr>
        <w:rPr>
          <w:rFonts w:ascii="Arial" w:cs="Arial" w:eastAsia="Arial" w:hAnsi="Arial"/>
          <w:sz w:val="20"/>
          <w:szCs w:val="20"/>
          <w:color w:val="auto"/>
        </w:rPr>
      </w:pPr>
      <w:r>
        <w:rPr>
          <w:rFonts w:ascii="Arial" w:cs="Arial" w:eastAsia="Arial" w:hAnsi="Arial"/>
          <w:sz w:val="20"/>
          <w:szCs w:val="20"/>
          <w:color w:val="auto"/>
        </w:rPr>
        <w:t>the sum of: (a) the alternate benchmark rate that has been selected by the Deal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the case of clause (1), the related Unadjusted Benchmark Replacement is displayed on a screen or other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service that publishes such rate from time to time as selected by the Deal Agent in its reasonable discretion; provided further that, notwithstanding anything to the contrary in this Agreement or in any other Transaction Document, upon the occurrence of a Term SOFR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223"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Transaction Documents.</w:t>
      </w:r>
    </w:p>
    <w:p>
      <w:pPr>
        <w:spacing w:after="0" w:line="1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i w:val="1"/>
          <w:iCs w:val="1"/>
          <w:color w:val="auto"/>
        </w:rPr>
        <w:t xml:space="preserve">“Benchmark Replacement Adjustment” </w:t>
      </w:r>
      <w:r>
        <w:rPr>
          <w:rFonts w:ascii="Arial" w:cs="Arial" w:eastAsia="Arial" w:hAnsi="Arial"/>
          <w:sz w:val="20"/>
          <w:szCs w:val="20"/>
          <w:color w:val="auto"/>
        </w:rPr>
        <w:t>means, with respect to any replacement of the then current Benchmark with an</w:t>
      </w:r>
      <w:r>
        <w:rPr>
          <w:rFonts w:ascii="Arial" w:cs="Arial" w:eastAsia="Arial" w:hAnsi="Arial"/>
          <w:sz w:val="20"/>
          <w:szCs w:val="20"/>
          <w:i w:val="1"/>
          <w:iCs w:val="1"/>
          <w:color w:val="auto"/>
        </w:rPr>
        <w:t xml:space="preserve"> </w:t>
      </w:r>
      <w:r>
        <w:rPr>
          <w:rFonts w:ascii="Arial" w:cs="Arial" w:eastAsia="Arial" w:hAnsi="Arial"/>
          <w:sz w:val="20"/>
          <w:szCs w:val="20"/>
          <w:color w:val="auto"/>
        </w:rPr>
        <w:t>Unadjusted Benchmark Replacement for any applicable Interest Period and Available Tenor for any setting of such Unadjusted Benchmark Replacement:</w:t>
      </w:r>
    </w:p>
    <w:p>
      <w:pPr>
        <w:spacing w:after="0" w:line="227" w:lineRule="exact"/>
        <w:rPr>
          <w:sz w:val="20"/>
          <w:szCs w:val="20"/>
          <w:color w:val="auto"/>
        </w:rPr>
      </w:pPr>
    </w:p>
    <w:p>
      <w:pPr>
        <w:ind w:firstLine="644"/>
        <w:spacing w:after="0" w:line="274" w:lineRule="auto"/>
        <w:tabs>
          <w:tab w:leader="none" w:pos="1119" w:val="left"/>
        </w:tabs>
        <w:numPr>
          <w:ilvl w:val="0"/>
          <w:numId w:val="237"/>
        </w:numPr>
        <w:rPr>
          <w:rFonts w:ascii="Arial" w:cs="Arial" w:eastAsia="Arial" w:hAnsi="Arial"/>
          <w:sz w:val="20"/>
          <w:szCs w:val="20"/>
          <w:color w:val="auto"/>
        </w:rPr>
      </w:pPr>
      <w:r>
        <w:rPr>
          <w:rFonts w:ascii="Arial" w:cs="Arial" w:eastAsia="Arial" w:hAnsi="Arial"/>
          <w:sz w:val="20"/>
          <w:szCs w:val="20"/>
          <w:color w:val="auto"/>
        </w:rPr>
        <w:t>for purposes of clauses (1) and (2) of the definition of “Benchmark Replacement,” the first alternative set forth in the order below that can be determined by the Deal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4-</w:t>
      </w:r>
    </w:p>
    <w:p>
      <w:pPr>
        <w:sectPr>
          <w:pgSz w:w="11900" w:h="16838" w:orient="portrait"/>
          <w:cols w:equalWidth="0" w:num="1">
            <w:col w:w="10580"/>
          </w:cols>
          <w:pgMar w:left="980" w:top="1440" w:right="339" w:bottom="1440" w:gutter="0" w:footer="0" w:header="0"/>
        </w:sectPr>
      </w:pPr>
    </w:p>
    <w:bookmarkStart w:id="249" w:name="page250"/>
    <w:bookmarkEnd w:id="249"/>
    <w:p>
      <w:pPr>
        <w:spacing w:after="0" w:line="249" w:lineRule="exact"/>
        <w:rPr>
          <w:sz w:val="20"/>
          <w:szCs w:val="20"/>
          <w:color w:val="auto"/>
        </w:rPr>
      </w:pPr>
    </w:p>
    <w:p>
      <w:pPr>
        <w:jc w:val="both"/>
        <w:ind w:firstLine="644"/>
        <w:spacing w:after="0" w:line="260" w:lineRule="auto"/>
        <w:tabs>
          <w:tab w:leader="none" w:pos="1117"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218" w:lineRule="exact"/>
        <w:rPr>
          <w:rFonts w:ascii="Arial" w:cs="Arial" w:eastAsia="Arial" w:hAnsi="Arial"/>
          <w:sz w:val="20"/>
          <w:szCs w:val="20"/>
          <w:color w:val="auto"/>
        </w:rPr>
      </w:pPr>
    </w:p>
    <w:p>
      <w:pPr>
        <w:jc w:val="both"/>
        <w:ind w:firstLine="644"/>
        <w:spacing w:after="0" w:line="260" w:lineRule="auto"/>
        <w:tabs>
          <w:tab w:leader="none" w:pos="1121" w:val="left"/>
        </w:tabs>
        <w:numPr>
          <w:ilvl w:val="0"/>
          <w:numId w:val="238"/>
        </w:numPr>
        <w:rPr>
          <w:rFonts w:ascii="Arial" w:cs="Arial" w:eastAsia="Arial" w:hAnsi="Arial"/>
          <w:sz w:val="20"/>
          <w:szCs w:val="20"/>
          <w:color w:val="auto"/>
        </w:rPr>
      </w:pPr>
      <w:r>
        <w:rPr>
          <w:rFonts w:ascii="Arial" w:cs="Arial" w:eastAsia="Arial" w:hAnsi="Arial"/>
          <w:sz w:val="20"/>
          <w:szCs w:val="20"/>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32" w:lineRule="exact"/>
        <w:rPr>
          <w:sz w:val="20"/>
          <w:szCs w:val="20"/>
          <w:color w:val="auto"/>
        </w:rPr>
      </w:pPr>
    </w:p>
    <w:p>
      <w:pPr>
        <w:jc w:val="both"/>
        <w:ind w:firstLine="644"/>
        <w:spacing w:after="0" w:line="288" w:lineRule="auto"/>
        <w:tabs>
          <w:tab w:leader="none" w:pos="122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for purposes of clause (3) of the definition of “Benchmark Replacement,” the spread adjustment, or method for calculating or determining such spread adjustment, (which may be a positive or negative value or zero) that has been selected by the Deal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213" w:lineRule="exact"/>
        <w:rPr>
          <w:sz w:val="20"/>
          <w:szCs w:val="20"/>
          <w:color w:val="auto"/>
        </w:rPr>
      </w:pPr>
    </w:p>
    <w:p>
      <w:pPr>
        <w:jc w:val="both"/>
        <w:spacing w:after="0" w:line="332"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clause (1) above, such adjustment is displayed on a screen or other information service that publishes</w:t>
      </w:r>
      <w:r>
        <w:rPr>
          <w:rFonts w:ascii="Arial" w:cs="Arial" w:eastAsia="Arial" w:hAnsi="Arial"/>
          <w:sz w:val="18"/>
          <w:szCs w:val="18"/>
          <w:i w:val="1"/>
          <w:iCs w:val="1"/>
          <w:color w:val="auto"/>
        </w:rPr>
        <w:t xml:space="preserve"> </w:t>
      </w:r>
      <w:r>
        <w:rPr>
          <w:rFonts w:ascii="Arial" w:cs="Arial" w:eastAsia="Arial" w:hAnsi="Arial"/>
          <w:sz w:val="18"/>
          <w:szCs w:val="18"/>
          <w:color w:val="auto"/>
        </w:rPr>
        <w:t>such Benchmark Replacement Adjustment from time to time as selected by the Deal Agent in its reasonable discretion.</w:t>
      </w:r>
    </w:p>
    <w:p>
      <w:pPr>
        <w:spacing w:after="0" w:line="1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i w:val="1"/>
          <w:iCs w:val="1"/>
          <w:color w:val="auto"/>
        </w:rPr>
        <w:t xml:space="preserve">“Benchmark Replacement Conforming Changes” </w:t>
      </w:r>
      <w:r>
        <w:rPr>
          <w:rFonts w:ascii="Arial" w:cs="Arial" w:eastAsia="Arial" w:hAnsi="Arial"/>
          <w:sz w:val="18"/>
          <w:szCs w:val="18"/>
          <w:color w:val="auto"/>
        </w:rPr>
        <w:t>means, with respect to any Benchmark Replacement, any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or operational changes (including changes to the definition of “Base Rate,” the definition of “Business Day,” the definition of “Interest Period,” the timing and frequency of determining rates and making payments of interest, the timing of borrowing requests or prepayment, conversion or continuation notices, the length of lookback periods, the applicability of breakage provisions, and other technical, administrative or operational matters) that the Deal Agent decides may be appropriate to reflect the adoption and implementation of such Benchmark Replacement and to permit the administration thereof by the Deal Agent in a manner substantially consistent with market practice (or, if the Deal Agent decides that adoption of any portion of such market practice is not administratively feasible or if the Deal Agent determines that no market practice for the administration of such Benchmark Replacement exists, in such other manner of administration as the Deal Agent decides is reasonably necessary in connection with the administration of this Agreement and the other Transaction Documents).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“Benchmark Replacement Date” </w:t>
      </w:r>
      <w:r>
        <w:rPr>
          <w:rFonts w:ascii="Arial" w:cs="Arial" w:eastAsia="Arial" w:hAnsi="Arial"/>
          <w:sz w:val="19"/>
          <w:szCs w:val="19"/>
          <w:color w:val="auto"/>
        </w:rPr>
        <w:t>means the earliest to occur of the following events with respect to the then-current</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5-</w:t>
      </w:r>
    </w:p>
    <w:p>
      <w:pPr>
        <w:sectPr>
          <w:pgSz w:w="11900" w:h="16838" w:orient="portrait"/>
          <w:cols w:equalWidth="0" w:num="1">
            <w:col w:w="10580"/>
          </w:cols>
          <w:pgMar w:left="980" w:top="1440" w:right="339" w:bottom="1440" w:gutter="0" w:footer="0" w:header="0"/>
        </w:sectPr>
      </w:pPr>
    </w:p>
    <w:bookmarkStart w:id="250" w:name="page251"/>
    <w:bookmarkEnd w:id="250"/>
    <w:p>
      <w:pPr>
        <w:spacing w:after="0" w:line="249" w:lineRule="exact"/>
        <w:rPr>
          <w:sz w:val="20"/>
          <w:szCs w:val="20"/>
          <w:color w:val="auto"/>
        </w:rPr>
      </w:pPr>
    </w:p>
    <w:p>
      <w:pPr>
        <w:jc w:val="both"/>
        <w:ind w:firstLine="644"/>
        <w:spacing w:after="0" w:line="260" w:lineRule="auto"/>
        <w:tabs>
          <w:tab w:leader="none" w:pos="1099"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218" w:lineRule="exact"/>
        <w:rPr>
          <w:rFonts w:ascii="Arial" w:cs="Arial" w:eastAsia="Arial" w:hAnsi="Arial"/>
          <w:sz w:val="20"/>
          <w:szCs w:val="20"/>
          <w:color w:val="auto"/>
        </w:rPr>
      </w:pPr>
    </w:p>
    <w:p>
      <w:pPr>
        <w:ind w:firstLine="644"/>
        <w:spacing w:after="0" w:line="274" w:lineRule="auto"/>
        <w:tabs>
          <w:tab w:leader="none" w:pos="1215"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in the case of clause (3) of the definition of “Benchmark Transition Event,” the date of the public statement or publication of information referenced therein;</w:t>
      </w:r>
    </w:p>
    <w:p>
      <w:pPr>
        <w:spacing w:after="0" w:line="217" w:lineRule="exact"/>
        <w:rPr>
          <w:rFonts w:ascii="Arial" w:cs="Arial" w:eastAsia="Arial" w:hAnsi="Arial"/>
          <w:sz w:val="20"/>
          <w:szCs w:val="20"/>
          <w:color w:val="auto"/>
        </w:rPr>
      </w:pPr>
    </w:p>
    <w:p>
      <w:pPr>
        <w:ind w:right="20" w:firstLine="644"/>
        <w:spacing w:after="0" w:line="274" w:lineRule="auto"/>
        <w:tabs>
          <w:tab w:leader="none" w:pos="1169"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in the case of a Term SOFR Event, the date that is 30 days after the date a Term SOFR Notice is provided to the Lenders and the Borrower pursuant to clause (b) of this Section 2.14; or</w:t>
      </w:r>
    </w:p>
    <w:p>
      <w:pPr>
        <w:spacing w:after="0" w:line="217" w:lineRule="exact"/>
        <w:rPr>
          <w:rFonts w:ascii="Arial" w:cs="Arial" w:eastAsia="Arial" w:hAnsi="Arial"/>
          <w:sz w:val="20"/>
          <w:szCs w:val="20"/>
          <w:color w:val="auto"/>
        </w:rPr>
      </w:pPr>
    </w:p>
    <w:p>
      <w:pPr>
        <w:jc w:val="both"/>
        <w:ind w:firstLine="644"/>
        <w:spacing w:after="0" w:line="260" w:lineRule="auto"/>
        <w:tabs>
          <w:tab w:leader="none" w:pos="1159"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in the case of an Early Opt-in Election, the 6th Business Day after the date notice of such Early Opt-in Election is provided to the Lenders, so long as the Deal Agent has not received, by 5:00 p.m. (Chicago time) on the 5th Business Day after the date notice of such Early Opt-in Election is provided to the Lenders, written notice of objection to such Early Opt-in Election from Lenders comprising the Required Lenders.</w:t>
      </w:r>
    </w:p>
    <w:p>
      <w:pPr>
        <w:spacing w:after="0" w:line="218"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6"/>
          <w:szCs w:val="16"/>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“Benchmark Transition Event” </w:t>
      </w:r>
      <w:r>
        <w:rPr>
          <w:rFonts w:ascii="Arial" w:cs="Arial" w:eastAsia="Arial" w:hAnsi="Arial"/>
          <w:sz w:val="18"/>
          <w:szCs w:val="18"/>
          <w:color w:val="auto"/>
        </w:rPr>
        <w:t>means the occurrence of one or more of the following events with respect to the then-current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62" w:lineRule="exact"/>
        <w:rPr>
          <w:sz w:val="20"/>
          <w:szCs w:val="20"/>
          <w:color w:val="auto"/>
        </w:rPr>
      </w:pPr>
    </w:p>
    <w:p>
      <w:pPr>
        <w:jc w:val="both"/>
        <w:ind w:firstLine="644"/>
        <w:spacing w:after="0" w:line="258" w:lineRule="auto"/>
        <w:tabs>
          <w:tab w:leader="none" w:pos="1202" w:val="left"/>
        </w:tabs>
        <w:numPr>
          <w:ilvl w:val="0"/>
          <w:numId w:val="24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21" w:lineRule="exact"/>
        <w:rPr>
          <w:rFonts w:ascii="Arial" w:cs="Arial" w:eastAsia="Arial" w:hAnsi="Arial"/>
          <w:sz w:val="20"/>
          <w:szCs w:val="20"/>
          <w:color w:val="auto"/>
        </w:rPr>
      </w:pPr>
    </w:p>
    <w:p>
      <w:pPr>
        <w:jc w:val="both"/>
        <w:ind w:firstLine="644"/>
        <w:spacing w:after="0" w:line="273" w:lineRule="auto"/>
        <w:tabs>
          <w:tab w:leader="none" w:pos="1112" w:val="left"/>
        </w:tabs>
        <w:numPr>
          <w:ilvl w:val="0"/>
          <w:numId w:val="241"/>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FRB,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6-</w:t>
      </w:r>
    </w:p>
    <w:p>
      <w:pPr>
        <w:sectPr>
          <w:pgSz w:w="11900" w:h="16838" w:orient="portrait"/>
          <w:cols w:equalWidth="0" w:num="1">
            <w:col w:w="10580"/>
          </w:cols>
          <w:pgMar w:left="980" w:top="1440" w:right="339" w:bottom="1440" w:gutter="0" w:footer="0" w:header="0"/>
        </w:sectPr>
      </w:pPr>
    </w:p>
    <w:bookmarkStart w:id="251" w:name="page252"/>
    <w:bookmarkEnd w:id="251"/>
    <w:p>
      <w:pPr>
        <w:spacing w:after="0" w:line="249" w:lineRule="exact"/>
        <w:rPr>
          <w:sz w:val="20"/>
          <w:szCs w:val="20"/>
          <w:color w:val="auto"/>
        </w:rPr>
      </w:pPr>
    </w:p>
    <w:p>
      <w:pPr>
        <w:ind w:left="4"/>
        <w:spacing w:after="0" w:line="274" w:lineRule="auto"/>
        <w:rPr>
          <w:sz w:val="20"/>
          <w:szCs w:val="20"/>
          <w:color w:val="auto"/>
        </w:rPr>
      </w:pPr>
      <w:r>
        <w:rPr>
          <w:rFonts w:ascii="Arial" w:cs="Arial" w:eastAsia="Arial" w:hAnsi="Arial"/>
          <w:sz w:val="20"/>
          <w:szCs w:val="20"/>
          <w:color w:val="auto"/>
        </w:rPr>
        <w:t>thereof) permanently or indefinitely, provided that, at the time of such statement or publication, there is no successor administrator that will continue to provide any Available Tenor of such Benchmark (or such component thereof) or</w:t>
      </w:r>
    </w:p>
    <w:p>
      <w:pPr>
        <w:spacing w:after="0" w:line="204" w:lineRule="exact"/>
        <w:rPr>
          <w:sz w:val="20"/>
          <w:szCs w:val="20"/>
          <w:color w:val="auto"/>
        </w:rPr>
      </w:pPr>
    </w:p>
    <w:p>
      <w:pPr>
        <w:jc w:val="both"/>
        <w:ind w:left="4" w:firstLine="644"/>
        <w:spacing w:after="0" w:line="264" w:lineRule="auto"/>
        <w:tabs>
          <w:tab w:leader="none" w:pos="1116" w:val="left"/>
        </w:tabs>
        <w:numPr>
          <w:ilvl w:val="0"/>
          <w:numId w:val="242"/>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227" w:lineRule="exact"/>
        <w:rPr>
          <w:sz w:val="20"/>
          <w:szCs w:val="20"/>
          <w:color w:val="auto"/>
        </w:rPr>
      </w:pPr>
    </w:p>
    <w:p>
      <w:pPr>
        <w:ind w:left="644"/>
        <w:spacing w:after="0"/>
        <w:rPr>
          <w:sz w:val="20"/>
          <w:szCs w:val="20"/>
          <w:color w:val="auto"/>
        </w:rPr>
      </w:pPr>
      <w:r>
        <w:rPr>
          <w:rFonts w:ascii="Arial" w:cs="Arial" w:eastAsia="Arial" w:hAnsi="Arial"/>
          <w:sz w:val="19"/>
          <w:szCs w:val="19"/>
          <w:color w:val="auto"/>
        </w:rPr>
        <w:t>For the avoidance of doubt, a “Benchmark Transition Event” will be deemed to have occurred with respect to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9"/>
          <w:szCs w:val="19"/>
          <w:color w:val="auto"/>
        </w:rPr>
        <w:t>Benchmark if a public statement or publication of information set forth above has occurred with respect to each then-current</w:t>
      </w:r>
    </w:p>
    <w:p>
      <w:pPr>
        <w:spacing w:after="0" w:line="25" w:lineRule="exact"/>
        <w:rPr>
          <w:sz w:val="20"/>
          <w:szCs w:val="20"/>
          <w:color w:val="auto"/>
        </w:rPr>
      </w:pPr>
    </w:p>
    <w:p>
      <w:pPr>
        <w:ind w:left="4"/>
        <w:spacing w:after="0"/>
        <w:rPr>
          <w:sz w:val="20"/>
          <w:szCs w:val="20"/>
          <w:color w:val="auto"/>
        </w:rPr>
      </w:pPr>
      <w:r>
        <w:rPr>
          <w:rFonts w:ascii="Arial" w:cs="Arial" w:eastAsia="Arial" w:hAnsi="Arial"/>
          <w:sz w:val="20"/>
          <w:szCs w:val="20"/>
          <w:color w:val="auto"/>
        </w:rPr>
        <w:t>Available Tenor of such Benchmark (or the published component used in the calculation thereof).</w:t>
      </w:r>
    </w:p>
    <w:p>
      <w:pPr>
        <w:spacing w:after="0" w:line="262"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8"/>
          <w:szCs w:val="18"/>
          <w:i w:val="1"/>
          <w:iCs w:val="1"/>
          <w:color w:val="auto"/>
        </w:rPr>
        <w:t xml:space="preserve">“Benchmark Unavailability Period” </w:t>
      </w:r>
      <w:r>
        <w:rPr>
          <w:rFonts w:ascii="Arial" w:cs="Arial" w:eastAsia="Arial" w:hAnsi="Arial"/>
          <w:sz w:val="18"/>
          <w:szCs w:val="18"/>
          <w:color w:val="auto"/>
        </w:rPr>
        <w:t>means the period (if any) (x) beginning at the time that a Benchmark Replacement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clauses (1) or (2) of that definition has occurred if, at such time, no Benchmark Replacement has replaced the then-current Benchmark for all purposes hereunder and under any Transaction Document in accordance with this Section 2.14 and</w:t>
      </w:r>
    </w:p>
    <w:p>
      <w:pPr>
        <w:spacing w:after="0" w:line="2" w:lineRule="exact"/>
        <w:rPr>
          <w:sz w:val="20"/>
          <w:szCs w:val="20"/>
          <w:color w:val="auto"/>
        </w:rPr>
      </w:pPr>
    </w:p>
    <w:p>
      <w:pPr>
        <w:ind w:left="4" w:hanging="4"/>
        <w:spacing w:after="0" w:line="267" w:lineRule="auto"/>
        <w:tabs>
          <w:tab w:leader="none" w:pos="289" w:val="left"/>
        </w:tabs>
        <w:numPr>
          <w:ilvl w:val="0"/>
          <w:numId w:val="243"/>
        </w:numPr>
        <w:rPr>
          <w:rFonts w:ascii="Arial" w:cs="Arial" w:eastAsia="Arial" w:hAnsi="Arial"/>
          <w:sz w:val="20"/>
          <w:szCs w:val="20"/>
          <w:color w:val="auto"/>
        </w:rPr>
      </w:pPr>
      <w:r>
        <w:rPr>
          <w:rFonts w:ascii="Arial" w:cs="Arial" w:eastAsia="Arial" w:hAnsi="Arial"/>
          <w:sz w:val="20"/>
          <w:szCs w:val="20"/>
          <w:color w:val="auto"/>
        </w:rPr>
        <w:t>ending at the time that a Benchmark Replacement has replaced the then-current Benchmark for all purposes hereunder and under any Transaction Document in accordance with this Section 2.14.</w:t>
      </w:r>
    </w:p>
    <w:p>
      <w:pPr>
        <w:spacing w:after="0" w:line="210" w:lineRule="exact"/>
        <w:rPr>
          <w:sz w:val="20"/>
          <w:szCs w:val="20"/>
          <w:color w:val="auto"/>
        </w:rPr>
      </w:pPr>
    </w:p>
    <w:p>
      <w:pPr>
        <w:jc w:val="both"/>
        <w:ind w:left="4" w:firstLine="648"/>
        <w:spacing w:after="0" w:line="332" w:lineRule="auto"/>
        <w:rPr>
          <w:sz w:val="20"/>
          <w:szCs w:val="20"/>
          <w:color w:val="auto"/>
        </w:rPr>
      </w:pPr>
      <w:r>
        <w:rPr>
          <w:rFonts w:ascii="Arial" w:cs="Arial" w:eastAsia="Arial" w:hAnsi="Arial"/>
          <w:sz w:val="18"/>
          <w:szCs w:val="18"/>
          <w:i w:val="1"/>
          <w:iCs w:val="1"/>
          <w:color w:val="auto"/>
        </w:rPr>
        <w:t xml:space="preserve">“Corresponding Tenor” </w:t>
      </w:r>
      <w:r>
        <w:rPr>
          <w:rFonts w:ascii="Arial" w:cs="Arial" w:eastAsia="Arial" w:hAnsi="Arial"/>
          <w:sz w:val="18"/>
          <w:szCs w:val="18"/>
          <w:color w:val="auto"/>
        </w:rPr>
        <w:t>with respect to any Available Tenor means, as applicable, either a tenor (including overnight) or an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 period having approximately the same length (disregarding business day adjustment) as such Available Tenor.</w:t>
      </w:r>
    </w:p>
    <w:p>
      <w:pPr>
        <w:spacing w:after="0" w:line="170" w:lineRule="exact"/>
        <w:rPr>
          <w:sz w:val="20"/>
          <w:szCs w:val="20"/>
          <w:color w:val="auto"/>
        </w:rPr>
      </w:pPr>
    </w:p>
    <w:p>
      <w:pPr>
        <w:jc w:val="both"/>
        <w:ind w:left="4" w:firstLine="648"/>
        <w:spacing w:after="0" w:line="258" w:lineRule="auto"/>
        <w:rPr>
          <w:sz w:val="20"/>
          <w:szCs w:val="20"/>
          <w:color w:val="auto"/>
        </w:rPr>
      </w:pPr>
      <w:r>
        <w:rPr>
          <w:rFonts w:ascii="Arial" w:cs="Arial" w:eastAsia="Arial" w:hAnsi="Arial"/>
          <w:sz w:val="20"/>
          <w:szCs w:val="20"/>
          <w:i w:val="1"/>
          <w:iCs w:val="1"/>
          <w:color w:val="auto"/>
        </w:rPr>
        <w:t xml:space="preserve">“Daily Simple SOFR” </w:t>
      </w:r>
      <w:r>
        <w:rPr>
          <w:rFonts w:ascii="Arial" w:cs="Arial" w:eastAsia="Arial" w:hAnsi="Arial"/>
          <w:sz w:val="20"/>
          <w:szCs w:val="20"/>
          <w:color w:val="auto"/>
        </w:rPr>
        <w:t>means, for any day, SOFR, with the conventions for this rate (which will include a lookback) being</w:t>
      </w:r>
      <w:r>
        <w:rPr>
          <w:rFonts w:ascii="Arial" w:cs="Arial" w:eastAsia="Arial" w:hAnsi="Arial"/>
          <w:sz w:val="20"/>
          <w:szCs w:val="20"/>
          <w:i w:val="1"/>
          <w:iCs w:val="1"/>
          <w:color w:val="auto"/>
        </w:rPr>
        <w:t xml:space="preserve"> </w:t>
      </w:r>
      <w:r>
        <w:rPr>
          <w:rFonts w:ascii="Arial" w:cs="Arial" w:eastAsia="Arial" w:hAnsi="Arial"/>
          <w:sz w:val="20"/>
          <w:szCs w:val="20"/>
          <w:color w:val="auto"/>
        </w:rPr>
        <w:t>established by the Deal Agent in accordance with the conventions for this rate selected or recommended by the Relevant Governmental Body for determining “Daily Simple SOFR” for syndicated business loans; provided that if the Deal Agent decides that any such convention is not administratively feasible for the Deal Agent, then the Deal Agent may establish another convention in its reasonable discretion.</w:t>
      </w:r>
    </w:p>
    <w:p>
      <w:pPr>
        <w:spacing w:after="0" w:line="235" w:lineRule="exact"/>
        <w:rPr>
          <w:sz w:val="20"/>
          <w:szCs w:val="20"/>
          <w:color w:val="auto"/>
        </w:rPr>
      </w:pPr>
    </w:p>
    <w:p>
      <w:pPr>
        <w:ind w:left="644"/>
        <w:spacing w:after="0"/>
        <w:rPr>
          <w:sz w:val="20"/>
          <w:szCs w:val="20"/>
          <w:color w:val="auto"/>
        </w:rPr>
      </w:pPr>
      <w:r>
        <w:rPr>
          <w:rFonts w:ascii="Arial" w:cs="Arial" w:eastAsia="Arial" w:hAnsi="Arial"/>
          <w:sz w:val="20"/>
          <w:szCs w:val="20"/>
          <w:i w:val="1"/>
          <w:iCs w:val="1"/>
          <w:color w:val="auto"/>
        </w:rPr>
        <w:t xml:space="preserve">“Early Opt-in Election” </w:t>
      </w:r>
      <w:r>
        <w:rPr>
          <w:rFonts w:ascii="Arial" w:cs="Arial" w:eastAsia="Arial" w:hAnsi="Arial"/>
          <w:sz w:val="20"/>
          <w:szCs w:val="20"/>
          <w:color w:val="auto"/>
        </w:rPr>
        <w:t>means, if the then-current Benchmark is the LIBOR Index, the occurrence of:</w:t>
      </w:r>
    </w:p>
    <w:p>
      <w:pPr>
        <w:spacing w:after="0" w:line="256" w:lineRule="exact"/>
        <w:rPr>
          <w:sz w:val="20"/>
          <w:szCs w:val="20"/>
          <w:color w:val="auto"/>
        </w:rPr>
      </w:pPr>
    </w:p>
    <w:p>
      <w:pPr>
        <w:jc w:val="both"/>
        <w:ind w:left="4" w:firstLine="644"/>
        <w:spacing w:after="0" w:line="298" w:lineRule="auto"/>
        <w:tabs>
          <w:tab w:leader="none" w:pos="108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notification by the Deal Agent to (or the request by the Borrower to the Deal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0" w:lineRule="exact"/>
        <w:rPr>
          <w:rFonts w:ascii="Arial" w:cs="Arial" w:eastAsia="Arial" w:hAnsi="Arial"/>
          <w:sz w:val="18"/>
          <w:szCs w:val="18"/>
          <w:color w:val="auto"/>
        </w:rPr>
      </w:pPr>
    </w:p>
    <w:p>
      <w:pPr>
        <w:ind w:left="4" w:firstLine="644"/>
        <w:spacing w:after="0" w:line="274" w:lineRule="auto"/>
        <w:tabs>
          <w:tab w:leader="none" w:pos="1109"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joint election by the Deal Agent and the Borrower to trigger a fallback from LIBOR and the provision by the Deal Agent of written notice of such election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44"/>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7-</w:t>
      </w:r>
    </w:p>
    <w:p>
      <w:pPr>
        <w:sectPr>
          <w:pgSz w:w="11900" w:h="16838" w:orient="portrait"/>
          <w:cols w:equalWidth="0" w:num="1">
            <w:col w:w="10584"/>
          </w:cols>
          <w:pgMar w:left="976" w:top="1440" w:right="339" w:bottom="1440" w:gutter="0" w:footer="0" w:header="0"/>
        </w:sectPr>
      </w:pPr>
    </w:p>
    <w:bookmarkStart w:id="252" w:name="page253"/>
    <w:bookmarkEnd w:id="252"/>
    <w:p>
      <w:pPr>
        <w:spacing w:after="0" w:line="24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i w:val="1"/>
          <w:iCs w:val="1"/>
          <w:color w:val="auto"/>
        </w:rPr>
        <w:t xml:space="preserve">“Floor” </w:t>
      </w:r>
      <w:r>
        <w:rPr>
          <w:rFonts w:ascii="Arial" w:cs="Arial" w:eastAsia="Arial" w:hAnsi="Arial"/>
          <w:sz w:val="20"/>
          <w:szCs w:val="20"/>
          <w:color w:val="auto"/>
        </w:rPr>
        <w:t>means the benchmark rate floor, if any, provided in this Agreement initially (as of the execution of this Agreement,</w:t>
      </w:r>
      <w:r>
        <w:rPr>
          <w:rFonts w:ascii="Arial" w:cs="Arial" w:eastAsia="Arial" w:hAnsi="Arial"/>
          <w:sz w:val="20"/>
          <w:szCs w:val="20"/>
          <w:i w:val="1"/>
          <w:iCs w:val="1"/>
          <w:color w:val="auto"/>
        </w:rPr>
        <w:t xml:space="preserve"> </w:t>
      </w:r>
      <w:r>
        <w:rPr>
          <w:rFonts w:ascii="Arial" w:cs="Arial" w:eastAsia="Arial" w:hAnsi="Arial"/>
          <w:sz w:val="20"/>
          <w:szCs w:val="20"/>
          <w:color w:val="auto"/>
        </w:rPr>
        <w:t>the modification, amendment or renewal of this Agreement or otherwise) with respect to LIBOR.</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“FRB” </w:t>
      </w:r>
      <w:r>
        <w:rPr>
          <w:rFonts w:ascii="Arial" w:cs="Arial" w:eastAsia="Arial" w:hAnsi="Arial"/>
          <w:sz w:val="20"/>
          <w:szCs w:val="20"/>
          <w:color w:val="auto"/>
        </w:rPr>
        <w:t>means the Board of Governors of the Federal Reserve System of the United States.</w:t>
      </w:r>
    </w:p>
    <w:p>
      <w:pPr>
        <w:spacing w:after="0" w:line="27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i w:val="1"/>
          <w:iCs w:val="1"/>
          <w:color w:val="auto"/>
        </w:rPr>
        <w:t xml:space="preserve">“ISDA Definitions” </w:t>
      </w:r>
      <w:r>
        <w:rPr>
          <w:rFonts w:ascii="Arial" w:cs="Arial" w:eastAsia="Arial" w:hAnsi="Arial"/>
          <w:sz w:val="18"/>
          <w:szCs w:val="18"/>
          <w:color w:val="auto"/>
        </w:rPr>
        <w:t>means the 2006 ISDA Definitions published by the International Swaps and Derivatives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“NYFRB” </w:t>
      </w:r>
      <w:r>
        <w:rPr>
          <w:rFonts w:ascii="Arial" w:cs="Arial" w:eastAsia="Arial" w:hAnsi="Arial"/>
          <w:sz w:val="20"/>
          <w:szCs w:val="20"/>
          <w:color w:val="auto"/>
        </w:rPr>
        <w:t>means the Federal Reserve Bank of New York.</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i w:val="1"/>
          <w:iCs w:val="1"/>
          <w:color w:val="auto"/>
        </w:rPr>
        <w:t xml:space="preserve">“NYFRB’s Website” </w:t>
      </w:r>
      <w:r>
        <w:rPr>
          <w:rFonts w:ascii="Arial" w:cs="Arial" w:eastAsia="Arial" w:hAnsi="Arial"/>
          <w:sz w:val="20"/>
          <w:szCs w:val="20"/>
          <w:color w:val="auto"/>
        </w:rPr>
        <w:t>means the website of the Federal Reserve Bank of New York at http://www.newyorkfed.org, or any</w:t>
      </w:r>
      <w:r>
        <w:rPr>
          <w:rFonts w:ascii="Arial" w:cs="Arial" w:eastAsia="Arial" w:hAnsi="Arial"/>
          <w:sz w:val="20"/>
          <w:szCs w:val="20"/>
          <w:i w:val="1"/>
          <w:iCs w:val="1"/>
          <w:color w:val="auto"/>
        </w:rPr>
        <w:t xml:space="preserve"> </w:t>
      </w:r>
      <w:r>
        <w:rPr>
          <w:rFonts w:ascii="Arial" w:cs="Arial" w:eastAsia="Arial" w:hAnsi="Arial"/>
          <w:sz w:val="20"/>
          <w:szCs w:val="20"/>
          <w:color w:val="auto"/>
        </w:rPr>
        <w:t>successor source.</w:t>
      </w:r>
    </w:p>
    <w:p>
      <w:pPr>
        <w:spacing w:after="0" w:line="2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i w:val="1"/>
          <w:iCs w:val="1"/>
          <w:color w:val="auto"/>
        </w:rPr>
        <w:t xml:space="preserve">“Reference Time” </w:t>
      </w:r>
      <w:r>
        <w:rPr>
          <w:rFonts w:ascii="Arial" w:cs="Arial" w:eastAsia="Arial" w:hAnsi="Arial"/>
          <w:sz w:val="20"/>
          <w:szCs w:val="20"/>
          <w:color w:val="auto"/>
        </w:rPr>
        <w:t>with respect to any setting of the then-current Benchmark means (1) if such Benchmark is the LIBOR</w:t>
      </w:r>
      <w:r>
        <w:rPr>
          <w:rFonts w:ascii="Arial" w:cs="Arial" w:eastAsia="Arial" w:hAnsi="Arial"/>
          <w:sz w:val="20"/>
          <w:szCs w:val="20"/>
          <w:i w:val="1"/>
          <w:iCs w:val="1"/>
          <w:color w:val="auto"/>
        </w:rPr>
        <w:t xml:space="preserve"> </w:t>
      </w:r>
      <w:r>
        <w:rPr>
          <w:rFonts w:ascii="Arial" w:cs="Arial" w:eastAsia="Arial" w:hAnsi="Arial"/>
          <w:sz w:val="20"/>
          <w:szCs w:val="20"/>
          <w:color w:val="auto"/>
        </w:rPr>
        <w:t>Index, 11:00 a.m. (London time) on the day that is two London banking days preceding the date of such setting, and (2) if such Benchmark is not the LIBOR Index, the time determined by the Deal Agent in its reasonable discretion.</w:t>
      </w:r>
    </w:p>
    <w:p>
      <w:pPr>
        <w:spacing w:after="0" w:line="22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i w:val="1"/>
          <w:iCs w:val="1"/>
          <w:color w:val="auto"/>
        </w:rPr>
        <w:t xml:space="preserve">“Relevant Governmental Body” </w:t>
      </w:r>
      <w:r>
        <w:rPr>
          <w:rFonts w:ascii="Arial" w:cs="Arial" w:eastAsia="Arial" w:hAnsi="Arial"/>
          <w:sz w:val="20"/>
          <w:szCs w:val="20"/>
          <w:color w:val="auto"/>
        </w:rPr>
        <w:t>means the FRB and/or the NYFRB, or a committee officially endorsed or convened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FRB and/or the NYFRB, or any successor thereto.</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i w:val="1"/>
          <w:iCs w:val="1"/>
          <w:color w:val="auto"/>
        </w:rPr>
        <w:t xml:space="preserve">“SOFR” </w:t>
      </w:r>
      <w:r>
        <w:rPr>
          <w:rFonts w:ascii="Arial" w:cs="Arial" w:eastAsia="Arial" w:hAnsi="Arial"/>
          <w:sz w:val="20"/>
          <w:szCs w:val="20"/>
          <w:color w:val="auto"/>
        </w:rPr>
        <w:t>means, with respect to any Business Day, a rate per annum equal to the secured overnight financing rate for such</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Day published by the SOFR Administrator on the SOFR Administrator’s Website on the immediately succeeding Business Day.</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“SOFR Administrator” </w:t>
      </w:r>
      <w:r>
        <w:rPr>
          <w:rFonts w:ascii="Arial" w:cs="Arial" w:eastAsia="Arial" w:hAnsi="Arial"/>
          <w:sz w:val="20"/>
          <w:szCs w:val="20"/>
          <w:color w:val="auto"/>
        </w:rPr>
        <w:t>means the NYFRB (or a successor administrator of the secured overnight financing rate).</w:t>
      </w:r>
    </w:p>
    <w:p>
      <w:pPr>
        <w:spacing w:after="0" w:line="270"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9"/>
          <w:szCs w:val="19"/>
          <w:i w:val="1"/>
          <w:iCs w:val="1"/>
          <w:color w:val="auto"/>
        </w:rPr>
        <w:t xml:space="preserve">“SOFR Administrator’s Website” </w:t>
      </w:r>
      <w:r>
        <w:rPr>
          <w:rFonts w:ascii="Arial" w:cs="Arial" w:eastAsia="Arial" w:hAnsi="Arial"/>
          <w:sz w:val="19"/>
          <w:szCs w:val="19"/>
          <w:color w:val="auto"/>
        </w:rPr>
        <w:t>means the NYFRB’s Website, currently at http://www.newyorkfed.org, or any successor</w:t>
      </w:r>
      <w:r>
        <w:rPr>
          <w:rFonts w:ascii="Arial" w:cs="Arial" w:eastAsia="Arial" w:hAnsi="Arial"/>
          <w:sz w:val="19"/>
          <w:szCs w:val="19"/>
          <w:i w:val="1"/>
          <w:iCs w:val="1"/>
          <w:color w:val="auto"/>
        </w:rPr>
        <w:t xml:space="preserve"> </w:t>
      </w:r>
      <w:r>
        <w:rPr>
          <w:rFonts w:ascii="Arial" w:cs="Arial" w:eastAsia="Arial" w:hAnsi="Arial"/>
          <w:sz w:val="19"/>
          <w:szCs w:val="19"/>
          <w:color w:val="auto"/>
        </w:rPr>
        <w:t>source for the secured overnight financing rate identified as such by the SOFR Administrator from time to time.</w:t>
      </w:r>
    </w:p>
    <w:p>
      <w:pPr>
        <w:spacing w:after="0" w:line="18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i w:val="1"/>
          <w:iCs w:val="1"/>
          <w:color w:val="auto"/>
        </w:rPr>
        <w:t xml:space="preserve">“Term SOFR” </w:t>
      </w:r>
      <w:r>
        <w:rPr>
          <w:rFonts w:ascii="Arial" w:cs="Arial" w:eastAsia="Arial" w:hAnsi="Arial"/>
          <w:sz w:val="20"/>
          <w:szCs w:val="20"/>
          <w:color w:val="auto"/>
        </w:rPr>
        <w:t>means, for the applicable Corresponding Tenor as of the applicable Reference Time, the forward-looking term</w:t>
      </w:r>
      <w:r>
        <w:rPr>
          <w:rFonts w:ascii="Arial" w:cs="Arial" w:eastAsia="Arial" w:hAnsi="Arial"/>
          <w:sz w:val="20"/>
          <w:szCs w:val="20"/>
          <w:i w:val="1"/>
          <w:iCs w:val="1"/>
          <w:color w:val="auto"/>
        </w:rPr>
        <w:t xml:space="preserve"> </w:t>
      </w:r>
      <w:r>
        <w:rPr>
          <w:rFonts w:ascii="Arial" w:cs="Arial" w:eastAsia="Arial" w:hAnsi="Arial"/>
          <w:sz w:val="20"/>
          <w:szCs w:val="20"/>
          <w:color w:val="auto"/>
        </w:rPr>
        <w:t>rate based on SOFR that has been selected or recommended by the Relevant Governmental Body.</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“Term SOFR Event” </w:t>
      </w:r>
      <w:r>
        <w:rPr>
          <w:rFonts w:ascii="Arial" w:cs="Arial" w:eastAsia="Arial" w:hAnsi="Arial"/>
          <w:sz w:val="20"/>
          <w:szCs w:val="20"/>
          <w:color w:val="auto"/>
        </w:rPr>
        <w:t>means the determination by the Deal Agent that (a) Term SOFR has been recommended for use by the</w:t>
      </w:r>
      <w:r>
        <w:rPr>
          <w:rFonts w:ascii="Arial" w:cs="Arial" w:eastAsia="Arial" w:hAnsi="Arial"/>
          <w:sz w:val="20"/>
          <w:szCs w:val="20"/>
          <w:i w:val="1"/>
          <w:iCs w:val="1"/>
          <w:color w:val="auto"/>
        </w:rPr>
        <w:t xml:space="preserve"> </w:t>
      </w:r>
      <w:r>
        <w:rPr>
          <w:rFonts w:ascii="Arial" w:cs="Arial" w:eastAsia="Arial" w:hAnsi="Arial"/>
          <w:sz w:val="20"/>
          <w:szCs w:val="20"/>
          <w:color w:val="auto"/>
        </w:rPr>
        <w:t>Relevant Governmental Body, (b) the administration of Term SOFR is administratively feasible for the Deal Agent and (c) a Benchmark Transition Event has previously occurred resulting in a Benchmark Replacement in accordance with this Section 2.14 that is not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8-</w:t>
      </w:r>
    </w:p>
    <w:p>
      <w:pPr>
        <w:sectPr>
          <w:pgSz w:w="11900" w:h="16838" w:orient="portrait"/>
          <w:cols w:equalWidth="0" w:num="1">
            <w:col w:w="10580"/>
          </w:cols>
          <w:pgMar w:left="980" w:top="1440" w:right="339" w:bottom="1440" w:gutter="0" w:footer="0" w:header="0"/>
        </w:sectPr>
      </w:pPr>
    </w:p>
    <w:bookmarkStart w:id="253" w:name="page254"/>
    <w:bookmarkEnd w:id="253"/>
    <w:p>
      <w:pPr>
        <w:spacing w:after="0" w:line="249" w:lineRule="exact"/>
        <w:rPr>
          <w:sz w:val="20"/>
          <w:szCs w:val="20"/>
          <w:color w:val="auto"/>
        </w:rPr>
      </w:pPr>
    </w:p>
    <w:p>
      <w:pPr>
        <w:ind w:left="660" w:right="20" w:firstLine="648"/>
        <w:spacing w:after="0" w:line="274" w:lineRule="auto"/>
        <w:rPr>
          <w:sz w:val="20"/>
          <w:szCs w:val="20"/>
          <w:color w:val="auto"/>
        </w:rPr>
      </w:pPr>
      <w:r>
        <w:rPr>
          <w:rFonts w:ascii="Arial" w:cs="Arial" w:eastAsia="Arial" w:hAnsi="Arial"/>
          <w:sz w:val="20"/>
          <w:szCs w:val="20"/>
          <w:i w:val="1"/>
          <w:iCs w:val="1"/>
          <w:color w:val="auto"/>
        </w:rPr>
        <w:t xml:space="preserve">“Term SOFR Notice” </w:t>
      </w:r>
      <w:r>
        <w:rPr>
          <w:rFonts w:ascii="Arial" w:cs="Arial" w:eastAsia="Arial" w:hAnsi="Arial"/>
          <w:sz w:val="20"/>
          <w:szCs w:val="20"/>
          <w:color w:val="auto"/>
        </w:rPr>
        <w:t>means a notification by the Deal Agent to the Lenders and the Borrower of the occurrence of a Term</w:t>
      </w:r>
      <w:r>
        <w:rPr>
          <w:rFonts w:ascii="Arial" w:cs="Arial" w:eastAsia="Arial" w:hAnsi="Arial"/>
          <w:sz w:val="20"/>
          <w:szCs w:val="20"/>
          <w:i w:val="1"/>
          <w:iCs w:val="1"/>
          <w:color w:val="auto"/>
        </w:rPr>
        <w:t xml:space="preserve"> </w:t>
      </w:r>
      <w:r>
        <w:rPr>
          <w:rFonts w:ascii="Arial" w:cs="Arial" w:eastAsia="Arial" w:hAnsi="Arial"/>
          <w:sz w:val="20"/>
          <w:szCs w:val="20"/>
          <w:color w:val="auto"/>
        </w:rPr>
        <w:t>SOFR Event.</w:t>
      </w:r>
    </w:p>
    <w:p>
      <w:pPr>
        <w:spacing w:after="0" w:line="204" w:lineRule="exact"/>
        <w:rPr>
          <w:sz w:val="20"/>
          <w:szCs w:val="20"/>
          <w:color w:val="auto"/>
        </w:rPr>
      </w:pPr>
    </w:p>
    <w:p>
      <w:pPr>
        <w:ind w:left="660" w:firstLine="648"/>
        <w:spacing w:after="0" w:line="274" w:lineRule="auto"/>
        <w:rPr>
          <w:sz w:val="20"/>
          <w:szCs w:val="20"/>
          <w:color w:val="auto"/>
        </w:rPr>
      </w:pPr>
      <w:r>
        <w:rPr>
          <w:rFonts w:ascii="Arial" w:cs="Arial" w:eastAsia="Arial" w:hAnsi="Arial"/>
          <w:sz w:val="20"/>
          <w:szCs w:val="20"/>
          <w:i w:val="1"/>
          <w:iCs w:val="1"/>
          <w:color w:val="auto"/>
        </w:rPr>
        <w:t xml:space="preserve">“Unadjusted Benchmark Replacement” </w:t>
      </w:r>
      <w:r>
        <w:rPr>
          <w:rFonts w:ascii="Arial" w:cs="Arial" w:eastAsia="Arial" w:hAnsi="Arial"/>
          <w:sz w:val="20"/>
          <w:szCs w:val="20"/>
          <w:color w:val="auto"/>
        </w:rPr>
        <w:t>means the applicable Benchmark Replacement excluding the related Benchmark</w:t>
      </w:r>
      <w:r>
        <w:rPr>
          <w:rFonts w:ascii="Arial" w:cs="Arial" w:eastAsia="Arial" w:hAnsi="Arial"/>
          <w:sz w:val="20"/>
          <w:szCs w:val="20"/>
          <w:i w:val="1"/>
          <w:iCs w:val="1"/>
          <w:color w:val="auto"/>
        </w:rPr>
        <w:t xml:space="preserve"> </w:t>
      </w:r>
      <w:r>
        <w:rPr>
          <w:rFonts w:ascii="Arial" w:cs="Arial" w:eastAsia="Arial" w:hAnsi="Arial"/>
          <w:sz w:val="20"/>
          <w:szCs w:val="20"/>
          <w:color w:val="auto"/>
        </w:rPr>
        <w:t>Replacement Adjustment.</w:t>
      </w:r>
    </w:p>
    <w:p>
      <w:pPr>
        <w:spacing w:after="0" w:line="217" w:lineRule="exact"/>
        <w:rPr>
          <w:sz w:val="20"/>
          <w:szCs w:val="20"/>
          <w:color w:val="auto"/>
        </w:rPr>
      </w:pPr>
    </w:p>
    <w:p>
      <w:pPr>
        <w:ind w:firstLine="293"/>
        <w:spacing w:after="0" w:line="274" w:lineRule="auto"/>
        <w:rPr>
          <w:sz w:val="20"/>
          <w:szCs w:val="20"/>
          <w:color w:val="auto"/>
        </w:rPr>
      </w:pPr>
      <w:r>
        <w:rPr>
          <w:rFonts w:ascii="Arial" w:cs="Arial" w:eastAsia="Arial" w:hAnsi="Arial"/>
          <w:sz w:val="20"/>
          <w:szCs w:val="20"/>
          <w:color w:val="auto"/>
        </w:rPr>
        <w:t>2.4. Section 4.1(dd) of the Agreement is hereby amended and restated in its entirety and as so amended and restated shall read as follows:</w:t>
      </w:r>
    </w:p>
    <w:p>
      <w:pPr>
        <w:spacing w:after="0" w:line="21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0"/>
          <w:szCs w:val="20"/>
          <w:color w:val="auto"/>
        </w:rPr>
        <w:t>(dd)</w:t>
      </w:r>
      <w:r>
        <w:rPr>
          <w:sz w:val="20"/>
          <w:szCs w:val="20"/>
          <w:color w:val="auto"/>
        </w:rPr>
        <w:tab/>
      </w:r>
      <w:r>
        <w:rPr>
          <w:rFonts w:ascii="Arial" w:cs="Arial" w:eastAsia="Arial" w:hAnsi="Arial"/>
          <w:sz w:val="16"/>
          <w:szCs w:val="16"/>
          <w:i w:val="1"/>
          <w:iCs w:val="1"/>
          <w:color w:val="auto"/>
        </w:rPr>
        <w:t xml:space="preserve">Subsidiaries. </w:t>
      </w:r>
      <w:r>
        <w:rPr>
          <w:rFonts w:ascii="Arial" w:cs="Arial" w:eastAsia="Arial" w:hAnsi="Arial"/>
          <w:sz w:val="16"/>
          <w:szCs w:val="16"/>
          <w:color w:val="auto"/>
        </w:rPr>
        <w:t>The Borrower does not have any Subsidiaries or divisions.</w:t>
      </w:r>
    </w:p>
    <w:p>
      <w:pPr>
        <w:spacing w:after="0" w:line="25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Section 5.2(d) of the Agreement is hereby amended and restated in its entirety and as so amended and restated shall read as follows:</w:t>
      </w:r>
    </w:p>
    <w:p>
      <w:pPr>
        <w:spacing w:after="0" w:line="270" w:lineRule="exact"/>
        <w:rPr>
          <w:sz w:val="20"/>
          <w:szCs w:val="20"/>
          <w:color w:val="auto"/>
        </w:rPr>
      </w:pPr>
    </w:p>
    <w:p>
      <w:pPr>
        <w:jc w:val="both"/>
        <w:ind w:left="660" w:firstLine="644"/>
        <w:spacing w:after="0" w:line="258" w:lineRule="auto"/>
        <w:tabs>
          <w:tab w:leader="none" w:pos="1957" w:val="left"/>
        </w:tabs>
        <w:numPr>
          <w:ilvl w:val="0"/>
          <w:numId w:val="245"/>
        </w:numPr>
        <w:rPr>
          <w:rFonts w:ascii="Arial" w:cs="Arial" w:eastAsia="Arial" w:hAnsi="Arial"/>
          <w:sz w:val="20"/>
          <w:szCs w:val="20"/>
          <w:color w:val="auto"/>
        </w:rPr>
      </w:pPr>
      <w:r>
        <w:rPr>
          <w:rFonts w:ascii="Arial" w:cs="Arial" w:eastAsia="Arial" w:hAnsi="Arial"/>
          <w:sz w:val="20"/>
          <w:szCs w:val="20"/>
          <w:i w:val="1"/>
          <w:iCs w:val="1"/>
          <w:color w:val="auto"/>
        </w:rPr>
        <w:t xml:space="preserve">Mergers, Acquisitions, Sales, etc. </w:t>
      </w:r>
      <w:r>
        <w:rPr>
          <w:rFonts w:ascii="Arial" w:cs="Arial" w:eastAsia="Arial" w:hAnsi="Arial"/>
          <w:sz w:val="20"/>
          <w:szCs w:val="20"/>
          <w:color w:val="auto"/>
        </w:rPr>
        <w:t>The Borrower will not be a party to any division, merger or consolidation,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purchase or otherwise acquire all or substantially all of the assets or any stock of any class of, or any partnership or joint venture interest in, any other Person, or, sell, transfer, convey or lease all or any substantial part of its assets, or sell or assign with or without recourse any Loan, Contract, Related Security or other Collateral or any interest therein (other than pursuant to and in accordance with the Transaction Documents).</w:t>
      </w:r>
    </w:p>
    <w:p>
      <w:pPr>
        <w:spacing w:after="0" w:line="235"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20"/>
          <w:szCs w:val="20"/>
          <w:i w:val="1"/>
          <w:iCs w:val="1"/>
          <w:color w:val="auto"/>
        </w:rPr>
        <w:t xml:space="preserve">Section 3. Conditions Precedent; Effectiveness of Amendment. </w:t>
      </w:r>
      <w:r>
        <w:rPr>
          <w:rFonts w:ascii="Arial" w:cs="Arial" w:eastAsia="Arial" w:hAnsi="Arial"/>
          <w:sz w:val="20"/>
          <w:szCs w:val="20"/>
          <w:color w:val="auto"/>
        </w:rPr>
        <w:t>This Amendment shall become effective on and as of the date hereof,</w:t>
      </w:r>
      <w:r>
        <w:rPr>
          <w:rFonts w:ascii="Arial" w:cs="Arial" w:eastAsia="Arial" w:hAnsi="Arial"/>
          <w:sz w:val="20"/>
          <w:szCs w:val="20"/>
          <w:i w:val="1"/>
          <w:iCs w:val="1"/>
          <w:color w:val="auto"/>
        </w:rPr>
        <w:t xml:space="preserve"> </w:t>
      </w:r>
      <w:r>
        <w:rPr>
          <w:rFonts w:ascii="Arial" w:cs="Arial" w:eastAsia="Arial" w:hAnsi="Arial"/>
          <w:sz w:val="20"/>
          <w:szCs w:val="20"/>
          <w:color w:val="auto"/>
        </w:rPr>
        <w:t>upon the receipt by the Deal Agent of an executed counterpart of (i) this Amendment from each party hereto and (ii) the Seventh Amended and Restated Fee Letter from each party thereto.</w:t>
      </w:r>
    </w:p>
    <w:p>
      <w:pPr>
        <w:spacing w:after="0" w:line="213" w:lineRule="exact"/>
        <w:rPr>
          <w:sz w:val="20"/>
          <w:szCs w:val="20"/>
          <w:color w:val="auto"/>
        </w:rPr>
      </w:pPr>
    </w:p>
    <w:p>
      <w:pPr>
        <w:jc w:val="both"/>
        <w:ind w:firstLine="265"/>
        <w:spacing w:after="0" w:line="257" w:lineRule="auto"/>
        <w:rPr>
          <w:sz w:val="20"/>
          <w:szCs w:val="20"/>
          <w:color w:val="auto"/>
        </w:rPr>
      </w:pPr>
      <w:r>
        <w:rPr>
          <w:rFonts w:ascii="Arial" w:cs="Arial" w:eastAsia="Arial" w:hAnsi="Arial"/>
          <w:sz w:val="20"/>
          <w:szCs w:val="20"/>
          <w:i w:val="1"/>
          <w:iCs w:val="1"/>
          <w:color w:val="auto"/>
        </w:rPr>
        <w:t xml:space="preserve">Section 4. Representations of the Borrower and Servicer. </w:t>
      </w:r>
      <w:r>
        <w:rPr>
          <w:rFonts w:ascii="Arial" w:cs="Arial" w:eastAsia="Arial" w:hAnsi="Arial"/>
          <w:sz w:val="20"/>
          <w:szCs w:val="20"/>
          <w:color w:val="auto"/>
        </w:rPr>
        <w:t>Each of Borrower and Servicer hereby represent and warrant to the parties</w:t>
      </w:r>
      <w:r>
        <w:rPr>
          <w:rFonts w:ascii="Arial" w:cs="Arial" w:eastAsia="Arial" w:hAnsi="Arial"/>
          <w:sz w:val="20"/>
          <w:szCs w:val="20"/>
          <w:i w:val="1"/>
          <w:iCs w:val="1"/>
          <w:color w:val="auto"/>
        </w:rPr>
        <w:t xml:space="preserve"> </w:t>
      </w:r>
      <w:r>
        <w:rPr>
          <w:rFonts w:ascii="Arial" w:cs="Arial" w:eastAsia="Arial" w:hAnsi="Arial"/>
          <w:sz w:val="20"/>
          <w:szCs w:val="20"/>
          <w:color w:val="auto"/>
        </w:rPr>
        <w:t>hereto that as of the date hereof each of the representations and warranties contained in Article IV of the Agreement and any other Transaction Document to which it is a party are true and correct as of the date hereof and after giving effect to this Amendment (except to the extent that such representations and warranties relate solely to an earlier date, and then are true and correct as of such earlier date) and that no Amortization Event, Termination Event or Unmatured Termination Event has occurred and is continuing as of the date hereof and after giving effect to this Amendment.</w:t>
      </w:r>
    </w:p>
    <w:p>
      <w:pPr>
        <w:spacing w:after="0" w:line="237" w:lineRule="exact"/>
        <w:rPr>
          <w:sz w:val="20"/>
          <w:szCs w:val="20"/>
          <w:color w:val="auto"/>
        </w:rPr>
      </w:pPr>
    </w:p>
    <w:p>
      <w:pPr>
        <w:jc w:val="both"/>
        <w:ind w:firstLine="279"/>
        <w:spacing w:after="0" w:line="258" w:lineRule="auto"/>
        <w:rPr>
          <w:sz w:val="20"/>
          <w:szCs w:val="20"/>
          <w:color w:val="auto"/>
        </w:rPr>
      </w:pPr>
      <w:r>
        <w:rPr>
          <w:rFonts w:ascii="Arial" w:cs="Arial" w:eastAsia="Arial" w:hAnsi="Arial"/>
          <w:sz w:val="20"/>
          <w:szCs w:val="20"/>
          <w:i w:val="1"/>
          <w:iCs w:val="1"/>
          <w:color w:val="auto"/>
        </w:rPr>
        <w:t xml:space="preserve">Section 5. Agreement in Full Force and Effect. </w:t>
      </w:r>
      <w:r>
        <w:rPr>
          <w:rFonts w:ascii="Arial" w:cs="Arial" w:eastAsia="Arial" w:hAnsi="Arial"/>
          <w:sz w:val="20"/>
          <w:szCs w:val="20"/>
          <w:color w:val="auto"/>
        </w:rPr>
        <w:t>Except as expressly set forth herein, all terms and conditions of the Agreement, as</w:t>
      </w:r>
      <w:r>
        <w:rPr>
          <w:rFonts w:ascii="Arial" w:cs="Arial" w:eastAsia="Arial" w:hAnsi="Arial"/>
          <w:sz w:val="20"/>
          <w:szCs w:val="20"/>
          <w:i w:val="1"/>
          <w:iCs w:val="1"/>
          <w:color w:val="auto"/>
        </w:rPr>
        <w:t xml:space="preserve"> </w:t>
      </w:r>
      <w:r>
        <w:rPr>
          <w:rFonts w:ascii="Arial" w:cs="Arial" w:eastAsia="Arial" w:hAnsi="Arial"/>
          <w:sz w:val="20"/>
          <w:szCs w:val="20"/>
          <w:color w:val="auto"/>
        </w:rPr>
        <w:t>amended, shall remain in full force and effect. Reference to this specific Amendment need not be made in the Agreement, the Note,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pacing w:after="0" w:line="235"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20"/>
          <w:szCs w:val="20"/>
          <w:i w:val="1"/>
          <w:iCs w:val="1"/>
          <w:color w:val="auto"/>
        </w:rPr>
        <w:t xml:space="preserve">Section 6. Execution in Counterparts. </w:t>
      </w:r>
      <w:r>
        <w:rPr>
          <w:rFonts w:ascii="Arial" w:cs="Arial" w:eastAsia="Arial" w:hAnsi="Arial"/>
          <w:sz w:val="20"/>
          <w:szCs w:val="20"/>
          <w:color w:val="auto"/>
        </w:rPr>
        <w:t>This Amendment may be executed by the parties hereto in several counterparts, each of which</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executed by the parties hereto and be deemed an original and all of which shall constitute together but one and the same agreement. Delivery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9-</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executed counterpart of a signature page of this Amendment by telecopy or other electronic means shall be effective as delivery of a manually executed counterpart of this Amendment.</w:t>
      </w:r>
    </w:p>
    <w:p>
      <w:pPr>
        <w:spacing w:after="0" w:line="204" w:lineRule="exact"/>
        <w:rPr>
          <w:sz w:val="20"/>
          <w:szCs w:val="20"/>
          <w:color w:val="auto"/>
        </w:rPr>
      </w:pPr>
    </w:p>
    <w:p>
      <w:pPr>
        <w:jc w:val="both"/>
        <w:ind w:firstLine="211"/>
        <w:spacing w:after="0" w:line="264" w:lineRule="auto"/>
        <w:rPr>
          <w:sz w:val="20"/>
          <w:szCs w:val="20"/>
          <w:color w:val="auto"/>
        </w:rPr>
      </w:pPr>
      <w:r>
        <w:rPr>
          <w:rFonts w:ascii="Arial" w:cs="Arial" w:eastAsia="Arial" w:hAnsi="Arial"/>
          <w:sz w:val="20"/>
          <w:szCs w:val="20"/>
          <w:i w:val="1"/>
          <w:iCs w:val="1"/>
          <w:color w:val="auto"/>
        </w:rPr>
        <w:t xml:space="preserve">Section 7. Governing Law. </w:t>
      </w:r>
      <w:r>
        <w:rPr>
          <w:rFonts w:ascii="Arial" w:cs="Arial" w:eastAsia="Arial" w:hAnsi="Arial"/>
          <w:sz w:val="20"/>
          <w:szCs w:val="20"/>
          <w:color w:val="auto"/>
        </w:rPr>
        <w:t>This Amendment shall be governed by, and construed in accordance with, the laws of the State of New York,</w:t>
      </w:r>
      <w:r>
        <w:rPr>
          <w:rFonts w:ascii="Arial" w:cs="Arial" w:eastAsia="Arial" w:hAnsi="Arial"/>
          <w:sz w:val="20"/>
          <w:szCs w:val="20"/>
          <w:i w:val="1"/>
          <w:iCs w:val="1"/>
          <w:color w:val="auto"/>
        </w:rPr>
        <w:t xml:space="preserve"> </w:t>
      </w:r>
      <w:r>
        <w:rPr>
          <w:rFonts w:ascii="Arial" w:cs="Arial" w:eastAsia="Arial" w:hAnsi="Arial"/>
          <w:sz w:val="20"/>
          <w:szCs w:val="20"/>
          <w:color w:val="auto"/>
        </w:rPr>
        <w:t>without reference to conflict of law principles, and the obligations, rights and remedies of the parties hereunder shall be determined in accordance with the laws of the State of New York.</w:t>
      </w:r>
    </w:p>
    <w:p>
      <w:pPr>
        <w:spacing w:after="0" w:line="22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20"/>
          <w:szCs w:val="20"/>
          <w:i w:val="1"/>
          <w:iCs w:val="1"/>
          <w:color w:val="auto"/>
        </w:rPr>
        <w:t xml:space="preserve">Section 8. Fees and Expenses. </w:t>
      </w:r>
      <w:r>
        <w:rPr>
          <w:rFonts w:ascii="Arial" w:cs="Arial" w:eastAsia="Arial" w:hAnsi="Arial"/>
          <w:sz w:val="20"/>
          <w:szCs w:val="20"/>
          <w:color w:val="auto"/>
        </w:rPr>
        <w:t>The Borrower agrees to pay on demand all costs and expenses of or incurred by the Deal Agent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Lender in connection with the negotiation, preparation, execution and delivery of this Amendment, including the reasonable fees and expenses of external counsel for the Deal Agent and the Lender.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55" w:name="page256"/>
    <w:bookmarkEnd w:id="255"/>
    <w:p>
      <w:pPr>
        <w:ind w:firstLine="648"/>
        <w:spacing w:after="0" w:line="274" w:lineRule="auto"/>
        <w:rPr>
          <w:sz w:val="20"/>
          <w:szCs w:val="20"/>
          <w:color w:val="auto"/>
        </w:rPr>
      </w:pPr>
      <w:r>
        <w:rPr>
          <w:rFonts w:ascii="Arial" w:cs="Arial" w:eastAsia="Arial" w:hAnsi="Arial"/>
          <w:sz w:val="20"/>
          <w:szCs w:val="20"/>
          <w:color w:val="auto"/>
        </w:rPr>
        <w:t>In Witness Whereof, the parties hereto have caused this Second Amendment to Loan and Security Agreement to be executed and delivered by their duly authorized officers as of the date hereof.</w:t>
      </w: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CAC Warehouse Funding LLC IV</w:t>
      </w:r>
    </w:p>
    <w:p>
      <w:pPr>
        <w:spacing w:after="0" w:line="200" w:lineRule="exact"/>
        <w:rPr>
          <w:sz w:val="20"/>
          <w:szCs w:val="20"/>
          <w:color w:val="auto"/>
        </w:rPr>
      </w:pPr>
    </w:p>
    <w:p>
      <w:pPr>
        <w:spacing w:after="0" w:line="313" w:lineRule="exact"/>
        <w:rPr>
          <w:sz w:val="20"/>
          <w:szCs w:val="20"/>
          <w:color w:val="auto"/>
        </w:rPr>
      </w:pPr>
    </w:p>
    <w:p>
      <w:pPr>
        <w:ind w:left="4220"/>
        <w:spacing w:after="0"/>
        <w:tabs>
          <w:tab w:leader="none" w:pos="4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Douglas W. Busk</w:t>
      </w:r>
    </w:p>
    <w:p>
      <w:pPr>
        <w:spacing w:after="0" w:line="20" w:lineRule="exact"/>
        <w:rPr>
          <w:sz w:val="20"/>
          <w:szCs w:val="20"/>
          <w:color w:val="auto"/>
        </w:rPr>
      </w:pPr>
    </w:p>
    <w:p>
      <w:pPr>
        <w:ind w:left="4420"/>
        <w:spacing w:after="0"/>
        <w:tabs>
          <w:tab w:leader="none" w:pos="51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W. Busk</w:t>
      </w:r>
    </w:p>
    <w:p>
      <w:pPr>
        <w:spacing w:after="0" w:line="13" w:lineRule="exact"/>
        <w:rPr>
          <w:sz w:val="20"/>
          <w:szCs w:val="20"/>
          <w:color w:val="auto"/>
        </w:rPr>
      </w:pPr>
    </w:p>
    <w:p>
      <w:pPr>
        <w:ind w:left="4420"/>
        <w:spacing w:after="0"/>
        <w:tabs>
          <w:tab w:leader="none" w:pos="5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Treasury Officer</w:t>
      </w:r>
    </w:p>
    <w:p>
      <w:pPr>
        <w:spacing w:after="0" w:line="262"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Credit Acceptance Corporation</w:t>
      </w:r>
    </w:p>
    <w:p>
      <w:pPr>
        <w:spacing w:after="0" w:line="200" w:lineRule="exact"/>
        <w:rPr>
          <w:sz w:val="20"/>
          <w:szCs w:val="20"/>
          <w:color w:val="auto"/>
        </w:rPr>
      </w:pPr>
    </w:p>
    <w:p>
      <w:pPr>
        <w:spacing w:after="0" w:line="313" w:lineRule="exact"/>
        <w:rPr>
          <w:sz w:val="20"/>
          <w:szCs w:val="20"/>
          <w:color w:val="auto"/>
        </w:rPr>
      </w:pPr>
    </w:p>
    <w:p>
      <w:pPr>
        <w:ind w:left="4220"/>
        <w:spacing w:after="0"/>
        <w:tabs>
          <w:tab w:leader="none" w:pos="4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u w:val="single" w:color="auto"/>
          <w:color w:val="auto"/>
        </w:rPr>
        <w:t>/s/ Douglas W. Busk</w:t>
      </w:r>
    </w:p>
    <w:p>
      <w:pPr>
        <w:spacing w:after="0" w:line="20" w:lineRule="exact"/>
        <w:rPr>
          <w:sz w:val="20"/>
          <w:szCs w:val="20"/>
          <w:color w:val="auto"/>
        </w:rPr>
      </w:pPr>
    </w:p>
    <w:p>
      <w:pPr>
        <w:ind w:left="4420"/>
        <w:spacing w:after="0"/>
        <w:tabs>
          <w:tab w:leader="none" w:pos="51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W. Busk</w:t>
      </w:r>
    </w:p>
    <w:p>
      <w:pPr>
        <w:spacing w:after="0" w:line="13" w:lineRule="exact"/>
        <w:rPr>
          <w:sz w:val="20"/>
          <w:szCs w:val="20"/>
          <w:color w:val="auto"/>
        </w:rPr>
      </w:pPr>
    </w:p>
    <w:p>
      <w:pPr>
        <w:ind w:left="4420"/>
        <w:spacing w:after="0"/>
        <w:tabs>
          <w:tab w:leader="none" w:pos="5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Treasury OfficerBank of</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Montreal</w:t>
      </w:r>
    </w:p>
    <w:p>
      <w:pPr>
        <w:spacing w:after="0" w:line="200" w:lineRule="exact"/>
        <w:rPr>
          <w:sz w:val="20"/>
          <w:szCs w:val="20"/>
          <w:color w:val="auto"/>
        </w:rPr>
      </w:pPr>
    </w:p>
    <w:p>
      <w:pPr>
        <w:spacing w:after="0" w:line="313" w:lineRule="exact"/>
        <w:rPr>
          <w:sz w:val="20"/>
          <w:szCs w:val="20"/>
          <w:color w:val="auto"/>
        </w:rPr>
      </w:pPr>
    </w:p>
    <w:p>
      <w:pPr>
        <w:ind w:left="4220"/>
        <w:spacing w:after="0"/>
        <w:tabs>
          <w:tab w:leader="none" w:pos="4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Karen Louie</w:t>
      </w:r>
    </w:p>
    <w:p>
      <w:pPr>
        <w:spacing w:after="0" w:line="20" w:lineRule="exact"/>
        <w:rPr>
          <w:sz w:val="20"/>
          <w:szCs w:val="20"/>
          <w:color w:val="auto"/>
        </w:rPr>
      </w:pPr>
    </w:p>
    <w:p>
      <w:pPr>
        <w:ind w:left="4420"/>
        <w:spacing w:after="0"/>
        <w:tabs>
          <w:tab w:leader="none" w:pos="5180" w:val="left"/>
        </w:tabs>
        <w:rPr>
          <w:sz w:val="20"/>
          <w:szCs w:val="20"/>
          <w:color w:val="auto"/>
        </w:rPr>
      </w:pPr>
      <w:r>
        <w:rPr>
          <w:rFonts w:ascii="Arial" w:cs="Arial" w:eastAsia="Arial" w:hAnsi="Arial"/>
          <w:sz w:val="20"/>
          <w:szCs w:val="20"/>
          <w:color w:val="auto"/>
        </w:rPr>
        <w:t>Name:</w:t>
        <w:tab/>
        <w:t>Karen Louie</w:t>
      </w:r>
    </w:p>
    <w:p>
      <w:pPr>
        <w:spacing w:after="0" w:line="13" w:lineRule="exact"/>
        <w:rPr>
          <w:sz w:val="20"/>
          <w:szCs w:val="20"/>
          <w:color w:val="auto"/>
        </w:rPr>
      </w:pPr>
    </w:p>
    <w:p>
      <w:pPr>
        <w:ind w:left="4420"/>
        <w:spacing w:after="0"/>
        <w:tabs>
          <w:tab w:leader="none" w:pos="5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6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Wells Fargo Bank, National Association</w:t>
      </w:r>
    </w:p>
    <w:p>
      <w:pPr>
        <w:spacing w:after="0" w:line="200" w:lineRule="exact"/>
        <w:rPr>
          <w:sz w:val="20"/>
          <w:szCs w:val="20"/>
          <w:color w:val="auto"/>
        </w:rPr>
      </w:pPr>
    </w:p>
    <w:p>
      <w:pPr>
        <w:spacing w:after="0" w:line="313" w:lineRule="exact"/>
        <w:rPr>
          <w:sz w:val="20"/>
          <w:szCs w:val="20"/>
          <w:color w:val="auto"/>
        </w:rPr>
      </w:pPr>
    </w:p>
    <w:p>
      <w:pPr>
        <w:ind w:left="4220"/>
        <w:spacing w:after="0"/>
        <w:tabs>
          <w:tab w:leader="none" w:pos="4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Kristen L. Puttin</w:t>
      </w:r>
    </w:p>
    <w:p>
      <w:pPr>
        <w:spacing w:after="0" w:line="20" w:lineRule="exact"/>
        <w:rPr>
          <w:sz w:val="20"/>
          <w:szCs w:val="20"/>
          <w:color w:val="auto"/>
        </w:rPr>
      </w:pPr>
    </w:p>
    <w:p>
      <w:pPr>
        <w:ind w:left="4420"/>
        <w:spacing w:after="0"/>
        <w:tabs>
          <w:tab w:leader="none" w:pos="51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Kristen L. Puttin</w:t>
      </w:r>
    </w:p>
    <w:p>
      <w:pPr>
        <w:spacing w:after="0" w:line="13" w:lineRule="exact"/>
        <w:rPr>
          <w:sz w:val="20"/>
          <w:szCs w:val="20"/>
          <w:color w:val="auto"/>
        </w:rPr>
      </w:pPr>
    </w:p>
    <w:p>
      <w:pPr>
        <w:ind w:left="4420"/>
        <w:spacing w:after="0"/>
        <w:tabs>
          <w:tab w:leader="none" w:pos="5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6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BMO Capital Markets Corp.</w:t>
      </w:r>
    </w:p>
    <w:p>
      <w:pPr>
        <w:spacing w:after="0" w:line="200" w:lineRule="exact"/>
        <w:rPr>
          <w:sz w:val="20"/>
          <w:szCs w:val="20"/>
          <w:color w:val="auto"/>
        </w:rPr>
      </w:pPr>
    </w:p>
    <w:p>
      <w:pPr>
        <w:spacing w:after="0" w:line="313" w:lineRule="exact"/>
        <w:rPr>
          <w:sz w:val="20"/>
          <w:szCs w:val="20"/>
          <w:color w:val="auto"/>
        </w:rPr>
      </w:pPr>
    </w:p>
    <w:p>
      <w:pPr>
        <w:ind w:left="4220"/>
        <w:spacing w:after="0"/>
        <w:tabs>
          <w:tab w:leader="none" w:pos="4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Jeffrey Merchant</w:t>
      </w:r>
    </w:p>
    <w:p>
      <w:pPr>
        <w:spacing w:after="0" w:line="20" w:lineRule="exact"/>
        <w:rPr>
          <w:sz w:val="20"/>
          <w:szCs w:val="20"/>
          <w:color w:val="auto"/>
        </w:rPr>
      </w:pPr>
    </w:p>
    <w:p>
      <w:pPr>
        <w:ind w:left="4420"/>
        <w:spacing w:after="0"/>
        <w:tabs>
          <w:tab w:leader="none" w:pos="51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Jeffrey Merchant</w:t>
      </w:r>
    </w:p>
    <w:p>
      <w:pPr>
        <w:spacing w:after="0" w:line="13" w:lineRule="exact"/>
        <w:rPr>
          <w:sz w:val="20"/>
          <w:szCs w:val="20"/>
          <w:color w:val="auto"/>
        </w:rPr>
      </w:pPr>
    </w:p>
    <w:p>
      <w:pPr>
        <w:ind w:left="4420"/>
        <w:spacing w:after="0"/>
        <w:tabs>
          <w:tab w:leader="none" w:pos="50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 to Amended and Restated Loan and Security Agreement]</w:t>
      </w:r>
    </w:p>
    <w:p>
      <w:pPr>
        <w:sectPr>
          <w:pgSz w:w="11900" w:h="16838" w:orient="portrait"/>
          <w:cols w:equalWidth="0" w:num="1">
            <w:col w:w="11240"/>
          </w:cols>
          <w:pgMar w:left="320" w:top="1432" w:right="339" w:bottom="1440" w:gutter="0" w:footer="0" w:header="0"/>
        </w:sectPr>
      </w:pPr>
    </w:p>
    <w:bookmarkStart w:id="256" w:name="page257"/>
    <w:bookmarkEnd w:id="256"/>
    <w:p>
      <w:pPr>
        <w:spacing w:after="0" w:line="266" w:lineRule="exact"/>
        <w:rPr>
          <w:sz w:val="20"/>
          <w:szCs w:val="20"/>
          <w:color w:val="auto"/>
        </w:rPr>
      </w:pPr>
    </w:p>
    <w:p>
      <w:pPr>
        <w:ind w:left="2400"/>
        <w:spacing w:after="0"/>
        <w:rPr>
          <w:sz w:val="20"/>
          <w:szCs w:val="20"/>
          <w:color w:val="auto"/>
        </w:rPr>
      </w:pPr>
      <w:r>
        <w:rPr>
          <w:rFonts w:ascii="Arial" w:cs="Arial" w:eastAsia="Arial" w:hAnsi="Arial"/>
          <w:sz w:val="22"/>
          <w:szCs w:val="22"/>
          <w:b w:val="1"/>
          <w:bCs w:val="1"/>
          <w:u w:val="single" w:color="auto"/>
          <w:color w:val="auto"/>
        </w:rPr>
        <w:t>AMENDMENT NO. 5 TO LOAN AND SECURITY AGREEMENT</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This AMENDMENT NO. 5 TO THE SIXTH AMENDED AND RESTATED LOAN</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9"/>
          <w:szCs w:val="19"/>
          <w:b w:val="1"/>
          <w:bCs w:val="1"/>
          <w:color w:val="auto"/>
        </w:rPr>
        <w:t xml:space="preserve">AND SECURITY AGREEMENT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as of February 3, 2021, by and among CAC WAREHOUSE</w:t>
      </w:r>
      <w:r>
        <w:rPr>
          <w:rFonts w:ascii="Arial" w:cs="Arial" w:eastAsia="Arial" w:hAnsi="Arial"/>
          <w:sz w:val="19"/>
          <w:szCs w:val="19"/>
          <w:b w:val="1"/>
          <w:bCs w:val="1"/>
          <w:color w:val="auto"/>
        </w:rPr>
        <w:t xml:space="preserve"> </w:t>
      </w:r>
      <w:r>
        <w:rPr>
          <w:rFonts w:ascii="Arial" w:cs="Arial" w:eastAsia="Arial" w:hAnsi="Arial"/>
          <w:sz w:val="19"/>
          <w:szCs w:val="19"/>
          <w:color w:val="auto"/>
        </w:rPr>
        <w:t>FUNDING CORPORATION II, as the borrower (the “</w:t>
      </w:r>
      <w:r>
        <w:rPr>
          <w:rFonts w:ascii="Arial" w:cs="Arial" w:eastAsia="Arial" w:hAnsi="Arial"/>
          <w:sz w:val="19"/>
          <w:szCs w:val="19"/>
          <w:u w:val="single" w:color="auto"/>
          <w:color w:val="auto"/>
        </w:rPr>
        <w:t>Borrower</w:t>
      </w:r>
      <w:r>
        <w:rPr>
          <w:rFonts w:ascii="Arial" w:cs="Arial" w:eastAsia="Arial" w:hAnsi="Arial"/>
          <w:sz w:val="19"/>
          <w:szCs w:val="19"/>
          <w:color w:val="auto"/>
        </w:rPr>
        <w:t>”), CREDIT ACCEPTANCE CORPORATION, as the servicer (in such capacity, together with its successors and assigns, the “</w:t>
      </w:r>
      <w:r>
        <w:rPr>
          <w:rFonts w:ascii="Arial" w:cs="Arial" w:eastAsia="Arial" w:hAnsi="Arial"/>
          <w:sz w:val="19"/>
          <w:szCs w:val="19"/>
          <w:u w:val="single" w:color="auto"/>
          <w:color w:val="auto"/>
        </w:rPr>
        <w:t>Servicer</w:t>
      </w:r>
      <w:r>
        <w:rPr>
          <w:rFonts w:ascii="Arial" w:cs="Arial" w:eastAsia="Arial" w:hAnsi="Arial"/>
          <w:sz w:val="19"/>
          <w:szCs w:val="19"/>
          <w:color w:val="auto"/>
        </w:rPr>
        <w:t>”) and as the custodian (in such capacity, together with its successors and assigns, the “</w:t>
      </w:r>
      <w:r>
        <w:rPr>
          <w:rFonts w:ascii="Arial" w:cs="Arial" w:eastAsia="Arial" w:hAnsi="Arial"/>
          <w:sz w:val="19"/>
          <w:szCs w:val="19"/>
          <w:u w:val="single" w:color="auto"/>
          <w:color w:val="auto"/>
        </w:rPr>
        <w:t>Custodian</w:t>
      </w:r>
      <w:r>
        <w:rPr>
          <w:rFonts w:ascii="Arial" w:cs="Arial" w:eastAsia="Arial" w:hAnsi="Arial"/>
          <w:sz w:val="19"/>
          <w:szCs w:val="19"/>
          <w:color w:val="auto"/>
        </w:rPr>
        <w:t>”), WELLS FARGO BANK, NATIONAL ASSOCIATION, as a lender (the “</w:t>
      </w:r>
      <w:r>
        <w:rPr>
          <w:rFonts w:ascii="Arial" w:cs="Arial" w:eastAsia="Arial" w:hAnsi="Arial"/>
          <w:sz w:val="19"/>
          <w:szCs w:val="19"/>
          <w:u w:val="single" w:color="auto"/>
          <w:color w:val="auto"/>
        </w:rPr>
        <w:t>WF</w:t>
      </w:r>
      <w:r>
        <w:rPr>
          <w:rFonts w:ascii="Arial" w:cs="Arial" w:eastAsia="Arial" w:hAnsi="Arial"/>
          <w:sz w:val="19"/>
          <w:szCs w:val="19"/>
          <w:color w:val="auto"/>
        </w:rPr>
        <w:t xml:space="preserve"> </w:t>
      </w:r>
      <w:r>
        <w:rPr>
          <w:rFonts w:ascii="Arial" w:cs="Arial" w:eastAsia="Arial" w:hAnsi="Arial"/>
          <w:sz w:val="19"/>
          <w:szCs w:val="19"/>
          <w:u w:val="single" w:color="auto"/>
          <w:color w:val="auto"/>
        </w:rPr>
        <w:t>Lender</w:t>
      </w:r>
      <w:r>
        <w:rPr>
          <w:rFonts w:ascii="Arial" w:cs="Arial" w:eastAsia="Arial" w:hAnsi="Arial"/>
          <w:sz w:val="19"/>
          <w:szCs w:val="19"/>
          <w:color w:val="auto"/>
        </w:rPr>
        <w:t>”), the LENDERS FROM TIME TO TIME PARTY THERETO, as lenders (together with WF Lender, the “</w:t>
      </w:r>
      <w:r>
        <w:rPr>
          <w:rFonts w:ascii="Arial" w:cs="Arial" w:eastAsia="Arial" w:hAnsi="Arial"/>
          <w:sz w:val="19"/>
          <w:szCs w:val="19"/>
          <w:u w:val="single" w:color="auto"/>
          <w:color w:val="auto"/>
        </w:rPr>
        <w:t>Lenders</w:t>
      </w:r>
      <w:r>
        <w:rPr>
          <w:rFonts w:ascii="Arial" w:cs="Arial" w:eastAsia="Arial" w:hAnsi="Arial"/>
          <w:sz w:val="19"/>
          <w:szCs w:val="19"/>
          <w:color w:val="auto"/>
        </w:rPr>
        <w:t>”), WELLS FARGO BANK, NATIONAL ASSOCIATION, as the deal agent (in such capacity, together with its successors and assigns, the “</w:t>
      </w:r>
      <w:r>
        <w:rPr>
          <w:rFonts w:ascii="Arial" w:cs="Arial" w:eastAsia="Arial" w:hAnsi="Arial"/>
          <w:sz w:val="19"/>
          <w:szCs w:val="19"/>
          <w:u w:val="single" w:color="auto"/>
          <w:color w:val="auto"/>
        </w:rPr>
        <w:t>Deal Agent</w:t>
      </w:r>
      <w:r>
        <w:rPr>
          <w:rFonts w:ascii="Arial" w:cs="Arial" w:eastAsia="Arial" w:hAnsi="Arial"/>
          <w:sz w:val="19"/>
          <w:szCs w:val="19"/>
          <w:color w:val="auto"/>
        </w:rPr>
        <w:t>”), and WELLS FARGO BANK, NATIONAL ASSOCIATION, as the backup servicer (in such capacity, together with its successors and assigns, the “</w:t>
      </w:r>
      <w:r>
        <w:rPr>
          <w:rFonts w:ascii="Arial" w:cs="Arial" w:eastAsia="Arial" w:hAnsi="Arial"/>
          <w:sz w:val="19"/>
          <w:szCs w:val="19"/>
          <w:u w:val="single" w:color="auto"/>
          <w:color w:val="auto"/>
        </w:rPr>
        <w:t>Backup Servicer</w:t>
      </w:r>
      <w:r>
        <w:rPr>
          <w:rFonts w:ascii="Arial" w:cs="Arial" w:eastAsia="Arial" w:hAnsi="Arial"/>
          <w:sz w:val="19"/>
          <w:szCs w:val="19"/>
          <w:color w:val="auto"/>
        </w:rPr>
        <w:t>”) and as the collateral agent (in such capacity, together with its successors and assigns,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Capitalized terms used and not otherwise defined herein shall have the meanings given to such terms in the Agreement (as defined below).</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RECITALS</w:t>
      </w:r>
    </w:p>
    <w:p>
      <w:pPr>
        <w:spacing w:after="0" w:line="247"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Borrower, the Servicer, the Lenders, the Deal Agent, the Backup Servicer and the Collateral Agent</w:t>
      </w:r>
      <w:r>
        <w:rPr>
          <w:rFonts w:ascii="Arial" w:cs="Arial" w:eastAsia="Arial" w:hAnsi="Arial"/>
          <w:sz w:val="22"/>
          <w:szCs w:val="22"/>
          <w:b w:val="1"/>
          <w:bCs w:val="1"/>
          <w:color w:val="auto"/>
        </w:rPr>
        <w:t xml:space="preserve"> </w:t>
      </w:r>
      <w:r>
        <w:rPr>
          <w:rFonts w:ascii="Arial" w:cs="Arial" w:eastAsia="Arial" w:hAnsi="Arial"/>
          <w:sz w:val="22"/>
          <w:szCs w:val="22"/>
          <w:color w:val="auto"/>
        </w:rPr>
        <w:t>entered into that certain Sixth Amended and Restated Loan and Security Agreement, dated as of June 23, 2016, as amended by Amendment No. 1 thereto, dated as of December 20, 2017, as further amended by Amendment No. 2 thereto, dated as of July 12, 2019, as further amended by Amendment No. 3 thereto, dated as of August 16, 2019, and as further amended by Amendment No. 4 thereto, dated as of June 25, 2020 (as so amended and as further amended from time to time, the “</w:t>
      </w:r>
      <w:r>
        <w:rPr>
          <w:rFonts w:ascii="Arial" w:cs="Arial" w:eastAsia="Arial" w:hAnsi="Arial"/>
          <w:sz w:val="22"/>
          <w:szCs w:val="22"/>
          <w:u w:val="single" w:color="auto"/>
          <w:color w:val="auto"/>
        </w:rPr>
        <w:t>Agreement</w:t>
      </w:r>
      <w:r>
        <w:rPr>
          <w:rFonts w:ascii="Arial" w:cs="Arial" w:eastAsia="Arial" w:hAnsi="Arial"/>
          <w:sz w:val="22"/>
          <w:szCs w:val="22"/>
          <w:color w:val="auto"/>
        </w:rPr>
        <w:t>”); and</w:t>
      </w:r>
    </w:p>
    <w:p>
      <w:pPr>
        <w:spacing w:after="0" w:line="227"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desire to amend the Agreement pursuant to Section 14.1 thereof in certain respects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herein;</w:t>
      </w:r>
    </w:p>
    <w:p>
      <w:pPr>
        <w:spacing w:after="0" w:line="189" w:lineRule="exact"/>
        <w:rPr>
          <w:sz w:val="20"/>
          <w:szCs w:val="20"/>
          <w:color w:val="auto"/>
        </w:rPr>
      </w:pPr>
    </w:p>
    <w:p>
      <w:pPr>
        <w:jc w:val="both"/>
        <w:ind w:right="46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based upon the above Recitals, the mutual premises and agreements contained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good and valuable consideration, the receipt and sufficiency of which are hereby acknowledged, the parties hereto, intending to be legally bound, hereby agree as follows: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SECTION 1. </w:t>
      </w: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w:t>
      </w:r>
    </w:p>
    <w:p>
      <w:pPr>
        <w:spacing w:after="0" w:line="266"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The terms and provisions of the Agreement are hereby in amended in accordance with Exhibit A hereto by deleting the struck-through text (indicated textually in the same manner as the following example: </w:t>
      </w:r>
      <w:r>
        <w:rPr>
          <w:rFonts w:ascii="Arial" w:cs="Arial" w:eastAsia="Arial" w:hAnsi="Arial"/>
          <w:sz w:val="19"/>
          <w:szCs w:val="19"/>
          <w:color w:val="FF0000"/>
          <w:strike w:val="1"/>
        </w:rPr>
        <w:t>struck-through text</w:t>
      </w:r>
      <w:r>
        <w:rPr>
          <w:rFonts w:ascii="Arial" w:cs="Arial" w:eastAsia="Arial" w:hAnsi="Arial"/>
          <w:sz w:val="19"/>
          <w:szCs w:val="19"/>
          <w:color w:val="auto"/>
        </w:rPr>
        <w:t xml:space="preserve">) and by inserting the double-underlined text (indicated textually in the same manner as the following example: </w:t>
      </w:r>
      <w:r>
        <w:rPr>
          <w:rFonts w:ascii="Arial" w:cs="Arial" w:eastAsia="Arial" w:hAnsi="Arial"/>
          <w:sz w:val="19"/>
          <w:szCs w:val="19"/>
          <w:u w:val="single" w:color="auto"/>
          <w:color w:val="0000FF"/>
        </w:rPr>
        <w:t>double-underlined text</w:t>
      </w:r>
      <w:r>
        <w:rPr>
          <w:rFonts w:ascii="Arial" w:cs="Arial" w:eastAsia="Arial" w:hAnsi="Arial"/>
          <w:sz w:val="19"/>
          <w:szCs w:val="19"/>
          <w:color w:val="auto"/>
        </w:rPr>
        <w:t>), in each case in the place where such text appears therein, such that immediately after giving effect to this Amendment the Agreement will read as set forth in Exhibit A. For the avoidance of doubt, Schedules and Exhibits to the Agreement not included in Exhibit A hereto shall remain in the form attached to the existing Agreement.</w:t>
      </w:r>
    </w:p>
    <w:p>
      <w:pPr>
        <w:sectPr>
          <w:pgSz w:w="11900" w:h="16838" w:orient="portrait"/>
          <w:cols w:equalWidth="0" w:num="1">
            <w:col w:w="10980"/>
          </w:cols>
          <w:pgMar w:left="420" w:top="1440" w:right="499" w:bottom="1440" w:gutter="0" w:footer="0" w:header="0"/>
        </w:sectPr>
      </w:pPr>
    </w:p>
    <w:bookmarkStart w:id="257" w:name="page258"/>
    <w:bookmarkEnd w:id="257"/>
    <w:p>
      <w:pPr>
        <w:ind w:left="740"/>
        <w:spacing w:after="0"/>
        <w:rPr>
          <w:sz w:val="20"/>
          <w:szCs w:val="20"/>
          <w:color w:val="auto"/>
        </w:rPr>
      </w:pPr>
      <w:r>
        <w:rPr>
          <w:rFonts w:ascii="Arial" w:cs="Arial" w:eastAsia="Arial" w:hAnsi="Arial"/>
          <w:sz w:val="22"/>
          <w:szCs w:val="22"/>
          <w:b w:val="1"/>
          <w:bCs w:val="1"/>
          <w:color w:val="auto"/>
        </w:rPr>
        <w:t xml:space="preserve">SECTION 2. </w:t>
      </w:r>
      <w:r>
        <w:rPr>
          <w:rFonts w:ascii="Arial" w:cs="Arial" w:eastAsia="Arial" w:hAnsi="Arial"/>
          <w:sz w:val="22"/>
          <w:szCs w:val="22"/>
          <w:b w:val="1"/>
          <w:bCs w:val="1"/>
          <w:u w:val="single" w:color="auto"/>
          <w:color w:val="auto"/>
        </w:rPr>
        <w:t>Agreement in Full Force and Effect as Amended</w:t>
      </w:r>
      <w:r>
        <w:rPr>
          <w:rFonts w:ascii="Arial" w:cs="Arial" w:eastAsia="Arial" w:hAnsi="Arial"/>
          <w:sz w:val="22"/>
          <w:szCs w:val="22"/>
          <w:b w:val="1"/>
          <w:bCs w:val="1"/>
          <w:color w:val="auto"/>
        </w:rPr>
        <w:t>.</w:t>
      </w:r>
    </w:p>
    <w:p>
      <w:pPr>
        <w:spacing w:after="0" w:line="253" w:lineRule="exact"/>
        <w:rPr>
          <w:sz w:val="20"/>
          <w:szCs w:val="20"/>
          <w:color w:val="auto"/>
        </w:rPr>
      </w:pPr>
    </w:p>
    <w:p>
      <w:pPr>
        <w:ind w:left="100" w:firstLine="648"/>
        <w:spacing w:after="0" w:line="247" w:lineRule="auto"/>
        <w:rPr>
          <w:sz w:val="20"/>
          <w:szCs w:val="20"/>
          <w:color w:val="auto"/>
        </w:rPr>
      </w:pPr>
      <w:r>
        <w:rPr>
          <w:rFonts w:ascii="Arial" w:cs="Arial" w:eastAsia="Arial" w:hAnsi="Arial"/>
          <w:sz w:val="22"/>
          <w:szCs w:val="22"/>
          <w:color w:val="auto"/>
        </w:rPr>
        <w:t>Except as specifically amended hereby, all provisions of the Agreement shall remain in full force and effect. After this Amendment becomes effective, all references to the Agreement, the “Loan and Security Agreement,” “hereof,” “herein,” or words of similar effect referring to the Agreement shall be deemed to mean the Agreement as amended hereby. This Amendment shall not constitute a novation of the Agreement, but shall constitute an amendment thereof. This Amendment shall not be deemed to expressly or impliedly waive, amend or supplement any provision of the Agreement other than as expressly set forth herein.</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Representations</w:t>
      </w:r>
      <w:r>
        <w:rPr>
          <w:rFonts w:ascii="Arial" w:cs="Arial" w:eastAsia="Arial" w:hAnsi="Arial"/>
          <w:sz w:val="22"/>
          <w:szCs w:val="22"/>
          <w:b w:val="1"/>
          <w:bCs w:val="1"/>
          <w:color w:val="auto"/>
        </w:rPr>
        <w:t>.</w:t>
      </w:r>
    </w:p>
    <w:p>
      <w:pPr>
        <w:spacing w:after="0" w:line="266" w:lineRule="exact"/>
        <w:rPr>
          <w:sz w:val="20"/>
          <w:szCs w:val="20"/>
          <w:color w:val="auto"/>
        </w:rPr>
      </w:pPr>
    </w:p>
    <w:p>
      <w:pPr>
        <w:ind w:left="740"/>
        <w:spacing w:after="0"/>
        <w:rPr>
          <w:sz w:val="20"/>
          <w:szCs w:val="20"/>
          <w:color w:val="auto"/>
        </w:rPr>
      </w:pPr>
      <w:r>
        <w:rPr>
          <w:rFonts w:ascii="Arial" w:cs="Arial" w:eastAsia="Arial" w:hAnsi="Arial"/>
          <w:sz w:val="21"/>
          <w:szCs w:val="21"/>
          <w:color w:val="auto"/>
        </w:rPr>
        <w:t>Each of the Borrower and the Servicer represent and warrant as of the date of this Amendment as follows:</w:t>
      </w:r>
    </w:p>
    <w:p>
      <w:pPr>
        <w:spacing w:after="0" w:line="258" w:lineRule="exact"/>
        <w:rPr>
          <w:sz w:val="20"/>
          <w:szCs w:val="20"/>
          <w:color w:val="auto"/>
        </w:rPr>
      </w:pPr>
    </w:p>
    <w:p>
      <w:pPr>
        <w:ind w:left="100" w:right="860" w:firstLine="970"/>
        <w:spacing w:after="0" w:line="263" w:lineRule="auto"/>
        <w:tabs>
          <w:tab w:leader="none" w:pos="194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it is duly incorporated or organized, validly existing and in good standing under the laws of its jurisdiction of incorporation or organization;</w:t>
      </w:r>
    </w:p>
    <w:p>
      <w:pPr>
        <w:spacing w:after="0" w:line="215" w:lineRule="exact"/>
        <w:rPr>
          <w:rFonts w:ascii="Arial" w:cs="Arial" w:eastAsia="Arial" w:hAnsi="Arial"/>
          <w:sz w:val="22"/>
          <w:szCs w:val="22"/>
          <w:color w:val="auto"/>
        </w:rPr>
      </w:pPr>
    </w:p>
    <w:p>
      <w:pPr>
        <w:ind w:left="100" w:right="100" w:firstLine="970"/>
        <w:spacing w:after="0" w:line="343" w:lineRule="auto"/>
        <w:tabs>
          <w:tab w:leader="none" w:pos="1945"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the execution, delivery and performance by it of this Amendment are within its powers, have been duly authorized, and do not contravene (A) its charter, by-laws, or other organizational documents, or (B) any Applicable Law;</w:t>
      </w:r>
    </w:p>
    <w:p>
      <w:pPr>
        <w:spacing w:after="0" w:line="131" w:lineRule="exact"/>
        <w:rPr>
          <w:rFonts w:ascii="Arial" w:cs="Arial" w:eastAsia="Arial" w:hAnsi="Arial"/>
          <w:sz w:val="19"/>
          <w:szCs w:val="19"/>
          <w:color w:val="auto"/>
        </w:rPr>
      </w:pPr>
    </w:p>
    <w:p>
      <w:pPr>
        <w:jc w:val="both"/>
        <w:ind w:left="100" w:right="140" w:firstLine="970"/>
        <w:spacing w:after="0" w:line="253" w:lineRule="auto"/>
        <w:tabs>
          <w:tab w:leader="none" w:pos="1946" w:val="left"/>
        </w:tabs>
        <w:numPr>
          <w:ilvl w:val="0"/>
          <w:numId w:val="246"/>
        </w:numPr>
        <w:rPr>
          <w:rFonts w:ascii="Arial" w:cs="Arial" w:eastAsia="Arial" w:hAnsi="Arial"/>
          <w:sz w:val="22"/>
          <w:szCs w:val="22"/>
          <w:color w:val="auto"/>
        </w:rPr>
      </w:pPr>
      <w:r>
        <w:rPr>
          <w:rFonts w:ascii="Arial" w:cs="Arial" w:eastAsia="Arial" w:hAnsi="Arial"/>
          <w:sz w:val="22"/>
          <w:szCs w:val="22"/>
          <w:color w:val="auto"/>
        </w:rPr>
        <w:t>no consent, license, permit, approval or authorization of, or registration, filing or declaration with, any governmental authority is required in connection with the execution, delivery, performance, validity or enforceability of this Amendment by or against it;</w:t>
      </w:r>
    </w:p>
    <w:p>
      <w:pPr>
        <w:spacing w:after="0" w:line="225" w:lineRule="exact"/>
        <w:rPr>
          <w:rFonts w:ascii="Arial" w:cs="Arial" w:eastAsia="Arial" w:hAnsi="Arial"/>
          <w:sz w:val="22"/>
          <w:szCs w:val="22"/>
          <w:color w:val="auto"/>
        </w:rPr>
      </w:pPr>
    </w:p>
    <w:p>
      <w:pPr>
        <w:ind w:left="1720" w:hanging="650"/>
        <w:spacing w:after="0"/>
        <w:tabs>
          <w:tab w:leader="none" w:pos="172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by it;</w:t>
      </w:r>
    </w:p>
    <w:p>
      <w:pPr>
        <w:spacing w:after="0" w:line="260" w:lineRule="exact"/>
        <w:rPr>
          <w:rFonts w:ascii="Arial" w:cs="Arial" w:eastAsia="Arial" w:hAnsi="Arial"/>
          <w:sz w:val="22"/>
          <w:szCs w:val="22"/>
          <w:color w:val="auto"/>
        </w:rPr>
      </w:pPr>
    </w:p>
    <w:p>
      <w:pPr>
        <w:jc w:val="both"/>
        <w:ind w:left="100" w:right="180" w:firstLine="970"/>
        <w:spacing w:after="0" w:line="312" w:lineRule="auto"/>
        <w:tabs>
          <w:tab w:leader="none" w:pos="1946"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this Amendment constitutes its legal, valid and binding obligation enforceable against it in accordance with its terms, except as enforceability may be limited by applicable bankruptcy, insolvency, reorganization, moratorium or similar laws affecting the enforcement of creditors’ rights generally or by general principles of equity;</w:t>
      </w:r>
    </w:p>
    <w:p>
      <w:pPr>
        <w:spacing w:after="0" w:line="160" w:lineRule="exact"/>
        <w:rPr>
          <w:sz w:val="20"/>
          <w:szCs w:val="20"/>
          <w:color w:val="auto"/>
        </w:rPr>
      </w:pPr>
    </w:p>
    <w:p>
      <w:pPr>
        <w:ind w:left="100" w:right="140" w:firstLine="972"/>
        <w:spacing w:after="0" w:line="263" w:lineRule="auto"/>
        <w:rPr>
          <w:sz w:val="20"/>
          <w:szCs w:val="20"/>
          <w:color w:val="auto"/>
        </w:rPr>
      </w:pPr>
      <w:r>
        <w:rPr>
          <w:rFonts w:ascii="Arial" w:cs="Arial" w:eastAsia="Arial" w:hAnsi="Arial"/>
          <w:sz w:val="22"/>
          <w:szCs w:val="22"/>
          <w:color w:val="auto"/>
        </w:rPr>
        <w:t>(f)each of the representations and warranties set forth in Sections 4.1, 4.2 and 4.3 of the Agreement made by it is true and correct; and</w:t>
      </w:r>
    </w:p>
    <w:p>
      <w:pPr>
        <w:spacing w:after="0" w:line="215" w:lineRule="exact"/>
        <w:rPr>
          <w:sz w:val="20"/>
          <w:szCs w:val="20"/>
          <w:color w:val="auto"/>
        </w:rPr>
      </w:pPr>
    </w:p>
    <w:p>
      <w:pPr>
        <w:ind w:left="100" w:right="100" w:firstLine="970"/>
        <w:spacing w:after="0" w:line="343" w:lineRule="auto"/>
        <w:tabs>
          <w:tab w:leader="none" w:pos="1945" w:val="left"/>
        </w:tabs>
        <w:numPr>
          <w:ilvl w:val="0"/>
          <w:numId w:val="247"/>
        </w:numPr>
        <w:rPr>
          <w:rFonts w:ascii="Arial" w:cs="Arial" w:eastAsia="Arial" w:hAnsi="Arial"/>
          <w:sz w:val="19"/>
          <w:szCs w:val="19"/>
          <w:color w:val="auto"/>
        </w:rPr>
      </w:pPr>
      <w:r>
        <w:rPr>
          <w:rFonts w:ascii="Arial" w:cs="Arial" w:eastAsia="Arial" w:hAnsi="Arial"/>
          <w:sz w:val="19"/>
          <w:szCs w:val="19"/>
          <w:color w:val="auto"/>
        </w:rPr>
        <w:t>no Amortization Event or Termination Event has occurred and is continuing and no event or condition exists that, with the giving of notice and/or passage of time, would constitute an Amortization Event or a Termination Event.</w:t>
      </w:r>
    </w:p>
    <w:p>
      <w:pPr>
        <w:spacing w:after="0" w:line="125"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SECTION 4. </w:t>
      </w: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b w:val="1"/>
          <w:bCs w:val="1"/>
          <w:color w:val="auto"/>
        </w:rPr>
        <w:t>.</w:t>
      </w:r>
    </w:p>
    <w:p>
      <w:pPr>
        <w:spacing w:after="0" w:line="266" w:lineRule="exact"/>
        <w:rPr>
          <w:sz w:val="20"/>
          <w:szCs w:val="20"/>
          <w:color w:val="auto"/>
        </w:rPr>
      </w:pPr>
    </w:p>
    <w:p>
      <w:pPr>
        <w:ind w:left="740"/>
        <w:spacing w:after="0"/>
        <w:rPr>
          <w:sz w:val="20"/>
          <w:szCs w:val="20"/>
          <w:color w:val="auto"/>
        </w:rPr>
      </w:pPr>
      <w:r>
        <w:rPr>
          <w:rFonts w:ascii="Arial" w:cs="Arial" w:eastAsia="Arial" w:hAnsi="Arial"/>
          <w:sz w:val="19"/>
          <w:szCs w:val="19"/>
          <w:color w:val="auto"/>
        </w:rPr>
        <w:t>This Amendment shall become effective as of the date hereof upon the receipt by the Deal Agent of the following:</w:t>
      </w:r>
    </w:p>
    <w:p>
      <w:pPr>
        <w:spacing w:after="0" w:line="281" w:lineRule="exact"/>
        <w:rPr>
          <w:sz w:val="20"/>
          <w:szCs w:val="20"/>
          <w:color w:val="auto"/>
        </w:rPr>
      </w:pPr>
    </w:p>
    <w:p>
      <w:pPr>
        <w:ind w:left="1940" w:hanging="870"/>
        <w:spacing w:after="0"/>
        <w:tabs>
          <w:tab w:leader="none" w:pos="1940" w:val="left"/>
        </w:tabs>
        <w:numPr>
          <w:ilvl w:val="0"/>
          <w:numId w:val="248"/>
        </w:numPr>
        <w:rPr>
          <w:rFonts w:ascii="Arial" w:cs="Arial" w:eastAsia="Arial" w:hAnsi="Arial"/>
          <w:sz w:val="21"/>
          <w:szCs w:val="21"/>
          <w:color w:val="auto"/>
        </w:rPr>
      </w:pPr>
      <w:r>
        <w:rPr>
          <w:rFonts w:ascii="Arial" w:cs="Arial" w:eastAsia="Arial" w:hAnsi="Arial"/>
          <w:sz w:val="21"/>
          <w:szCs w:val="21"/>
          <w:color w:val="auto"/>
        </w:rPr>
        <w:t>executed counterparts of this Amendment properly executed by each of the parties hereto; and</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w:t>
      </w:r>
    </w:p>
    <w:p>
      <w:pPr>
        <w:sectPr>
          <w:pgSz w:w="11900" w:h="16838" w:orient="portrait"/>
          <w:cols w:equalWidth="0" w:num="1">
            <w:col w:w="10960"/>
          </w:cols>
          <w:pgMar w:left="320" w:top="1422" w:right="619" w:bottom="1440" w:gutter="0" w:footer="0" w:header="0"/>
        </w:sectPr>
      </w:pPr>
    </w:p>
    <w:bookmarkStart w:id="258" w:name="page259"/>
    <w:bookmarkEnd w:id="258"/>
    <w:p>
      <w:pPr>
        <w:ind w:left="1600" w:hanging="530"/>
        <w:spacing w:after="0"/>
        <w:tabs>
          <w:tab w:leader="none" w:pos="1600" w:val="left"/>
        </w:tabs>
        <w:numPr>
          <w:ilvl w:val="0"/>
          <w:numId w:val="249"/>
        </w:numPr>
        <w:rPr>
          <w:rFonts w:ascii="Arial" w:cs="Arial" w:eastAsia="Arial" w:hAnsi="Arial"/>
          <w:sz w:val="22"/>
          <w:szCs w:val="22"/>
          <w:color w:val="auto"/>
        </w:rPr>
      </w:pPr>
      <w:r>
        <w:rPr>
          <w:rFonts w:ascii="Arial" w:cs="Arial" w:eastAsia="Arial" w:hAnsi="Arial"/>
          <w:sz w:val="22"/>
          <w:szCs w:val="22"/>
          <w:color w:val="auto"/>
        </w:rPr>
        <w:t>an executed copy of the Eleventh Amended and Restated Fee Letter.</w:t>
      </w:r>
    </w:p>
    <w:p>
      <w:pPr>
        <w:spacing w:after="0" w:line="241"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 xml:space="preserve">SECTION 5. </w:t>
      </w: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w:t>
      </w:r>
    </w:p>
    <w:p>
      <w:pPr>
        <w:spacing w:after="0" w:line="253" w:lineRule="exact"/>
        <w:rPr>
          <w:sz w:val="20"/>
          <w:szCs w:val="20"/>
          <w:color w:val="auto"/>
        </w:rPr>
      </w:pPr>
    </w:p>
    <w:p>
      <w:pPr>
        <w:ind w:left="100" w:firstLine="970"/>
        <w:spacing w:after="0" w:line="253" w:lineRule="auto"/>
        <w:tabs>
          <w:tab w:leader="none" w:pos="1946"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This Amendment may be executed in any number of counterparts (including by facsimile), and by the different parties hereto on the same or separate counterparts, each of which shall be deemed to be an original instrument but all of which together shall constitute one and the same agreement.</w:t>
      </w:r>
    </w:p>
    <w:p>
      <w:pPr>
        <w:spacing w:after="0" w:line="225" w:lineRule="exact"/>
        <w:rPr>
          <w:rFonts w:ascii="Arial" w:cs="Arial" w:eastAsia="Arial" w:hAnsi="Arial"/>
          <w:sz w:val="22"/>
          <w:szCs w:val="22"/>
          <w:color w:val="auto"/>
        </w:rPr>
      </w:pPr>
    </w:p>
    <w:p>
      <w:pPr>
        <w:ind w:left="100" w:right="540" w:firstLine="970"/>
        <w:spacing w:after="0" w:line="343" w:lineRule="auto"/>
        <w:tabs>
          <w:tab w:leader="none" w:pos="1945"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descriptive headings of the various sections of this Amendment are inserted for convenience of reference only and shall not be deemed to affect the meaning or construction of any of the provisions hereof.</w:t>
      </w:r>
    </w:p>
    <w:p>
      <w:pPr>
        <w:spacing w:after="0" w:line="131" w:lineRule="exact"/>
        <w:rPr>
          <w:rFonts w:ascii="Arial" w:cs="Arial" w:eastAsia="Arial" w:hAnsi="Arial"/>
          <w:sz w:val="19"/>
          <w:szCs w:val="19"/>
          <w:color w:val="auto"/>
        </w:rPr>
      </w:pPr>
    </w:p>
    <w:p>
      <w:pPr>
        <w:ind w:left="1940" w:hanging="870"/>
        <w:spacing w:after="0"/>
        <w:tabs>
          <w:tab w:leader="none" w:pos="194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This Amendment may not be amended or otherwise modified except as provided in the Agreement.</w:t>
      </w:r>
    </w:p>
    <w:p>
      <w:pPr>
        <w:spacing w:after="0" w:line="294" w:lineRule="exact"/>
        <w:rPr>
          <w:rFonts w:ascii="Arial" w:cs="Arial" w:eastAsia="Arial" w:hAnsi="Arial"/>
          <w:sz w:val="19"/>
          <w:szCs w:val="19"/>
          <w:color w:val="auto"/>
        </w:rPr>
      </w:pPr>
    </w:p>
    <w:p>
      <w:pPr>
        <w:ind w:left="1940" w:hanging="870"/>
        <w:spacing w:after="0"/>
        <w:tabs>
          <w:tab w:leader="none" w:pos="194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The failure or unenforceability of any provision hereof shall not affect the other provisions of this</w:t>
      </w:r>
    </w:p>
    <w:p>
      <w:pPr>
        <w:spacing w:after="0" w:line="32" w:lineRule="exact"/>
        <w:rPr>
          <w:rFonts w:ascii="Arial" w:cs="Arial" w:eastAsia="Arial" w:hAnsi="Arial"/>
          <w:sz w:val="21"/>
          <w:szCs w:val="21"/>
          <w:color w:val="auto"/>
        </w:rPr>
      </w:pPr>
    </w:p>
    <w:p>
      <w:pPr>
        <w:ind w:left="100"/>
        <w:spacing w:after="0"/>
        <w:rPr>
          <w:rFonts w:ascii="Arial" w:cs="Arial" w:eastAsia="Arial" w:hAnsi="Arial"/>
          <w:sz w:val="21"/>
          <w:szCs w:val="21"/>
          <w:color w:val="auto"/>
        </w:rPr>
      </w:pPr>
      <w:r>
        <w:rPr>
          <w:rFonts w:ascii="Arial" w:cs="Arial" w:eastAsia="Arial" w:hAnsi="Arial"/>
          <w:sz w:val="22"/>
          <w:szCs w:val="22"/>
          <w:color w:val="auto"/>
        </w:rPr>
        <w:t>Amendment.</w:t>
      </w:r>
    </w:p>
    <w:p>
      <w:pPr>
        <w:spacing w:after="0" w:line="242" w:lineRule="exact"/>
        <w:rPr>
          <w:rFonts w:ascii="Arial" w:cs="Arial" w:eastAsia="Arial" w:hAnsi="Arial"/>
          <w:sz w:val="21"/>
          <w:szCs w:val="21"/>
          <w:color w:val="auto"/>
        </w:rPr>
      </w:pPr>
    </w:p>
    <w:p>
      <w:pPr>
        <w:ind w:left="100" w:right="160" w:firstLine="970"/>
        <w:spacing w:after="0" w:line="253" w:lineRule="auto"/>
        <w:tabs>
          <w:tab w:leader="none" w:pos="1946" w:val="left"/>
        </w:tabs>
        <w:numPr>
          <w:ilvl w:val="0"/>
          <w:numId w:val="250"/>
        </w:numPr>
        <w:rPr>
          <w:rFonts w:ascii="Arial" w:cs="Arial" w:eastAsia="Arial" w:hAnsi="Arial"/>
          <w:sz w:val="22"/>
          <w:szCs w:val="22"/>
          <w:color w:val="auto"/>
        </w:rPr>
      </w:pPr>
      <w:r>
        <w:rPr>
          <w:rFonts w:ascii="Arial" w:cs="Arial" w:eastAsia="Arial" w:hAnsi="Arial"/>
          <w:sz w:val="22"/>
          <w:szCs w:val="22"/>
          <w:color w:val="auto"/>
        </w:rPr>
        <w:t>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spacing w:after="0" w:line="212" w:lineRule="exact"/>
        <w:rPr>
          <w:sz w:val="20"/>
          <w:szCs w:val="20"/>
          <w:color w:val="auto"/>
        </w:rPr>
      </w:pPr>
    </w:p>
    <w:p>
      <w:pPr>
        <w:ind w:left="100" w:right="180" w:firstLine="972"/>
        <w:spacing w:after="0" w:line="271" w:lineRule="auto"/>
        <w:rPr>
          <w:sz w:val="20"/>
          <w:szCs w:val="20"/>
          <w:color w:val="auto"/>
        </w:rPr>
      </w:pPr>
      <w:r>
        <w:rPr>
          <w:rFonts w:ascii="Arial" w:cs="Arial" w:eastAsia="Arial" w:hAnsi="Arial"/>
          <w:sz w:val="21"/>
          <w:szCs w:val="21"/>
          <w:color w:val="auto"/>
        </w:rPr>
        <w:t>(f)This Amendment represents the final agreement between the parties only with respect to the subject matter expressly covered hereby and may not be contradicted by evidence of prior, contemporaneous or subsequent oral agreements between the parties. There are no unwritten oral agreements between the parties.</w:t>
      </w:r>
    </w:p>
    <w:p>
      <w:pPr>
        <w:spacing w:after="0" w:line="202" w:lineRule="exact"/>
        <w:rPr>
          <w:sz w:val="20"/>
          <w:szCs w:val="20"/>
          <w:color w:val="auto"/>
        </w:rPr>
      </w:pPr>
    </w:p>
    <w:p>
      <w:pPr>
        <w:ind w:left="100" w:right="180" w:firstLine="970"/>
        <w:spacing w:after="0" w:line="256" w:lineRule="auto"/>
        <w:tabs>
          <w:tab w:leader="none" w:pos="1945" w:val="left"/>
        </w:tabs>
        <w:numPr>
          <w:ilvl w:val="0"/>
          <w:numId w:val="251"/>
        </w:numPr>
        <w:rPr>
          <w:rFonts w:ascii="Arial" w:cs="Arial" w:eastAsia="Arial" w:hAnsi="Arial"/>
          <w:sz w:val="22"/>
          <w:szCs w:val="22"/>
          <w:b w:val="1"/>
          <w:bCs w:val="1"/>
          <w:color w:val="auto"/>
        </w:rPr>
      </w:pPr>
      <w:r>
        <w:rPr>
          <w:rFonts w:ascii="Arial" w:cs="Arial" w:eastAsia="Arial" w:hAnsi="Arial"/>
          <w:sz w:val="22"/>
          <w:szCs w:val="22"/>
          <w:b w:val="1"/>
          <w:bCs w:val="1"/>
          <w:color w:val="auto"/>
        </w:rPr>
        <w:t>THIS AMENDMENT AND THE RIGHTS AND OBLIGATIONS OF THE PARTIES UNDER THIS AMENDMENT SHALL BE GOVERNED BY AND CONSTRUED AND INTERPRETED IN ACCORDANCE WITH THE LAWS OF THE STATE OF NEW YORK.</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w:t>
      </w:r>
    </w:p>
    <w:p>
      <w:pPr>
        <w:sectPr>
          <w:pgSz w:w="11900" w:h="16838" w:orient="portrait"/>
          <w:cols w:equalWidth="0" w:num="1">
            <w:col w:w="11080"/>
          </w:cols>
          <w:pgMar w:left="320" w:top="1360" w:right="499" w:bottom="1440" w:gutter="0" w:footer="0" w:header="0"/>
        </w:sectPr>
      </w:pPr>
    </w:p>
    <w:bookmarkStart w:id="259" w:name="page260"/>
    <w:bookmarkEnd w:id="259"/>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Amendment to be executed by their respective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thereunto duly authorized, as of the date first above written.</w:t>
      </w:r>
    </w:p>
    <w:p>
      <w:pPr>
        <w:spacing w:after="0" w:line="397" w:lineRule="exact"/>
        <w:rPr>
          <w:sz w:val="20"/>
          <w:szCs w:val="20"/>
          <w:color w:val="auto"/>
        </w:rPr>
      </w:pPr>
    </w:p>
    <w:p>
      <w:pPr>
        <w:ind w:left="100"/>
        <w:spacing w:after="0"/>
        <w:tabs>
          <w:tab w:leader="none" w:pos="2040" w:val="left"/>
        </w:tabs>
        <w:rPr>
          <w:sz w:val="20"/>
          <w:szCs w:val="20"/>
          <w:color w:val="auto"/>
        </w:rPr>
      </w:pPr>
      <w:r>
        <w:rPr>
          <w:rFonts w:ascii="Arial" w:cs="Arial" w:eastAsia="Arial" w:hAnsi="Arial"/>
          <w:sz w:val="22"/>
          <w:szCs w:val="22"/>
          <w:color w:val="auto"/>
        </w:rPr>
        <w:t>THE BORROWER:</w:t>
      </w:r>
      <w:r>
        <w:rPr>
          <w:sz w:val="20"/>
          <w:szCs w:val="20"/>
          <w:color w:val="auto"/>
        </w:rPr>
        <w:tab/>
      </w:r>
      <w:r>
        <w:rPr>
          <w:rFonts w:ascii="Arial" w:cs="Arial" w:eastAsia="Arial" w:hAnsi="Arial"/>
          <w:sz w:val="19"/>
          <w:szCs w:val="19"/>
          <w:color w:val="auto"/>
        </w:rPr>
        <w:t>CAC WAREHOUSE FUNDING CORPORATION II</w:t>
      </w:r>
    </w:p>
    <w:p>
      <w:pPr>
        <w:spacing w:after="0" w:line="200" w:lineRule="exact"/>
        <w:rPr>
          <w:sz w:val="20"/>
          <w:szCs w:val="20"/>
          <w:color w:val="auto"/>
        </w:rPr>
      </w:pPr>
    </w:p>
    <w:p>
      <w:pPr>
        <w:spacing w:after="0" w:line="303"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W. Busk</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4620"/>
        <w:spacing w:after="0"/>
        <w:tabs>
          <w:tab w:leader="none" w:pos="5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pacing w:after="0" w:line="229" w:lineRule="exact"/>
        <w:rPr>
          <w:sz w:val="20"/>
          <w:szCs w:val="20"/>
          <w:color w:val="auto"/>
        </w:rPr>
      </w:pPr>
    </w:p>
    <w:p>
      <w:pPr>
        <w:ind w:left="100"/>
        <w:spacing w:after="0"/>
        <w:tabs>
          <w:tab w:leader="none" w:pos="3680" w:val="left"/>
        </w:tabs>
        <w:rPr>
          <w:sz w:val="20"/>
          <w:szCs w:val="20"/>
          <w:color w:val="auto"/>
        </w:rPr>
      </w:pPr>
      <w:r>
        <w:rPr>
          <w:rFonts w:ascii="Arial" w:cs="Arial" w:eastAsia="Arial" w:hAnsi="Arial"/>
          <w:sz w:val="22"/>
          <w:szCs w:val="22"/>
          <w:color w:val="auto"/>
        </w:rPr>
        <w:t>THE SERVICER AND CUSTODIAN:</w:t>
      </w:r>
      <w:r>
        <w:rPr>
          <w:sz w:val="20"/>
          <w:szCs w:val="20"/>
          <w:color w:val="auto"/>
        </w:rPr>
        <w:tab/>
      </w:r>
      <w:r>
        <w:rPr>
          <w:rFonts w:ascii="Arial" w:cs="Arial" w:eastAsia="Arial" w:hAnsi="Arial"/>
          <w:sz w:val="19"/>
          <w:szCs w:val="19"/>
          <w:color w:val="auto"/>
        </w:rPr>
        <w:t>CREDIT ACCEPTANCE CORPORATION</w:t>
      </w:r>
    </w:p>
    <w:p>
      <w:pPr>
        <w:spacing w:after="0" w:line="200" w:lineRule="exact"/>
        <w:rPr>
          <w:sz w:val="20"/>
          <w:szCs w:val="20"/>
          <w:color w:val="auto"/>
        </w:rPr>
      </w:pPr>
    </w:p>
    <w:p>
      <w:pPr>
        <w:spacing w:after="0" w:line="290"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W. Busk</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4620"/>
        <w:spacing w:after="0"/>
        <w:tabs>
          <w:tab w:leader="none" w:pos="52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Treasury Officer</w:t>
      </w:r>
    </w:p>
    <w:p>
      <w:pPr>
        <w:sectPr>
          <w:pgSz w:w="11900" w:h="16838" w:orient="portrait"/>
          <w:cols w:equalWidth="0" w:num="1">
            <w:col w:w="10360"/>
          </w:cols>
          <w:pgMar w:left="420" w:top="1440" w:right="1119" w:bottom="1440" w:gutter="0" w:footer="0" w:header="0"/>
        </w:sectPr>
      </w:pPr>
    </w:p>
    <w:bookmarkStart w:id="260" w:name="page261"/>
    <w:bookmarkEnd w:id="260"/>
    <w:p>
      <w:pPr>
        <w:spacing w:after="0" w:line="8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COLLATERAL AGENT AND BACKUP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THE DEAL AGENT AND SOLE LENDER:</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Arial" w:cs="Arial" w:eastAsia="Arial" w:hAnsi="Arial"/>
          <w:sz w:val="22"/>
          <w:szCs w:val="22"/>
          <w:color w:val="auto"/>
        </w:rPr>
        <w:t>WELLS FARGO BANK, NATIONAL</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ASSOCIATION, as Collateral Agent and Backup</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Servicer</w:t>
      </w:r>
    </w:p>
    <w:p>
      <w:pPr>
        <w:spacing w:after="0" w:line="200" w:lineRule="exact"/>
        <w:rPr>
          <w:sz w:val="20"/>
          <w:szCs w:val="20"/>
          <w:color w:val="auto"/>
        </w:rPr>
      </w:pPr>
    </w:p>
    <w:p>
      <w:pPr>
        <w:spacing w:after="0" w:line="272"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Kristen L. Puttin</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Name: Kristen L. Puttin</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ASSOCIATION, as Deal Agent and Lender</w:t>
      </w:r>
    </w:p>
    <w:p>
      <w:pPr>
        <w:spacing w:after="0" w:line="200" w:lineRule="exact"/>
        <w:rPr>
          <w:sz w:val="20"/>
          <w:szCs w:val="20"/>
          <w:color w:val="auto"/>
        </w:rPr>
      </w:pPr>
    </w:p>
    <w:p>
      <w:pPr>
        <w:spacing w:after="0" w:line="285" w:lineRule="exact"/>
        <w:rPr>
          <w:sz w:val="20"/>
          <w:szCs w:val="20"/>
          <w:color w:val="auto"/>
        </w:rPr>
      </w:pPr>
    </w:p>
    <w:p>
      <w:pPr>
        <w:ind w:left="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B. Brinkley II</w:t>
      </w:r>
    </w:p>
    <w:p>
      <w:pPr>
        <w:spacing w:after="0" w:line="11" w:lineRule="exact"/>
        <w:rPr>
          <w:sz w:val="20"/>
          <w:szCs w:val="20"/>
          <w:color w:val="auto"/>
        </w:rPr>
      </w:pPr>
    </w:p>
    <w:p>
      <w:pPr>
        <w:sectPr>
          <w:pgSz w:w="11900" w:h="16838" w:orient="portrait"/>
          <w:cols w:equalWidth="0" w:num="2">
            <w:col w:w="4100" w:space="20"/>
            <w:col w:w="6080"/>
          </w:cols>
          <w:pgMar w:left="520" w:top="712" w:right="1179" w:bottom="1440" w:gutter="0" w:footer="0" w:header="0"/>
        </w:sectPr>
      </w:pPr>
    </w:p>
    <w:p>
      <w:pPr>
        <w:ind w:left="5000"/>
        <w:spacing w:after="0"/>
        <w:rPr>
          <w:sz w:val="20"/>
          <w:szCs w:val="20"/>
          <w:color w:val="auto"/>
        </w:rPr>
      </w:pPr>
      <w:r>
        <w:rPr>
          <w:rFonts w:ascii="Arial" w:cs="Arial" w:eastAsia="Arial" w:hAnsi="Arial"/>
          <w:sz w:val="20"/>
          <w:szCs w:val="20"/>
          <w:color w:val="auto"/>
        </w:rPr>
        <w:t>Name: James B. Brinkley II</w:t>
      </w:r>
    </w:p>
    <w:p>
      <w:pPr>
        <w:spacing w:after="0" w:line="4"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[CAC/Wells Revolving Warehouse – Amendment No. 5 to Sixth A&amp;R Loan and Security Agreement]</w:t>
      </w:r>
    </w:p>
    <w:p>
      <w:pPr>
        <w:sectPr>
          <w:pgSz w:w="11900" w:h="16838" w:orient="portrait"/>
          <w:cols w:equalWidth="0" w:num="1">
            <w:col w:w="10200"/>
          </w:cols>
          <w:pgMar w:left="520" w:top="712" w:right="1179" w:bottom="1440" w:gutter="0" w:footer="0" w:header="0"/>
          <w:type w:val="continuous"/>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[Wells Fargo/CAC Warehouse (CAC II) — Amendment No. 5 to Sixth A&amp;R Loan and Security Agreement]</w:t>
      </w:r>
    </w:p>
    <w:p>
      <w:pPr>
        <w:sectPr>
          <w:pgSz w:w="11900" w:h="16838" w:orient="portrait"/>
          <w:cols w:equalWidth="0" w:num="1">
            <w:col w:w="9219"/>
          </w:cols>
          <w:pgMar w:left="1240" w:top="1440" w:right="1440" w:bottom="1440" w:gutter="0" w:footer="0" w:header="0"/>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979"/>
        <w:spacing w:after="0"/>
        <w:rPr>
          <w:sz w:val="20"/>
          <w:szCs w:val="20"/>
          <w:color w:val="auto"/>
        </w:rPr>
      </w:pPr>
      <w:r>
        <w:rPr>
          <w:rFonts w:ascii="Arial" w:cs="Arial" w:eastAsia="Arial" w:hAnsi="Arial"/>
          <w:sz w:val="22"/>
          <w:szCs w:val="22"/>
          <w:color w:val="auto"/>
        </w:rPr>
        <w:t>SIXTH AMENDED AND RESTATED LOAN AND SECURITY AGREEMENT</w:t>
      </w:r>
    </w:p>
    <w:p>
      <w:pPr>
        <w:spacing w:after="0" w:line="341"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Dated as of June 23, 2016 Among</w:t>
      </w:r>
    </w:p>
    <w:p>
      <w:pPr>
        <w:spacing w:after="0" w:line="125"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CAC WAREHOUSE FUNDING CORPORATION II</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the Borrower</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CREDIT ACCEPTANCE CORPORATION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the Servicer and Custodian</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a Lender, and the other Lenders from time to time party hereto</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WELLS FARGO BANK, NATIONAL ASSOCIATION</w:t>
      </w:r>
    </w:p>
    <w:p>
      <w:pPr>
        <w:spacing w:after="0" w:line="12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as the Deal Agent and</w:t>
      </w:r>
    </w:p>
    <w:p>
      <w:pPr>
        <w:spacing w:after="0" w:line="139"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as the Backup Servicer and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40" w:right="1440" w:bottom="1440" w:gutter="0" w:footer="0" w:header="0"/>
        </w:sectPr>
      </w:pPr>
    </w:p>
    <w:bookmarkStart w:id="263" w:name="page264"/>
    <w:bookmarkEnd w:id="263"/>
    <w:tbl>
      <w:tblPr>
        <w:tblLayout w:type="fixed"/>
        <w:tblInd w:w="640" w:type="dxa"/>
        <w:tblCellMar>
          <w:top w:w="0" w:type="dxa"/>
          <w:left w:w="0" w:type="dxa"/>
          <w:bottom w:w="0" w:type="dxa"/>
          <w:right w:w="0" w:type="dxa"/>
        </w:tblCellMar>
      </w:tblPr>
      <w:tr>
        <w:trPr>
          <w:trHeight w:val="280"/>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gridSpan w:val="10"/>
          </w:tcPr>
          <w:p>
            <w:pPr>
              <w:ind w:left="260"/>
              <w:spacing w:after="0"/>
              <w:rPr>
                <w:sz w:val="20"/>
                <w:szCs w:val="20"/>
                <w:color w:val="auto"/>
              </w:rPr>
            </w:pPr>
            <w:r>
              <w:rPr>
                <w:rFonts w:ascii="Arial" w:cs="Arial" w:eastAsia="Arial" w:hAnsi="Arial"/>
                <w:sz w:val="22"/>
                <w:szCs w:val="22"/>
                <w:b w:val="1"/>
                <w:bCs w:val="1"/>
                <w:color w:val="auto"/>
              </w:rPr>
              <w:t>TABLE OF CONTENTS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81"/>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22"/>
                <w:szCs w:val="22"/>
                <w:b w:val="1"/>
                <w:bCs w:val="1"/>
                <w:color w:val="auto"/>
                <w:w w:val="91"/>
              </w:rPr>
              <w:t>Page</w:t>
            </w:r>
          </w:p>
        </w:tc>
      </w:tr>
      <w:tr>
        <w:trPr>
          <w:trHeight w:val="611"/>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3"/>
          </w:tcPr>
          <w:p>
            <w:pPr>
              <w:ind w:left="180"/>
              <w:spacing w:after="0"/>
              <w:rPr>
                <w:sz w:val="20"/>
                <w:szCs w:val="20"/>
                <w:color w:val="auto"/>
              </w:rPr>
            </w:pPr>
            <w:r>
              <w:rPr>
                <w:rFonts w:ascii="Arial" w:cs="Arial" w:eastAsia="Arial" w:hAnsi="Arial"/>
                <w:sz w:val="22"/>
                <w:szCs w:val="22"/>
                <w:color w:val="auto"/>
              </w:rPr>
              <w:t>ARTICLE I</w:t>
            </w:r>
          </w:p>
        </w:tc>
        <w:tc>
          <w:tcPr>
            <w:tcW w:w="1440" w:type="dxa"/>
            <w:vAlign w:val="bottom"/>
            <w:gridSpan w:val="6"/>
          </w:tcPr>
          <w:p>
            <w:pPr>
              <w:ind w:left="100"/>
              <w:spacing w:after="0"/>
              <w:rPr>
                <w:sz w:val="20"/>
                <w:szCs w:val="20"/>
                <w:color w:val="auto"/>
              </w:rPr>
            </w:pPr>
            <w:r>
              <w:rPr>
                <w:rFonts w:ascii="Arial" w:cs="Arial" w:eastAsia="Arial" w:hAnsi="Arial"/>
                <w:sz w:val="22"/>
                <w:szCs w:val="22"/>
                <w:color w:val="auto"/>
                <w:w w:val="94"/>
              </w:rPr>
              <w:t>DEFINITIONS</w:t>
            </w:r>
          </w:p>
        </w:tc>
        <w:tc>
          <w:tcPr>
            <w:tcW w:w="380" w:type="dxa"/>
            <w:vAlign w:val="bottom"/>
            <w:gridSpan w:val="3"/>
          </w:tcPr>
          <w:p>
            <w:pPr>
              <w:jc w:val="right"/>
              <w:spacing w:after="0"/>
              <w:rPr>
                <w:sz w:val="20"/>
                <w:szCs w:val="20"/>
                <w:color w:val="auto"/>
              </w:rPr>
            </w:pPr>
            <w:r>
              <w:rPr>
                <w:rFonts w:ascii="Arial" w:cs="Arial" w:eastAsia="Arial" w:hAnsi="Arial"/>
                <w:sz w:val="22"/>
                <w:szCs w:val="22"/>
                <w:color w:val="auto"/>
              </w:rPr>
              <w:t>1</w:t>
            </w:r>
          </w:p>
        </w:tc>
      </w:tr>
      <w:tr>
        <w:trPr>
          <w:trHeight w:val="20"/>
        </w:trPr>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3460" w:type="dxa"/>
            <w:vAlign w:val="bottom"/>
            <w:gridSpan w:val="10"/>
          </w:tcPr>
          <w:p>
            <w:pPr>
              <w:ind w:left="260"/>
              <w:spacing w:after="0"/>
              <w:rPr>
                <w:sz w:val="20"/>
                <w:szCs w:val="20"/>
                <w:color w:val="auto"/>
              </w:rPr>
            </w:pPr>
            <w:r>
              <w:rPr>
                <w:rFonts w:ascii="Arial" w:cs="Arial" w:eastAsia="Arial" w:hAnsi="Arial"/>
                <w:sz w:val="22"/>
                <w:szCs w:val="22"/>
                <w:color w:val="auto"/>
                <w:w w:val="90"/>
              </w:rPr>
              <w:t>Section 1.1.  Certain Defined Terms</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60" w:type="dxa"/>
            <w:vAlign w:val="bottom"/>
            <w:gridSpan w:val="5"/>
          </w:tcPr>
          <w:p>
            <w:pPr>
              <w:spacing w:after="0"/>
              <w:rPr>
                <w:sz w:val="20"/>
                <w:szCs w:val="20"/>
                <w:color w:val="auto"/>
              </w:rPr>
            </w:pPr>
            <w:r>
              <w:rPr>
                <w:rFonts w:ascii="Arial" w:cs="Arial" w:eastAsia="Arial" w:hAnsi="Arial"/>
                <w:sz w:val="22"/>
                <w:szCs w:val="22"/>
                <w:color w:val="auto"/>
                <w:w w:val="99"/>
              </w:rPr>
              <w:t>1 Section 1.2.</w:t>
            </w:r>
          </w:p>
        </w:tc>
        <w:tc>
          <w:tcPr>
            <w:tcW w:w="1120" w:type="dxa"/>
            <w:vAlign w:val="bottom"/>
            <w:gridSpan w:val="4"/>
          </w:tcPr>
          <w:p>
            <w:pPr>
              <w:ind w:left="40"/>
              <w:spacing w:after="0"/>
              <w:rPr>
                <w:sz w:val="20"/>
                <w:szCs w:val="20"/>
                <w:color w:val="auto"/>
              </w:rPr>
            </w:pPr>
            <w:r>
              <w:rPr>
                <w:rFonts w:ascii="Arial" w:cs="Arial" w:eastAsia="Arial" w:hAnsi="Arial"/>
                <w:sz w:val="22"/>
                <w:szCs w:val="22"/>
                <w:color w:val="auto"/>
                <w:w w:val="85"/>
              </w:rPr>
              <w:t>Other Terms</w:t>
            </w:r>
          </w:p>
        </w:tc>
        <w:tc>
          <w:tcPr>
            <w:tcW w:w="260" w:type="dxa"/>
            <w:vAlign w:val="bottom"/>
            <w:tcBorders>
              <w:bottom w:val="single" w:sz="8" w:color="auto"/>
            </w:tcBorders>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22"/>
                <w:szCs w:val="22"/>
                <w:color w:val="auto"/>
                <w:w w:val="98"/>
              </w:rPr>
              <w:t>29 Section 1.3.</w:t>
            </w:r>
          </w:p>
        </w:tc>
        <w:tc>
          <w:tcPr>
            <w:tcW w:w="1420" w:type="dxa"/>
            <w:vAlign w:val="bottom"/>
            <w:gridSpan w:val="7"/>
          </w:tcPr>
          <w:p>
            <w:pPr>
              <w:jc w:val="right"/>
              <w:spacing w:after="0"/>
              <w:rPr>
                <w:sz w:val="20"/>
                <w:szCs w:val="20"/>
                <w:color w:val="auto"/>
              </w:rPr>
            </w:pPr>
            <w:r>
              <w:rPr>
                <w:rFonts w:ascii="Arial" w:cs="Arial" w:eastAsia="Arial" w:hAnsi="Arial"/>
                <w:sz w:val="22"/>
                <w:szCs w:val="22"/>
                <w:color w:val="auto"/>
                <w:w w:val="93"/>
              </w:rPr>
              <w:t>Computation of</w:t>
            </w:r>
          </w:p>
        </w:tc>
      </w:tr>
      <w:tr>
        <w:trPr>
          <w:trHeight w:val="331"/>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2"/>
                <w:szCs w:val="22"/>
                <w:color w:val="auto"/>
                <w:w w:val="87"/>
              </w:rPr>
              <w:t>Time Periods</w:t>
            </w:r>
          </w:p>
        </w:tc>
        <w:tc>
          <w:tcPr>
            <w:tcW w:w="260" w:type="dxa"/>
            <w:vAlign w:val="bottom"/>
          </w:tcPr>
          <w:p>
            <w:pPr>
              <w:spacing w:after="0"/>
              <w:rPr>
                <w:sz w:val="24"/>
                <w:szCs w:val="24"/>
                <w:color w:val="auto"/>
              </w:rPr>
            </w:pPr>
          </w:p>
        </w:tc>
        <w:tc>
          <w:tcPr>
            <w:tcW w:w="4460" w:type="dxa"/>
            <w:vAlign w:val="bottom"/>
            <w:gridSpan w:val="16"/>
          </w:tcPr>
          <w:p>
            <w:pPr>
              <w:spacing w:after="0"/>
              <w:rPr>
                <w:sz w:val="20"/>
                <w:szCs w:val="20"/>
                <w:color w:val="auto"/>
              </w:rPr>
            </w:pPr>
            <w:r>
              <w:rPr>
                <w:rFonts w:ascii="Arial" w:cs="Arial" w:eastAsia="Arial" w:hAnsi="Arial"/>
                <w:sz w:val="22"/>
                <w:szCs w:val="22"/>
                <w:color w:val="auto"/>
                <w:w w:val="98"/>
              </w:rPr>
              <w:t>29 Section 1.4.  Interpretation   29 ARTICLE II</w:t>
            </w:r>
          </w:p>
        </w:tc>
        <w:tc>
          <w:tcPr>
            <w:tcW w:w="2500" w:type="dxa"/>
            <w:vAlign w:val="bottom"/>
            <w:gridSpan w:val="8"/>
          </w:tcPr>
          <w:p>
            <w:pPr>
              <w:ind w:left="80"/>
              <w:spacing w:after="0"/>
              <w:rPr>
                <w:sz w:val="20"/>
                <w:szCs w:val="20"/>
                <w:color w:val="auto"/>
              </w:rPr>
            </w:pPr>
            <w:r>
              <w:rPr>
                <w:rFonts w:ascii="Arial" w:cs="Arial" w:eastAsia="Arial" w:hAnsi="Arial"/>
                <w:sz w:val="22"/>
                <w:szCs w:val="22"/>
                <w:color w:val="auto"/>
              </w:rPr>
              <w:t>THE LOAN FACILITY</w:t>
            </w:r>
          </w:p>
        </w:tc>
        <w:tc>
          <w:tcPr>
            <w:tcW w:w="380" w:type="dxa"/>
            <w:vAlign w:val="bottom"/>
            <w:gridSpan w:val="3"/>
          </w:tcPr>
          <w:p>
            <w:pPr>
              <w:jc w:val="right"/>
              <w:spacing w:after="0"/>
              <w:rPr>
                <w:sz w:val="20"/>
                <w:szCs w:val="20"/>
                <w:color w:val="auto"/>
              </w:rPr>
            </w:pPr>
            <w:r>
              <w:rPr>
                <w:rFonts w:ascii="Arial" w:cs="Arial" w:eastAsia="Arial" w:hAnsi="Arial"/>
                <w:sz w:val="22"/>
                <w:szCs w:val="22"/>
                <w:color w:val="auto"/>
              </w:rPr>
              <w:t>30</w:t>
            </w:r>
          </w:p>
        </w:tc>
      </w:tr>
      <w:tr>
        <w:trPr>
          <w:trHeight w:val="20"/>
        </w:trPr>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r>
      <w:tr>
        <w:trPr>
          <w:trHeight w:val="331"/>
        </w:trPr>
        <w:tc>
          <w:tcPr>
            <w:tcW w:w="1040" w:type="dxa"/>
            <w:vAlign w:val="bottom"/>
            <w:gridSpan w:val="3"/>
          </w:tcPr>
          <w:p>
            <w:pPr>
              <w:spacing w:after="0"/>
              <w:rPr>
                <w:sz w:val="20"/>
                <w:szCs w:val="20"/>
                <w:color w:val="auto"/>
              </w:rPr>
            </w:pPr>
            <w:r>
              <w:rPr>
                <w:rFonts w:ascii="Arial" w:cs="Arial" w:eastAsia="Arial" w:hAnsi="Arial"/>
                <w:sz w:val="22"/>
                <w:szCs w:val="22"/>
                <w:color w:val="auto"/>
                <w:w w:val="87"/>
              </w:rPr>
              <w:t>Section 2.1.</w:t>
            </w:r>
          </w:p>
        </w:tc>
        <w:tc>
          <w:tcPr>
            <w:tcW w:w="220" w:type="dxa"/>
            <w:vAlign w:val="bottom"/>
          </w:tcPr>
          <w:p>
            <w:pPr>
              <w:spacing w:after="0"/>
              <w:rPr>
                <w:sz w:val="24"/>
                <w:szCs w:val="24"/>
                <w:color w:val="auto"/>
              </w:rPr>
            </w:pPr>
          </w:p>
        </w:tc>
        <w:tc>
          <w:tcPr>
            <w:tcW w:w="2200" w:type="dxa"/>
            <w:vAlign w:val="bottom"/>
            <w:gridSpan w:val="6"/>
          </w:tcPr>
          <w:p>
            <w:pPr>
              <w:ind w:left="20"/>
              <w:spacing w:after="0"/>
              <w:rPr>
                <w:sz w:val="20"/>
                <w:szCs w:val="20"/>
                <w:color w:val="auto"/>
              </w:rPr>
            </w:pPr>
            <w:r>
              <w:rPr>
                <w:rFonts w:ascii="Arial" w:cs="Arial" w:eastAsia="Arial" w:hAnsi="Arial"/>
                <w:sz w:val="22"/>
                <w:szCs w:val="22"/>
                <w:color w:val="auto"/>
                <w:w w:val="92"/>
              </w:rPr>
              <w:t>Funding of the Advance</w:t>
            </w:r>
          </w:p>
        </w:tc>
        <w:tc>
          <w:tcPr>
            <w:tcW w:w="160" w:type="dxa"/>
            <w:vAlign w:val="bottom"/>
          </w:tcPr>
          <w:p>
            <w:pPr>
              <w:spacing w:after="0"/>
              <w:rPr>
                <w:sz w:val="24"/>
                <w:szCs w:val="24"/>
                <w:color w:val="auto"/>
              </w:rPr>
            </w:pPr>
          </w:p>
        </w:tc>
        <w:tc>
          <w:tcPr>
            <w:tcW w:w="6180" w:type="dxa"/>
            <w:vAlign w:val="bottom"/>
            <w:gridSpan w:val="22"/>
          </w:tcPr>
          <w:p>
            <w:pPr>
              <w:jc w:val="right"/>
              <w:spacing w:after="0"/>
              <w:rPr>
                <w:sz w:val="20"/>
                <w:szCs w:val="20"/>
                <w:color w:val="auto"/>
              </w:rPr>
            </w:pPr>
            <w:r>
              <w:rPr>
                <w:rFonts w:ascii="Arial" w:cs="Arial" w:eastAsia="Arial" w:hAnsi="Arial"/>
                <w:sz w:val="22"/>
                <w:szCs w:val="22"/>
                <w:color w:val="auto"/>
                <w:w w:val="93"/>
              </w:rPr>
              <w:t>30 Section 2.2.  Grant of Security Interest; Acceptance by Collateral</w:t>
            </w: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20" w:type="dxa"/>
            <w:vAlign w:val="bottom"/>
            <w:tcBorders>
              <w:left w:val="single" w:sz="8" w:color="auto"/>
            </w:tcBorders>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w w:val="86"/>
              </w:rPr>
              <w:t>Agent</w:t>
            </w:r>
          </w:p>
        </w:tc>
        <w:tc>
          <w:tcPr>
            <w:tcW w:w="28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22"/>
                <w:szCs w:val="22"/>
                <w:color w:val="auto"/>
                <w:w w:val="93"/>
              </w:rPr>
              <w:t>31 Section 2.3.</w:t>
            </w:r>
          </w:p>
        </w:tc>
        <w:tc>
          <w:tcPr>
            <w:tcW w:w="3340" w:type="dxa"/>
            <w:vAlign w:val="bottom"/>
            <w:gridSpan w:val="12"/>
          </w:tcPr>
          <w:p>
            <w:pPr>
              <w:ind w:left="120"/>
              <w:spacing w:after="0"/>
              <w:rPr>
                <w:sz w:val="20"/>
                <w:szCs w:val="20"/>
                <w:color w:val="auto"/>
              </w:rPr>
            </w:pPr>
            <w:r>
              <w:rPr>
                <w:rFonts w:ascii="Arial" w:cs="Arial" w:eastAsia="Arial" w:hAnsi="Arial"/>
                <w:sz w:val="22"/>
                <w:szCs w:val="22"/>
                <w:color w:val="auto"/>
                <w:w w:val="89"/>
              </w:rPr>
              <w:t>Procedures for Funding of Advances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gridSpan w:val="11"/>
          </w:tcPr>
          <w:p>
            <w:pPr>
              <w:spacing w:after="0"/>
              <w:rPr>
                <w:sz w:val="20"/>
                <w:szCs w:val="20"/>
                <w:color w:val="auto"/>
              </w:rPr>
            </w:pPr>
            <w:r>
              <w:rPr>
                <w:rFonts w:ascii="Arial" w:cs="Arial" w:eastAsia="Arial" w:hAnsi="Arial"/>
                <w:sz w:val="22"/>
                <w:szCs w:val="22"/>
                <w:color w:val="auto"/>
                <w:w w:val="96"/>
              </w:rPr>
              <w:t>33 Section 2.4.  Determination of Yield</w:t>
            </w:r>
          </w:p>
        </w:tc>
        <w:tc>
          <w:tcPr>
            <w:tcW w:w="380" w:type="dxa"/>
            <w:vAlign w:val="bottom"/>
            <w:gridSpan w:val="3"/>
          </w:tcPr>
          <w:p>
            <w:pPr>
              <w:jc w:val="right"/>
              <w:ind w:right="20"/>
              <w:spacing w:after="0"/>
              <w:rPr>
                <w:sz w:val="20"/>
                <w:szCs w:val="20"/>
                <w:color w:val="auto"/>
              </w:rPr>
            </w:pPr>
            <w:r>
              <w:rPr>
                <w:rFonts w:ascii="Arial" w:cs="Arial" w:eastAsia="Arial" w:hAnsi="Arial"/>
                <w:sz w:val="22"/>
                <w:szCs w:val="22"/>
                <w:color w:val="auto"/>
              </w:rPr>
              <w:t>33</w:t>
            </w:r>
          </w:p>
        </w:tc>
      </w:tr>
      <w:tr>
        <w:trPr>
          <w:trHeight w:val="20"/>
        </w:trPr>
        <w:tc>
          <w:tcPr>
            <w:tcW w:w="5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31"/>
        </w:trPr>
        <w:tc>
          <w:tcPr>
            <w:tcW w:w="1040" w:type="dxa"/>
            <w:vAlign w:val="bottom"/>
            <w:gridSpan w:val="3"/>
          </w:tcPr>
          <w:p>
            <w:pPr>
              <w:spacing w:after="0"/>
              <w:rPr>
                <w:sz w:val="20"/>
                <w:szCs w:val="20"/>
                <w:color w:val="auto"/>
              </w:rPr>
            </w:pPr>
            <w:r>
              <w:rPr>
                <w:rFonts w:ascii="Arial" w:cs="Arial" w:eastAsia="Arial" w:hAnsi="Arial"/>
                <w:sz w:val="22"/>
                <w:szCs w:val="22"/>
                <w:color w:val="auto"/>
                <w:w w:val="87"/>
              </w:rPr>
              <w:t>Section 2.5.</w:t>
            </w:r>
          </w:p>
        </w:tc>
        <w:tc>
          <w:tcPr>
            <w:tcW w:w="220" w:type="dxa"/>
            <w:vAlign w:val="bottom"/>
          </w:tcPr>
          <w:p>
            <w:pPr>
              <w:spacing w:after="0"/>
              <w:rPr>
                <w:sz w:val="24"/>
                <w:szCs w:val="24"/>
                <w:color w:val="auto"/>
              </w:rPr>
            </w:pPr>
          </w:p>
        </w:tc>
        <w:tc>
          <w:tcPr>
            <w:tcW w:w="4440" w:type="dxa"/>
            <w:vAlign w:val="bottom"/>
            <w:gridSpan w:val="14"/>
          </w:tcPr>
          <w:p>
            <w:pPr>
              <w:ind w:left="80"/>
              <w:spacing w:after="0"/>
              <w:rPr>
                <w:sz w:val="20"/>
                <w:szCs w:val="20"/>
                <w:color w:val="auto"/>
              </w:rPr>
            </w:pPr>
            <w:r>
              <w:rPr>
                <w:rFonts w:ascii="Arial" w:cs="Arial" w:eastAsia="Arial" w:hAnsi="Arial"/>
                <w:sz w:val="22"/>
                <w:szCs w:val="22"/>
                <w:color w:val="auto"/>
                <w:w w:val="94"/>
              </w:rPr>
              <w:t>Reduction of the Facility Limit and Commitment</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gridSpan w:val="13"/>
          </w:tcPr>
          <w:p>
            <w:pPr>
              <w:jc w:val="right"/>
              <w:ind w:right="20"/>
              <w:spacing w:after="0"/>
              <w:rPr>
                <w:sz w:val="20"/>
                <w:szCs w:val="20"/>
                <w:color w:val="auto"/>
              </w:rPr>
            </w:pPr>
            <w:r>
              <w:rPr>
                <w:rFonts w:ascii="Arial" w:cs="Arial" w:eastAsia="Arial" w:hAnsi="Arial"/>
                <w:sz w:val="22"/>
                <w:szCs w:val="22"/>
                <w:color w:val="auto"/>
                <w:w w:val="93"/>
              </w:rPr>
              <w:t>34 Section 2.6.   Actions with Respect to</w:t>
            </w:r>
          </w:p>
        </w:tc>
      </w:tr>
      <w:tr>
        <w:trPr>
          <w:trHeight w:val="331"/>
        </w:trPr>
        <w:tc>
          <w:tcPr>
            <w:tcW w:w="1040" w:type="dxa"/>
            <w:vAlign w:val="bottom"/>
            <w:gridSpan w:val="3"/>
          </w:tcPr>
          <w:p>
            <w:pPr>
              <w:spacing w:after="0"/>
              <w:rPr>
                <w:sz w:val="20"/>
                <w:szCs w:val="20"/>
                <w:color w:val="auto"/>
              </w:rPr>
            </w:pPr>
            <w:r>
              <w:rPr>
                <w:rFonts w:ascii="Arial" w:cs="Arial" w:eastAsia="Arial" w:hAnsi="Arial"/>
                <w:sz w:val="22"/>
                <w:szCs w:val="22"/>
                <w:color w:val="auto"/>
              </w:rPr>
              <w:t>Advance</w:t>
            </w:r>
          </w:p>
        </w:tc>
        <w:tc>
          <w:tcPr>
            <w:tcW w:w="22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22"/>
                <w:szCs w:val="22"/>
                <w:color w:val="auto"/>
              </w:rPr>
              <w:t>34 Section 2.7.</w:t>
            </w:r>
          </w:p>
        </w:tc>
        <w:tc>
          <w:tcPr>
            <w:tcW w:w="2680" w:type="dxa"/>
            <w:vAlign w:val="bottom"/>
            <w:gridSpan w:val="10"/>
          </w:tcPr>
          <w:p>
            <w:pPr>
              <w:ind w:left="200"/>
              <w:spacing w:after="0"/>
              <w:rPr>
                <w:sz w:val="20"/>
                <w:szCs w:val="20"/>
                <w:color w:val="auto"/>
              </w:rPr>
            </w:pPr>
            <w:r>
              <w:rPr>
                <w:rFonts w:ascii="Arial" w:cs="Arial" w:eastAsia="Arial" w:hAnsi="Arial"/>
                <w:sz w:val="22"/>
                <w:szCs w:val="22"/>
                <w:color w:val="auto"/>
              </w:rPr>
              <w:t>Settlement Procedures</w:t>
            </w:r>
          </w:p>
        </w:tc>
        <w:tc>
          <w:tcPr>
            <w:tcW w:w="1380" w:type="dxa"/>
            <w:vAlign w:val="bottom"/>
            <w:gridSpan w:val="5"/>
          </w:tcPr>
          <w:p>
            <w:pPr>
              <w:spacing w:after="0"/>
              <w:rPr>
                <w:sz w:val="20"/>
                <w:szCs w:val="20"/>
                <w:color w:val="auto"/>
              </w:rPr>
            </w:pPr>
            <w:r>
              <w:rPr>
                <w:rFonts w:ascii="Arial" w:cs="Arial" w:eastAsia="Arial" w:hAnsi="Arial"/>
                <w:sz w:val="22"/>
                <w:szCs w:val="22"/>
                <w:color w:val="auto"/>
                <w:w w:val="92"/>
              </w:rPr>
              <w:t>34 Section 2.8.</w:t>
            </w:r>
          </w:p>
        </w:tc>
        <w:tc>
          <w:tcPr>
            <w:tcW w:w="1460" w:type="dxa"/>
            <w:vAlign w:val="bottom"/>
            <w:gridSpan w:val="4"/>
          </w:tcPr>
          <w:p>
            <w:pPr>
              <w:ind w:left="400"/>
              <w:spacing w:after="0"/>
              <w:rPr>
                <w:sz w:val="20"/>
                <w:szCs w:val="20"/>
                <w:color w:val="auto"/>
              </w:rPr>
            </w:pPr>
            <w:r>
              <w:rPr>
                <w:rFonts w:ascii="Arial" w:cs="Arial" w:eastAsia="Arial" w:hAnsi="Arial"/>
                <w:sz w:val="22"/>
                <w:szCs w:val="22"/>
                <w:color w:val="auto"/>
                <w:w w:val="92"/>
              </w:rPr>
              <w:t>[Reserved.]</w:t>
            </w:r>
          </w:p>
        </w:tc>
        <w:tc>
          <w:tcPr>
            <w:tcW w:w="440" w:type="dxa"/>
            <w:vAlign w:val="bottom"/>
          </w:tcPr>
          <w:p>
            <w:pPr>
              <w:spacing w:after="0"/>
              <w:rPr>
                <w:sz w:val="24"/>
                <w:szCs w:val="24"/>
                <w:color w:val="auto"/>
              </w:rPr>
            </w:pPr>
          </w:p>
        </w:tc>
        <w:tc>
          <w:tcPr>
            <w:tcW w:w="980" w:type="dxa"/>
            <w:vAlign w:val="bottom"/>
            <w:gridSpan w:val="6"/>
          </w:tcPr>
          <w:p>
            <w:pPr>
              <w:jc w:val="right"/>
              <w:spacing w:after="0"/>
              <w:rPr>
                <w:sz w:val="20"/>
                <w:szCs w:val="20"/>
                <w:color w:val="auto"/>
              </w:rPr>
            </w:pPr>
            <w:r>
              <w:rPr>
                <w:rFonts w:ascii="Arial" w:cs="Arial" w:eastAsia="Arial" w:hAnsi="Arial"/>
                <w:sz w:val="22"/>
                <w:szCs w:val="22"/>
                <w:color w:val="auto"/>
                <w:w w:val="92"/>
              </w:rPr>
              <w:t>36 Section</w:t>
            </w:r>
          </w:p>
        </w:tc>
      </w:tr>
      <w:tr>
        <w:trPr>
          <w:trHeight w:val="20"/>
        </w:trPr>
        <w:tc>
          <w:tcPr>
            <w:tcW w:w="5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r>
      <w:tr>
        <w:trPr>
          <w:trHeight w:val="331"/>
        </w:trPr>
        <w:tc>
          <w:tcPr>
            <w:tcW w:w="520" w:type="dxa"/>
            <w:vAlign w:val="bottom"/>
          </w:tcPr>
          <w:p>
            <w:pPr>
              <w:spacing w:after="0"/>
              <w:rPr>
                <w:sz w:val="20"/>
                <w:szCs w:val="20"/>
                <w:color w:val="auto"/>
              </w:rPr>
            </w:pPr>
            <w:r>
              <w:rPr>
                <w:rFonts w:ascii="Arial" w:cs="Arial" w:eastAsia="Arial" w:hAnsi="Arial"/>
                <w:sz w:val="22"/>
                <w:szCs w:val="22"/>
                <w:color w:val="auto"/>
              </w:rPr>
              <w:t>2.9.</w:t>
            </w:r>
          </w:p>
        </w:tc>
        <w:tc>
          <w:tcPr>
            <w:tcW w:w="2940" w:type="dxa"/>
            <w:vAlign w:val="bottom"/>
            <w:gridSpan w:val="9"/>
          </w:tcPr>
          <w:p>
            <w:pPr>
              <w:ind w:left="180"/>
              <w:spacing w:after="0"/>
              <w:rPr>
                <w:sz w:val="20"/>
                <w:szCs w:val="20"/>
                <w:color w:val="auto"/>
              </w:rPr>
            </w:pPr>
            <w:r>
              <w:rPr>
                <w:rFonts w:ascii="Arial" w:cs="Arial" w:eastAsia="Arial" w:hAnsi="Arial"/>
                <w:sz w:val="22"/>
                <w:szCs w:val="22"/>
                <w:color w:val="auto"/>
              </w:rPr>
              <w:t>Collections and Allocations</w:t>
            </w:r>
          </w:p>
        </w:tc>
        <w:tc>
          <w:tcPr>
            <w:tcW w:w="160" w:type="dxa"/>
            <w:vAlign w:val="bottom"/>
          </w:tcPr>
          <w:p>
            <w:pPr>
              <w:spacing w:after="0"/>
              <w:rPr>
                <w:sz w:val="24"/>
                <w:szCs w:val="24"/>
                <w:color w:val="auto"/>
              </w:rPr>
            </w:pPr>
          </w:p>
        </w:tc>
        <w:tc>
          <w:tcPr>
            <w:tcW w:w="4360" w:type="dxa"/>
            <w:vAlign w:val="bottom"/>
            <w:gridSpan w:val="13"/>
          </w:tcPr>
          <w:p>
            <w:pPr>
              <w:spacing w:after="0"/>
              <w:rPr>
                <w:sz w:val="20"/>
                <w:szCs w:val="20"/>
                <w:color w:val="auto"/>
              </w:rPr>
            </w:pPr>
            <w:r>
              <w:rPr>
                <w:rFonts w:ascii="Arial" w:cs="Arial" w:eastAsia="Arial" w:hAnsi="Arial"/>
                <w:sz w:val="22"/>
                <w:szCs w:val="22"/>
                <w:color w:val="auto"/>
                <w:w w:val="95"/>
              </w:rPr>
              <w:t>36 Section 2.10. Payments, Computations, Etc</w:t>
            </w:r>
          </w:p>
        </w:tc>
        <w:tc>
          <w:tcPr>
            <w:tcW w:w="1820" w:type="dxa"/>
            <w:vAlign w:val="bottom"/>
            <w:gridSpan w:val="9"/>
          </w:tcPr>
          <w:p>
            <w:pPr>
              <w:jc w:val="right"/>
              <w:spacing w:after="0"/>
              <w:rPr>
                <w:sz w:val="20"/>
                <w:szCs w:val="20"/>
                <w:color w:val="auto"/>
              </w:rPr>
            </w:pPr>
            <w:r>
              <w:rPr>
                <w:rFonts w:ascii="Arial" w:cs="Arial" w:eastAsia="Arial" w:hAnsi="Arial"/>
                <w:sz w:val="22"/>
                <w:szCs w:val="22"/>
                <w:color w:val="auto"/>
              </w:rPr>
              <w:t>37 Section 2.11.</w:t>
            </w:r>
          </w:p>
        </w:tc>
      </w:tr>
      <w:tr>
        <w:trPr>
          <w:trHeight w:val="20"/>
        </w:trPr>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gridSpan w:val="5"/>
          </w:tcPr>
          <w:p>
            <w:pPr>
              <w:ind w:left="640"/>
              <w:spacing w:after="0"/>
              <w:rPr>
                <w:sz w:val="20"/>
                <w:szCs w:val="20"/>
                <w:color w:val="auto"/>
              </w:rPr>
            </w:pPr>
            <w:r>
              <w:rPr>
                <w:rFonts w:ascii="Arial" w:cs="Arial" w:eastAsia="Arial" w:hAnsi="Arial"/>
                <w:sz w:val="22"/>
                <w:szCs w:val="22"/>
                <w:color w:val="auto"/>
              </w:rPr>
              <w:t>[Reserved.]</w:t>
            </w:r>
          </w:p>
        </w:tc>
        <w:tc>
          <w:tcPr>
            <w:tcW w:w="440" w:type="dxa"/>
            <w:vAlign w:val="bottom"/>
            <w:gridSpan w:val="2"/>
          </w:tcPr>
          <w:p>
            <w:pPr>
              <w:ind w:left="100"/>
              <w:spacing w:after="0"/>
              <w:rPr>
                <w:sz w:val="20"/>
                <w:szCs w:val="20"/>
                <w:color w:val="auto"/>
              </w:rPr>
            </w:pPr>
            <w:r>
              <w:rPr>
                <w:rFonts w:ascii="Arial" w:cs="Arial" w:eastAsia="Arial" w:hAnsi="Arial"/>
                <w:sz w:val="22"/>
                <w:szCs w:val="22"/>
                <w:color w:val="auto"/>
              </w:rPr>
              <w:t>38</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44"/>
        </w:trPr>
        <w:tc>
          <w:tcPr>
            <w:tcW w:w="10440" w:type="dxa"/>
            <w:vAlign w:val="bottom"/>
            <w:gridSpan w:val="20"/>
          </w:tcPr>
          <w:p>
            <w:pPr>
              <w:jc w:val="right"/>
              <w:spacing w:after="0"/>
              <w:rPr>
                <w:sz w:val="20"/>
                <w:szCs w:val="20"/>
                <w:color w:val="auto"/>
              </w:rPr>
            </w:pPr>
            <w:r>
              <w:rPr>
                <w:rFonts w:ascii="Arial" w:cs="Arial" w:eastAsia="Arial" w:hAnsi="Arial"/>
                <w:sz w:val="22"/>
                <w:szCs w:val="22"/>
                <w:color w:val="auto"/>
                <w:w w:val="99"/>
              </w:rPr>
              <w:t>Section 2.12. Fees   38 Section 2.13. Increased Costs; Capital Adequacy; Illegality   38 Section 2.14. Taxes</w:t>
            </w: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Arial" w:cs="Arial" w:eastAsia="Arial" w:hAnsi="Arial"/>
                <w:sz w:val="22"/>
                <w:szCs w:val="22"/>
                <w:color w:val="auto"/>
                <w:w w:val="93"/>
              </w:rPr>
              <w:t>39 Section 2.15. Assignment of the Contribution Agreement</w:t>
            </w:r>
          </w:p>
        </w:tc>
        <w:tc>
          <w:tcPr>
            <w:tcW w:w="3900" w:type="dxa"/>
            <w:vAlign w:val="bottom"/>
            <w:gridSpan w:val="7"/>
          </w:tcPr>
          <w:p>
            <w:pPr>
              <w:ind w:left="20"/>
              <w:spacing w:after="0"/>
              <w:rPr>
                <w:sz w:val="20"/>
                <w:szCs w:val="20"/>
                <w:color w:val="auto"/>
              </w:rPr>
            </w:pPr>
            <w:r>
              <w:rPr>
                <w:rFonts w:ascii="Arial" w:cs="Arial" w:eastAsia="Arial" w:hAnsi="Arial"/>
                <w:sz w:val="22"/>
                <w:szCs w:val="22"/>
                <w:color w:val="auto"/>
              </w:rPr>
              <w:t>41 Section 2.16. Take-Out   41</w:t>
            </w:r>
          </w:p>
        </w:tc>
        <w:tc>
          <w:tcPr>
            <w:tcW w:w="2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23"/>
        </w:trPr>
        <w:tc>
          <w:tcPr>
            <w:tcW w:w="10440" w:type="dxa"/>
            <w:vAlign w:val="bottom"/>
            <w:gridSpan w:val="20"/>
          </w:tcPr>
          <w:p>
            <w:pPr>
              <w:jc w:val="right"/>
              <w:ind w:right="32"/>
              <w:spacing w:after="0"/>
              <w:rPr>
                <w:sz w:val="20"/>
                <w:szCs w:val="20"/>
                <w:color w:val="auto"/>
              </w:rPr>
            </w:pPr>
            <w:r>
              <w:rPr>
                <w:rFonts w:ascii="Arial" w:cs="Arial" w:eastAsia="Arial" w:hAnsi="Arial"/>
                <w:sz w:val="22"/>
                <w:szCs w:val="22"/>
                <w:color w:val="auto"/>
                <w:w w:val="96"/>
              </w:rPr>
              <w:t>ARTICLE III  CONDITIONS TO THE CLOSING, EACH FUNDING AND AMENDMENT AND RESTATEMENT</w:t>
            </w:r>
          </w:p>
        </w:tc>
      </w:tr>
      <w:tr>
        <w:trPr>
          <w:trHeight w:val="224"/>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gridSpan w:val="2"/>
          </w:tcPr>
          <w:p>
            <w:pPr>
              <w:jc w:val="right"/>
              <w:ind w:right="220"/>
              <w:spacing w:after="0" w:line="224" w:lineRule="exact"/>
              <w:rPr>
                <w:sz w:val="20"/>
                <w:szCs w:val="20"/>
                <w:color w:val="auto"/>
              </w:rPr>
            </w:pPr>
            <w:r>
              <w:rPr>
                <w:rFonts w:ascii="Arial" w:cs="Arial" w:eastAsia="Arial" w:hAnsi="Arial"/>
                <w:sz w:val="22"/>
                <w:szCs w:val="22"/>
                <w:color w:val="auto"/>
                <w:w w:val="81"/>
              </w:rPr>
              <w:t>43</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385"/>
        </w:trPr>
        <w:tc>
          <w:tcPr>
            <w:tcW w:w="640" w:type="dxa"/>
            <w:vAlign w:val="bottom"/>
          </w:tcPr>
          <w:p>
            <w:pPr>
              <w:spacing w:after="0"/>
              <w:rPr>
                <w:sz w:val="24"/>
                <w:szCs w:val="24"/>
                <w:color w:val="auto"/>
              </w:rPr>
            </w:pPr>
          </w:p>
        </w:tc>
        <w:tc>
          <w:tcPr>
            <w:tcW w:w="5680" w:type="dxa"/>
            <w:vAlign w:val="bottom"/>
            <w:gridSpan w:val="11"/>
          </w:tcPr>
          <w:p>
            <w:pPr>
              <w:ind w:left="180"/>
              <w:spacing w:after="0"/>
              <w:rPr>
                <w:sz w:val="20"/>
                <w:szCs w:val="20"/>
                <w:color w:val="auto"/>
              </w:rPr>
            </w:pPr>
            <w:r>
              <w:rPr>
                <w:rFonts w:ascii="Arial" w:cs="Arial" w:eastAsia="Arial" w:hAnsi="Arial"/>
                <w:sz w:val="22"/>
                <w:szCs w:val="22"/>
                <w:color w:val="auto"/>
                <w:w w:val="91"/>
              </w:rPr>
              <w:t>Section 3.1.  Conditions to the Closing and the Initial Funding</w:t>
            </w:r>
          </w:p>
        </w:tc>
        <w:tc>
          <w:tcPr>
            <w:tcW w:w="480" w:type="dxa"/>
            <w:vAlign w:val="bottom"/>
            <w:tcBorders>
              <w:bottom w:val="single" w:sz="8" w:color="auto"/>
            </w:tcBorders>
          </w:tcPr>
          <w:p>
            <w:pPr>
              <w:spacing w:after="0"/>
              <w:rPr>
                <w:sz w:val="24"/>
                <w:szCs w:val="24"/>
                <w:color w:val="auto"/>
              </w:rPr>
            </w:pPr>
          </w:p>
        </w:tc>
        <w:tc>
          <w:tcPr>
            <w:tcW w:w="3640" w:type="dxa"/>
            <w:vAlign w:val="bottom"/>
            <w:gridSpan w:val="7"/>
          </w:tcPr>
          <w:p>
            <w:pPr>
              <w:jc w:val="right"/>
              <w:spacing w:after="0"/>
              <w:rPr>
                <w:sz w:val="20"/>
                <w:szCs w:val="20"/>
                <w:color w:val="auto"/>
              </w:rPr>
            </w:pPr>
            <w:r>
              <w:rPr>
                <w:rFonts w:ascii="Arial" w:cs="Arial" w:eastAsia="Arial" w:hAnsi="Arial"/>
                <w:sz w:val="22"/>
                <w:szCs w:val="22"/>
                <w:color w:val="auto"/>
                <w:w w:val="90"/>
              </w:rPr>
              <w:t>43 Section 3.2.  Conditions Precedent To</w:t>
            </w:r>
          </w:p>
        </w:tc>
      </w:tr>
      <w:tr>
        <w:trPr>
          <w:trHeight w:val="331"/>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40" w:type="dxa"/>
            <w:vAlign w:val="bottom"/>
            <w:gridSpan w:val="11"/>
          </w:tcPr>
          <w:p>
            <w:pPr>
              <w:ind w:left="160"/>
              <w:spacing w:after="0"/>
              <w:rPr>
                <w:sz w:val="20"/>
                <w:szCs w:val="20"/>
                <w:color w:val="auto"/>
              </w:rPr>
            </w:pPr>
            <w:r>
              <w:rPr>
                <w:rFonts w:ascii="Arial" w:cs="Arial" w:eastAsia="Arial" w:hAnsi="Arial"/>
                <w:sz w:val="22"/>
                <w:szCs w:val="22"/>
                <w:color w:val="auto"/>
              </w:rPr>
              <w:t>All Fundings   43 ARTICLE IV  REPRESENTATIONS AND WARRANTIES</w:t>
            </w:r>
          </w:p>
        </w:tc>
        <w:tc>
          <w:tcPr>
            <w:tcW w:w="220" w:type="dxa"/>
            <w:vAlign w:val="bottom"/>
          </w:tcPr>
          <w:p>
            <w:pPr>
              <w:jc w:val="right"/>
              <w:spacing w:after="0"/>
              <w:rPr>
                <w:sz w:val="20"/>
                <w:szCs w:val="20"/>
                <w:color w:val="auto"/>
              </w:rPr>
            </w:pPr>
            <w:r>
              <w:rPr>
                <w:rFonts w:ascii="Arial" w:cs="Arial" w:eastAsia="Arial" w:hAnsi="Arial"/>
                <w:sz w:val="22"/>
                <w:szCs w:val="22"/>
                <w:color w:val="auto"/>
                <w:w w:val="81"/>
              </w:rPr>
              <w:t>44</w:t>
            </w:r>
          </w:p>
        </w:tc>
      </w:tr>
      <w:tr>
        <w:trPr>
          <w:trHeight w:val="20"/>
        </w:trPr>
        <w:tc>
          <w:tcPr>
            <w:tcW w:w="182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0"/>
        </w:trPr>
        <w:tc>
          <w:tcPr>
            <w:tcW w:w="1820" w:type="dxa"/>
            <w:vAlign w:val="bottom"/>
            <w:gridSpan w:val="5"/>
          </w:tcPr>
          <w:p>
            <w:pPr>
              <w:ind w:left="640"/>
              <w:spacing w:after="0"/>
              <w:rPr>
                <w:sz w:val="20"/>
                <w:szCs w:val="20"/>
                <w:color w:val="auto"/>
              </w:rPr>
            </w:pPr>
            <w:r>
              <w:rPr>
                <w:rFonts w:ascii="Arial" w:cs="Arial" w:eastAsia="Arial" w:hAnsi="Arial"/>
                <w:sz w:val="22"/>
                <w:szCs w:val="22"/>
                <w:color w:val="auto"/>
                <w:w w:val="99"/>
              </w:rPr>
              <w:t>Section 4.1.</w:t>
            </w:r>
          </w:p>
        </w:tc>
        <w:tc>
          <w:tcPr>
            <w:tcW w:w="4500" w:type="dxa"/>
            <w:vAlign w:val="bottom"/>
            <w:gridSpan w:val="7"/>
          </w:tcPr>
          <w:p>
            <w:pPr>
              <w:ind w:left="60"/>
              <w:spacing w:after="0"/>
              <w:rPr>
                <w:sz w:val="20"/>
                <w:szCs w:val="20"/>
                <w:color w:val="auto"/>
              </w:rPr>
            </w:pPr>
            <w:r>
              <w:rPr>
                <w:rFonts w:ascii="Arial" w:cs="Arial" w:eastAsia="Arial" w:hAnsi="Arial"/>
                <w:sz w:val="22"/>
                <w:szCs w:val="22"/>
                <w:color w:val="auto"/>
                <w:w w:val="93"/>
              </w:rPr>
              <w:t>Representations and Warranties of the Borrower</w:t>
            </w:r>
          </w:p>
        </w:tc>
        <w:tc>
          <w:tcPr>
            <w:tcW w:w="480" w:type="dxa"/>
            <w:vAlign w:val="bottom"/>
          </w:tcPr>
          <w:p>
            <w:pPr>
              <w:spacing w:after="0"/>
              <w:rPr>
                <w:sz w:val="20"/>
                <w:szCs w:val="20"/>
                <w:color w:val="auto"/>
              </w:rPr>
            </w:pPr>
            <w:r>
              <w:rPr>
                <w:rFonts w:ascii="Arial" w:cs="Arial" w:eastAsia="Arial" w:hAnsi="Arial"/>
                <w:sz w:val="22"/>
                <w:szCs w:val="22"/>
                <w:color w:val="auto"/>
              </w:rPr>
              <w:t>44</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7" w:lineRule="exact"/>
        <w:rPr>
          <w:sz w:val="20"/>
          <w:szCs w:val="20"/>
          <w:color w:val="auto"/>
        </w:rPr>
      </w:pPr>
    </w:p>
    <w:p>
      <w:pPr>
        <w:ind w:left="1880" w:right="200" w:hanging="1835"/>
        <w:spacing w:after="0" w:line="263" w:lineRule="auto"/>
        <w:tabs>
          <w:tab w:leader="none" w:pos="1860" w:val="left"/>
        </w:tabs>
        <w:rPr>
          <w:sz w:val="20"/>
          <w:szCs w:val="20"/>
          <w:color w:val="auto"/>
        </w:rPr>
      </w:pPr>
      <w:r>
        <w:rPr>
          <w:rFonts w:ascii="Arial" w:cs="Arial" w:eastAsia="Arial" w:hAnsi="Arial"/>
          <w:sz w:val="22"/>
          <w:szCs w:val="22"/>
          <w:color w:val="auto"/>
        </w:rPr>
        <w:t>Section 4.2.</w:t>
        <w:tab/>
        <w:t>Representations and Warranties of the Borrower Relating to the Loans and the Related Contracts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-46355</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440"/>
          </w:cols>
          <w:pgMar w:left="1020" w:top="1098" w:right="439" w:bottom="1440" w:gutter="0" w:footer="0" w:header="0"/>
        </w:sectPr>
      </w:pPr>
    </w:p>
    <w:bookmarkStart w:id="264" w:name="page265"/>
    <w:bookmarkEnd w:id="264"/>
    <w:p>
      <w:pPr>
        <w:jc w:val="center"/>
        <w:ind w:right="120"/>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(continued)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22"/>
                <w:szCs w:val="22"/>
                <w:b w:val="1"/>
                <w:bCs w:val="1"/>
                <w:color w:val="auto"/>
                <w:w w:val="79"/>
              </w:rPr>
              <w:t>Page</w:t>
            </w:r>
          </w:p>
        </w:tc>
      </w:tr>
      <w:tr>
        <w:trPr>
          <w:trHeight w:val="722"/>
        </w:trPr>
        <w:tc>
          <w:tcPr>
            <w:tcW w:w="540" w:type="dxa"/>
            <w:vAlign w:val="bottom"/>
          </w:tcPr>
          <w:p>
            <w:pPr>
              <w:spacing w:after="0"/>
              <w:rPr>
                <w:sz w:val="24"/>
                <w:szCs w:val="24"/>
                <w:color w:val="auto"/>
              </w:rPr>
            </w:pPr>
          </w:p>
        </w:tc>
        <w:tc>
          <w:tcPr>
            <w:tcW w:w="1200" w:type="dxa"/>
            <w:vAlign w:val="bottom"/>
            <w:gridSpan w:val="6"/>
          </w:tcPr>
          <w:p>
            <w:pPr>
              <w:ind w:left="140"/>
              <w:spacing w:after="0"/>
              <w:rPr>
                <w:sz w:val="20"/>
                <w:szCs w:val="20"/>
                <w:color w:val="auto"/>
              </w:rPr>
            </w:pPr>
            <w:r>
              <w:rPr>
                <w:rFonts w:ascii="Arial" w:cs="Arial" w:eastAsia="Arial" w:hAnsi="Arial"/>
                <w:sz w:val="22"/>
                <w:szCs w:val="22"/>
                <w:color w:val="auto"/>
                <w:w w:val="89"/>
              </w:rPr>
              <w:t>Section 4.3.</w:t>
            </w:r>
          </w:p>
        </w:tc>
        <w:tc>
          <w:tcPr>
            <w:tcW w:w="4240" w:type="dxa"/>
            <w:vAlign w:val="bottom"/>
            <w:gridSpan w:val="20"/>
          </w:tcPr>
          <w:p>
            <w:pPr>
              <w:ind w:left="180"/>
              <w:spacing w:after="0"/>
              <w:rPr>
                <w:sz w:val="20"/>
                <w:szCs w:val="20"/>
                <w:color w:val="auto"/>
              </w:rPr>
            </w:pPr>
            <w:r>
              <w:rPr>
                <w:rFonts w:ascii="Arial" w:cs="Arial" w:eastAsia="Arial" w:hAnsi="Arial"/>
                <w:sz w:val="22"/>
                <w:szCs w:val="22"/>
                <w:color w:val="auto"/>
                <w:w w:val="87"/>
              </w:rPr>
              <w:t>Representations and Warranties of the Servicer</w:t>
            </w:r>
          </w:p>
        </w:tc>
        <w:tc>
          <w:tcPr>
            <w:tcW w:w="30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22"/>
                <w:szCs w:val="22"/>
                <w:color w:val="auto"/>
                <w:w w:val="98"/>
              </w:rPr>
              <w:t>51 Section 4.4.</w:t>
            </w:r>
          </w:p>
        </w:tc>
        <w:tc>
          <w:tcPr>
            <w:tcW w:w="3040" w:type="dxa"/>
            <w:vAlign w:val="bottom"/>
            <w:gridSpan w:val="17"/>
          </w:tcPr>
          <w:p>
            <w:pPr>
              <w:jc w:val="right"/>
              <w:ind w:right="20"/>
              <w:spacing w:after="0"/>
              <w:rPr>
                <w:sz w:val="20"/>
                <w:szCs w:val="20"/>
                <w:color w:val="auto"/>
              </w:rPr>
            </w:pPr>
            <w:r>
              <w:rPr>
                <w:rFonts w:ascii="Arial" w:cs="Arial" w:eastAsia="Arial" w:hAnsi="Arial"/>
                <w:sz w:val="22"/>
                <w:szCs w:val="22"/>
                <w:color w:val="auto"/>
                <w:w w:val="88"/>
              </w:rPr>
              <w:t>Representations and Warranties of</w:t>
            </w:r>
          </w:p>
        </w:tc>
      </w:tr>
      <w:tr>
        <w:trPr>
          <w:trHeight w:val="331"/>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8"/>
          </w:tcPr>
          <w:p>
            <w:pPr>
              <w:ind w:left="140"/>
              <w:spacing w:after="0"/>
              <w:rPr>
                <w:sz w:val="20"/>
                <w:szCs w:val="20"/>
                <w:color w:val="auto"/>
              </w:rPr>
            </w:pPr>
            <w:r>
              <w:rPr>
                <w:rFonts w:ascii="Arial" w:cs="Arial" w:eastAsia="Arial" w:hAnsi="Arial"/>
                <w:sz w:val="22"/>
                <w:szCs w:val="22"/>
                <w:color w:val="auto"/>
              </w:rPr>
              <w:t>the Backup Servicer</w:t>
            </w:r>
          </w:p>
        </w:tc>
        <w:tc>
          <w:tcPr>
            <w:tcW w:w="5420" w:type="dxa"/>
            <w:vAlign w:val="bottom"/>
            <w:gridSpan w:val="30"/>
          </w:tcPr>
          <w:p>
            <w:pPr>
              <w:ind w:left="20"/>
              <w:spacing w:after="0"/>
              <w:rPr>
                <w:sz w:val="20"/>
                <w:szCs w:val="20"/>
                <w:color w:val="auto"/>
              </w:rPr>
            </w:pPr>
            <w:r>
              <w:rPr>
                <w:rFonts w:ascii="Arial" w:cs="Arial" w:eastAsia="Arial" w:hAnsi="Arial"/>
                <w:sz w:val="22"/>
                <w:szCs w:val="22"/>
                <w:color w:val="auto"/>
                <w:w w:val="93"/>
              </w:rPr>
              <w:t>53 Section 4.5.  Breach of Representations and Warranties</w:t>
            </w:r>
          </w:p>
        </w:tc>
        <w:tc>
          <w:tcPr>
            <w:tcW w:w="20" w:type="dxa"/>
            <w:vAlign w:val="bottom"/>
          </w:tcPr>
          <w:p>
            <w:pPr>
              <w:spacing w:after="0"/>
              <w:rPr>
                <w:sz w:val="24"/>
                <w:szCs w:val="24"/>
                <w:color w:val="auto"/>
              </w:rPr>
            </w:pPr>
          </w:p>
        </w:tc>
        <w:tc>
          <w:tcPr>
            <w:tcW w:w="1440" w:type="dxa"/>
            <w:vAlign w:val="bottom"/>
            <w:gridSpan w:val="7"/>
          </w:tcPr>
          <w:p>
            <w:pPr>
              <w:spacing w:after="0"/>
              <w:rPr>
                <w:sz w:val="20"/>
                <w:szCs w:val="20"/>
                <w:color w:val="auto"/>
              </w:rPr>
            </w:pPr>
            <w:r>
              <w:rPr>
                <w:rFonts w:ascii="Arial" w:cs="Arial" w:eastAsia="Arial" w:hAnsi="Arial"/>
                <w:sz w:val="22"/>
                <w:szCs w:val="22"/>
                <w:color w:val="auto"/>
                <w:w w:val="98"/>
              </w:rPr>
              <w:t>53 ARTICLE V</w:t>
            </w:r>
          </w:p>
        </w:tc>
        <w:tc>
          <w:tcPr>
            <w:tcW w:w="1180" w:type="dxa"/>
            <w:vAlign w:val="bottom"/>
            <w:gridSpan w:val="6"/>
          </w:tcPr>
          <w:p>
            <w:pPr>
              <w:jc w:val="right"/>
              <w:ind w:right="20"/>
              <w:spacing w:after="0"/>
              <w:rPr>
                <w:sz w:val="20"/>
                <w:szCs w:val="20"/>
                <w:color w:val="auto"/>
              </w:rPr>
            </w:pPr>
            <w:r>
              <w:rPr>
                <w:rFonts w:ascii="Arial" w:cs="Arial" w:eastAsia="Arial" w:hAnsi="Arial"/>
                <w:sz w:val="22"/>
                <w:szCs w:val="22"/>
                <w:color w:val="auto"/>
              </w:rPr>
              <w:t>GENERAL</w:t>
            </w:r>
          </w:p>
        </w:tc>
      </w:tr>
      <w:tr>
        <w:trPr>
          <w:trHeight w:val="331"/>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5"/>
          </w:tcPr>
          <w:p>
            <w:pPr>
              <w:ind w:left="260"/>
              <w:spacing w:after="0"/>
              <w:rPr>
                <w:sz w:val="20"/>
                <w:szCs w:val="20"/>
                <w:color w:val="auto"/>
              </w:rPr>
            </w:pPr>
            <w:r>
              <w:rPr>
                <w:rFonts w:ascii="Arial" w:cs="Arial" w:eastAsia="Arial" w:hAnsi="Arial"/>
                <w:sz w:val="22"/>
                <w:szCs w:val="22"/>
                <w:color w:val="auto"/>
                <w:w w:val="94"/>
              </w:rPr>
              <w:t>COVENANTS</w:t>
            </w:r>
          </w:p>
        </w:tc>
        <w:tc>
          <w:tcPr>
            <w:tcW w:w="380" w:type="dxa"/>
            <w:vAlign w:val="bottom"/>
            <w:gridSpan w:val="3"/>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2"/>
                <w:szCs w:val="22"/>
                <w:color w:val="auto"/>
              </w:rPr>
              <w:t>55</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331"/>
        </w:trPr>
        <w:tc>
          <w:tcPr>
            <w:tcW w:w="540" w:type="dxa"/>
            <w:vAlign w:val="bottom"/>
          </w:tcPr>
          <w:p>
            <w:pPr>
              <w:spacing w:after="0"/>
              <w:rPr>
                <w:sz w:val="24"/>
                <w:szCs w:val="24"/>
                <w:color w:val="auto"/>
              </w:rPr>
            </w:pPr>
          </w:p>
        </w:tc>
        <w:tc>
          <w:tcPr>
            <w:tcW w:w="1200" w:type="dxa"/>
            <w:vAlign w:val="bottom"/>
            <w:gridSpan w:val="6"/>
          </w:tcPr>
          <w:p>
            <w:pPr>
              <w:ind w:left="100"/>
              <w:spacing w:after="0"/>
              <w:rPr>
                <w:sz w:val="20"/>
                <w:szCs w:val="20"/>
                <w:color w:val="auto"/>
              </w:rPr>
            </w:pPr>
            <w:r>
              <w:rPr>
                <w:rFonts w:ascii="Arial" w:cs="Arial" w:eastAsia="Arial" w:hAnsi="Arial"/>
                <w:sz w:val="22"/>
                <w:szCs w:val="22"/>
                <w:color w:val="auto"/>
                <w:w w:val="92"/>
              </w:rPr>
              <w:t>Section 5.1.</w:t>
            </w:r>
          </w:p>
        </w:tc>
        <w:tc>
          <w:tcPr>
            <w:tcW w:w="3540" w:type="dxa"/>
            <w:vAlign w:val="bottom"/>
            <w:gridSpan w:val="15"/>
          </w:tcPr>
          <w:p>
            <w:pPr>
              <w:ind w:left="120"/>
              <w:spacing w:after="0"/>
              <w:rPr>
                <w:sz w:val="20"/>
                <w:szCs w:val="20"/>
                <w:color w:val="auto"/>
              </w:rPr>
            </w:pPr>
            <w:r>
              <w:rPr>
                <w:rFonts w:ascii="Arial" w:cs="Arial" w:eastAsia="Arial" w:hAnsi="Arial"/>
                <w:sz w:val="22"/>
                <w:szCs w:val="22"/>
                <w:color w:val="auto"/>
                <w:w w:val="91"/>
              </w:rPr>
              <w:t>Affirmative Covenants of the Borrower</w:t>
            </w:r>
          </w:p>
        </w:tc>
        <w:tc>
          <w:tcPr>
            <w:tcW w:w="1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26"/>
          </w:tcPr>
          <w:p>
            <w:pPr>
              <w:jc w:val="right"/>
              <w:spacing w:after="0"/>
              <w:rPr>
                <w:sz w:val="20"/>
                <w:szCs w:val="20"/>
                <w:color w:val="auto"/>
              </w:rPr>
            </w:pPr>
            <w:r>
              <w:rPr>
                <w:rFonts w:ascii="Arial" w:cs="Arial" w:eastAsia="Arial" w:hAnsi="Arial"/>
                <w:sz w:val="22"/>
                <w:szCs w:val="22"/>
                <w:color w:val="auto"/>
                <w:w w:val="91"/>
              </w:rPr>
              <w:t>55 Section 5.2.  Negative Covenants of the Borrower</w:t>
            </w:r>
          </w:p>
        </w:tc>
        <w:tc>
          <w:tcPr>
            <w:tcW w:w="1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22"/>
                <w:szCs w:val="22"/>
                <w:color w:val="auto"/>
              </w:rPr>
              <w:t>59</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331"/>
        </w:trPr>
        <w:tc>
          <w:tcPr>
            <w:tcW w:w="8320" w:type="dxa"/>
            <w:vAlign w:val="bottom"/>
            <w:gridSpan w:val="40"/>
          </w:tcPr>
          <w:p>
            <w:pPr>
              <w:spacing w:after="0"/>
              <w:rPr>
                <w:sz w:val="20"/>
                <w:szCs w:val="20"/>
                <w:color w:val="auto"/>
              </w:rPr>
            </w:pPr>
            <w:r>
              <w:rPr>
                <w:rFonts w:ascii="Arial" w:cs="Arial" w:eastAsia="Arial" w:hAnsi="Arial"/>
                <w:sz w:val="22"/>
                <w:szCs w:val="22"/>
                <w:color w:val="auto"/>
                <w:w w:val="92"/>
              </w:rPr>
              <w:t>Section 5.3.  Covenant of the Borrower Relating to the Hedging Agreement   64 Section 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12"/>
          </w:tcPr>
          <w:p>
            <w:pPr>
              <w:jc w:val="right"/>
              <w:ind w:right="20"/>
              <w:spacing w:after="0"/>
              <w:rPr>
                <w:sz w:val="20"/>
                <w:szCs w:val="20"/>
                <w:color w:val="auto"/>
              </w:rPr>
            </w:pPr>
            <w:r>
              <w:rPr>
                <w:rFonts w:ascii="Arial" w:cs="Arial" w:eastAsia="Arial" w:hAnsi="Arial"/>
                <w:sz w:val="22"/>
                <w:szCs w:val="22"/>
                <w:color w:val="auto"/>
                <w:w w:val="91"/>
              </w:rPr>
              <w:t>Affirmative Covenants of the</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31"/>
        </w:trPr>
        <w:tc>
          <w:tcPr>
            <w:tcW w:w="54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22"/>
                <w:szCs w:val="22"/>
                <w:color w:val="auto"/>
                <w:w w:val="86"/>
              </w:rPr>
              <w:t>Servicer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22"/>
                <w:szCs w:val="22"/>
                <w:color w:val="auto"/>
                <w:w w:val="89"/>
              </w:rPr>
              <w:t>64 Section 5.5.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17"/>
          </w:tcPr>
          <w:p>
            <w:pPr>
              <w:ind w:left="60"/>
              <w:spacing w:after="0"/>
              <w:rPr>
                <w:sz w:val="20"/>
                <w:szCs w:val="20"/>
                <w:color w:val="auto"/>
              </w:rPr>
            </w:pPr>
            <w:r>
              <w:rPr>
                <w:rFonts w:ascii="Arial" w:cs="Arial" w:eastAsia="Arial" w:hAnsi="Arial"/>
                <w:sz w:val="22"/>
                <w:szCs w:val="22"/>
                <w:color w:val="auto"/>
                <w:w w:val="91"/>
              </w:rPr>
              <w:t>Negative Covenants of the Servicer</w:t>
            </w:r>
          </w:p>
        </w:tc>
        <w:tc>
          <w:tcPr>
            <w:tcW w:w="1640" w:type="dxa"/>
            <w:vAlign w:val="bottom"/>
            <w:gridSpan w:val="8"/>
          </w:tcPr>
          <w:p>
            <w:pPr>
              <w:ind w:left="140"/>
              <w:spacing w:after="0"/>
              <w:rPr>
                <w:sz w:val="20"/>
                <w:szCs w:val="20"/>
                <w:color w:val="auto"/>
              </w:rPr>
            </w:pPr>
            <w:r>
              <w:rPr>
                <w:rFonts w:ascii="Arial" w:cs="Arial" w:eastAsia="Arial" w:hAnsi="Arial"/>
                <w:sz w:val="22"/>
                <w:szCs w:val="22"/>
                <w:color w:val="auto"/>
              </w:rPr>
              <w:t>66 Section 5.6.</w:t>
            </w:r>
          </w:p>
        </w:tc>
        <w:tc>
          <w:tcPr>
            <w:tcW w:w="3040" w:type="dxa"/>
            <w:vAlign w:val="bottom"/>
            <w:gridSpan w:val="17"/>
          </w:tcPr>
          <w:p>
            <w:pPr>
              <w:jc w:val="right"/>
              <w:ind w:right="20"/>
              <w:spacing w:after="0"/>
              <w:rPr>
                <w:sz w:val="20"/>
                <w:szCs w:val="20"/>
                <w:color w:val="auto"/>
              </w:rPr>
            </w:pPr>
            <w:r>
              <w:rPr>
                <w:rFonts w:ascii="Arial" w:cs="Arial" w:eastAsia="Arial" w:hAnsi="Arial"/>
                <w:sz w:val="22"/>
                <w:szCs w:val="22"/>
                <w:color w:val="auto"/>
                <w:w w:val="88"/>
              </w:rPr>
              <w:t>Negative Covenants of the Backup</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31"/>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12"/>
          </w:tcPr>
          <w:p>
            <w:pPr>
              <w:ind w:left="620"/>
              <w:spacing w:after="0"/>
              <w:rPr>
                <w:sz w:val="20"/>
                <w:szCs w:val="20"/>
                <w:color w:val="auto"/>
              </w:rPr>
            </w:pPr>
            <w:r>
              <w:rPr>
                <w:rFonts w:ascii="Arial" w:cs="Arial" w:eastAsia="Arial" w:hAnsi="Arial"/>
                <w:sz w:val="22"/>
                <w:szCs w:val="22"/>
                <w:color w:val="auto"/>
              </w:rPr>
              <w:t>Servicer   68 ARTICLE VI</w:t>
            </w:r>
          </w:p>
        </w:tc>
        <w:tc>
          <w:tcPr>
            <w:tcW w:w="20" w:type="dxa"/>
            <w:vAlign w:val="bottom"/>
          </w:tcPr>
          <w:p>
            <w:pPr>
              <w:spacing w:after="0"/>
              <w:rPr>
                <w:sz w:val="24"/>
                <w:szCs w:val="24"/>
                <w:color w:val="auto"/>
              </w:rPr>
            </w:pPr>
          </w:p>
        </w:tc>
        <w:tc>
          <w:tcPr>
            <w:tcW w:w="5620" w:type="dxa"/>
            <w:vAlign w:val="bottom"/>
            <w:gridSpan w:val="32"/>
          </w:tcPr>
          <w:p>
            <w:pPr>
              <w:spacing w:after="0"/>
              <w:rPr>
                <w:sz w:val="20"/>
                <w:szCs w:val="20"/>
                <w:color w:val="auto"/>
              </w:rPr>
            </w:pPr>
            <w:r>
              <w:rPr>
                <w:rFonts w:ascii="Arial" w:cs="Arial" w:eastAsia="Arial" w:hAnsi="Arial"/>
                <w:sz w:val="22"/>
                <w:szCs w:val="22"/>
                <w:color w:val="auto"/>
              </w:rPr>
              <w:t>ADMINISTRATION AND SERVICING OF CONTRACTS</w:t>
            </w:r>
          </w:p>
        </w:tc>
        <w:tc>
          <w:tcPr>
            <w:tcW w:w="340" w:type="dxa"/>
            <w:vAlign w:val="bottom"/>
            <w:gridSpan w:val="2"/>
          </w:tcPr>
          <w:p>
            <w:pPr>
              <w:jc w:val="right"/>
              <w:ind w:right="20"/>
              <w:spacing w:after="0"/>
              <w:rPr>
                <w:sz w:val="20"/>
                <w:szCs w:val="20"/>
                <w:color w:val="auto"/>
              </w:rPr>
            </w:pPr>
            <w:r>
              <w:rPr>
                <w:rFonts w:ascii="Arial" w:cs="Arial" w:eastAsia="Arial" w:hAnsi="Arial"/>
                <w:sz w:val="22"/>
                <w:szCs w:val="22"/>
                <w:color w:val="auto"/>
              </w:rPr>
              <w:t>68</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331"/>
        </w:trPr>
        <w:tc>
          <w:tcPr>
            <w:tcW w:w="1740" w:type="dxa"/>
            <w:vAlign w:val="bottom"/>
            <w:gridSpan w:val="7"/>
          </w:tcPr>
          <w:p>
            <w:pPr>
              <w:ind w:left="540"/>
              <w:spacing w:after="0"/>
              <w:rPr>
                <w:sz w:val="20"/>
                <w:szCs w:val="20"/>
                <w:color w:val="auto"/>
              </w:rPr>
            </w:pPr>
            <w:r>
              <w:rPr>
                <w:rFonts w:ascii="Arial" w:cs="Arial" w:eastAsia="Arial" w:hAnsi="Arial"/>
                <w:sz w:val="22"/>
                <w:szCs w:val="22"/>
                <w:color w:val="auto"/>
              </w:rPr>
              <w:t>Section 6.1.</w:t>
            </w:r>
          </w:p>
        </w:tc>
        <w:tc>
          <w:tcPr>
            <w:tcW w:w="1160" w:type="dxa"/>
            <w:vAlign w:val="bottom"/>
            <w:gridSpan w:val="3"/>
          </w:tcPr>
          <w:p>
            <w:pPr>
              <w:ind w:left="120"/>
              <w:spacing w:after="0"/>
              <w:rPr>
                <w:sz w:val="20"/>
                <w:szCs w:val="20"/>
                <w:color w:val="auto"/>
              </w:rPr>
            </w:pPr>
            <w:r>
              <w:rPr>
                <w:rFonts w:ascii="Arial" w:cs="Arial" w:eastAsia="Arial" w:hAnsi="Arial"/>
                <w:sz w:val="22"/>
                <w:szCs w:val="22"/>
                <w:color w:val="auto"/>
              </w:rPr>
              <w:t>Servicing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5"/>
          </w:tcPr>
          <w:p>
            <w:pPr>
              <w:spacing w:after="0"/>
              <w:rPr>
                <w:sz w:val="20"/>
                <w:szCs w:val="20"/>
                <w:color w:val="auto"/>
              </w:rPr>
            </w:pPr>
            <w:r>
              <w:rPr>
                <w:rFonts w:ascii="Arial" w:cs="Arial" w:eastAsia="Arial" w:hAnsi="Arial"/>
                <w:sz w:val="22"/>
                <w:szCs w:val="22"/>
                <w:color w:val="auto"/>
                <w:w w:val="93"/>
              </w:rPr>
              <w:t>68 Section 6.2.   Duties of the Servicer and Custodian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9"/>
          </w:tcPr>
          <w:p>
            <w:pPr>
              <w:spacing w:after="0"/>
              <w:rPr>
                <w:sz w:val="20"/>
                <w:szCs w:val="20"/>
                <w:color w:val="auto"/>
              </w:rPr>
            </w:pPr>
            <w:r>
              <w:rPr>
                <w:rFonts w:ascii="Arial" w:cs="Arial" w:eastAsia="Arial" w:hAnsi="Arial"/>
                <w:sz w:val="22"/>
                <w:szCs w:val="22"/>
                <w:color w:val="auto"/>
              </w:rPr>
              <w:t>69 Section 6.3.</w:t>
            </w:r>
          </w:p>
        </w:tc>
        <w:tc>
          <w:tcPr>
            <w:tcW w:w="1180" w:type="dxa"/>
            <w:vAlign w:val="bottom"/>
            <w:gridSpan w:val="6"/>
          </w:tcPr>
          <w:p>
            <w:pPr>
              <w:jc w:val="right"/>
              <w:ind w:right="20"/>
              <w:spacing w:after="0"/>
              <w:rPr>
                <w:sz w:val="20"/>
                <w:szCs w:val="20"/>
                <w:color w:val="auto"/>
              </w:rPr>
            </w:pPr>
            <w:r>
              <w:rPr>
                <w:rFonts w:ascii="Arial" w:cs="Arial" w:eastAsia="Arial" w:hAnsi="Arial"/>
                <w:sz w:val="22"/>
                <w:szCs w:val="22"/>
                <w:color w:val="auto"/>
                <w:w w:val="99"/>
              </w:rPr>
              <w:t>Rights After</w:t>
            </w:r>
          </w:p>
        </w:tc>
      </w:tr>
      <w:tr>
        <w:trPr>
          <w:trHeight w:val="20"/>
        </w:trPr>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31"/>
        </w:trPr>
        <w:tc>
          <w:tcPr>
            <w:tcW w:w="3880" w:type="dxa"/>
            <w:vAlign w:val="bottom"/>
            <w:gridSpan w:val="16"/>
          </w:tcPr>
          <w:p>
            <w:pPr>
              <w:ind w:left="540"/>
              <w:spacing w:after="0"/>
              <w:rPr>
                <w:sz w:val="20"/>
                <w:szCs w:val="20"/>
                <w:color w:val="auto"/>
              </w:rPr>
            </w:pPr>
            <w:r>
              <w:rPr>
                <w:rFonts w:ascii="Arial" w:cs="Arial" w:eastAsia="Arial" w:hAnsi="Arial"/>
                <w:sz w:val="22"/>
                <w:szCs w:val="22"/>
                <w:color w:val="auto"/>
                <w:w w:val="98"/>
              </w:rPr>
              <w:t>Designation of Successor Servicer</w:t>
            </w:r>
          </w:p>
        </w:tc>
        <w:tc>
          <w:tcPr>
            <w:tcW w:w="1580" w:type="dxa"/>
            <w:vAlign w:val="bottom"/>
            <w:gridSpan w:val="8"/>
          </w:tcPr>
          <w:p>
            <w:pPr>
              <w:spacing w:after="0"/>
              <w:rPr>
                <w:sz w:val="20"/>
                <w:szCs w:val="20"/>
                <w:color w:val="auto"/>
              </w:rPr>
            </w:pPr>
            <w:r>
              <w:rPr>
                <w:rFonts w:ascii="Arial" w:cs="Arial" w:eastAsia="Arial" w:hAnsi="Arial"/>
                <w:sz w:val="22"/>
                <w:szCs w:val="22"/>
                <w:color w:val="auto"/>
              </w:rPr>
              <w:t>72 Section 6.4.</w:t>
            </w:r>
          </w:p>
        </w:tc>
        <w:tc>
          <w:tcPr>
            <w:tcW w:w="2860" w:type="dxa"/>
            <w:vAlign w:val="bottom"/>
            <w:gridSpan w:val="16"/>
          </w:tcPr>
          <w:p>
            <w:pPr>
              <w:ind w:left="20"/>
              <w:spacing w:after="0"/>
              <w:rPr>
                <w:sz w:val="20"/>
                <w:szCs w:val="20"/>
                <w:color w:val="auto"/>
              </w:rPr>
            </w:pPr>
            <w:r>
              <w:rPr>
                <w:rFonts w:ascii="Arial" w:cs="Arial" w:eastAsia="Arial" w:hAnsi="Arial"/>
                <w:sz w:val="22"/>
                <w:szCs w:val="22"/>
                <w:color w:val="auto"/>
                <w:w w:val="91"/>
              </w:rPr>
              <w:t>Responsibilities of the Borrower</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10"/>
          </w:tcPr>
          <w:p>
            <w:pPr>
              <w:jc w:val="right"/>
              <w:ind w:right="40"/>
              <w:spacing w:after="0"/>
              <w:rPr>
                <w:sz w:val="20"/>
                <w:szCs w:val="20"/>
                <w:color w:val="auto"/>
              </w:rPr>
            </w:pPr>
            <w:r>
              <w:rPr>
                <w:rFonts w:ascii="Arial" w:cs="Arial" w:eastAsia="Arial" w:hAnsi="Arial"/>
                <w:sz w:val="22"/>
                <w:szCs w:val="22"/>
                <w:color w:val="auto"/>
                <w:w w:val="92"/>
              </w:rPr>
              <w:t>73 Section 6.5.   Reports</w:t>
            </w:r>
          </w:p>
        </w:tc>
      </w:tr>
      <w:tr>
        <w:trPr>
          <w:trHeight w:val="331"/>
        </w:trPr>
        <w:tc>
          <w:tcPr>
            <w:tcW w:w="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Pr>
          <w:p>
            <w:pPr>
              <w:jc w:val="right"/>
              <w:ind w:right="52"/>
              <w:spacing w:after="0"/>
              <w:rPr>
                <w:sz w:val="20"/>
                <w:szCs w:val="20"/>
                <w:color w:val="auto"/>
              </w:rPr>
            </w:pPr>
            <w:r>
              <w:rPr>
                <w:rFonts w:ascii="Arial" w:cs="Arial" w:eastAsia="Arial" w:hAnsi="Arial"/>
                <w:sz w:val="22"/>
                <w:szCs w:val="22"/>
                <w:color w:val="auto"/>
                <w:w w:val="81"/>
              </w:rPr>
              <w:t>73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1740" w:type="dxa"/>
            <w:vAlign w:val="bottom"/>
            <w:gridSpan w:val="7"/>
          </w:tcPr>
          <w:p>
            <w:pPr>
              <w:ind w:left="540"/>
              <w:spacing w:after="0"/>
              <w:rPr>
                <w:sz w:val="20"/>
                <w:szCs w:val="20"/>
                <w:color w:val="auto"/>
              </w:rPr>
            </w:pPr>
            <w:r>
              <w:rPr>
                <w:rFonts w:ascii="Arial" w:cs="Arial" w:eastAsia="Arial" w:hAnsi="Arial"/>
                <w:sz w:val="22"/>
                <w:szCs w:val="22"/>
                <w:color w:val="auto"/>
              </w:rPr>
              <w:t>Section 6.6.</w:t>
            </w:r>
          </w:p>
        </w:tc>
        <w:tc>
          <w:tcPr>
            <w:tcW w:w="7540" w:type="dxa"/>
            <w:vAlign w:val="bottom"/>
            <w:gridSpan w:val="39"/>
          </w:tcPr>
          <w:p>
            <w:pPr>
              <w:ind w:left="40"/>
              <w:spacing w:after="0"/>
              <w:rPr>
                <w:sz w:val="20"/>
                <w:szCs w:val="20"/>
                <w:color w:val="auto"/>
              </w:rPr>
            </w:pPr>
            <w:r>
              <w:rPr>
                <w:rFonts w:ascii="Arial" w:cs="Arial" w:eastAsia="Arial" w:hAnsi="Arial"/>
                <w:sz w:val="22"/>
                <w:szCs w:val="22"/>
                <w:color w:val="auto"/>
                <w:w w:val="94"/>
              </w:rPr>
              <w:t>Additional Representations and Warranties of Credit Acceptance as Servicer   74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1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1740" w:type="dxa"/>
            <w:vAlign w:val="bottom"/>
            <w:gridSpan w:val="7"/>
          </w:tcPr>
          <w:p>
            <w:pPr>
              <w:ind w:left="540"/>
              <w:spacing w:after="0"/>
              <w:rPr>
                <w:sz w:val="20"/>
                <w:szCs w:val="20"/>
                <w:color w:val="auto"/>
              </w:rPr>
            </w:pPr>
            <w:r>
              <w:rPr>
                <w:rFonts w:ascii="Arial" w:cs="Arial" w:eastAsia="Arial" w:hAnsi="Arial"/>
                <w:sz w:val="22"/>
                <w:szCs w:val="22"/>
                <w:color w:val="auto"/>
              </w:rPr>
              <w:t>Section 6.7.</w:t>
            </w:r>
          </w:p>
        </w:tc>
        <w:tc>
          <w:tcPr>
            <w:tcW w:w="3240" w:type="dxa"/>
            <w:vAlign w:val="bottom"/>
            <w:gridSpan w:val="12"/>
          </w:tcPr>
          <w:p>
            <w:pPr>
              <w:ind w:left="160"/>
              <w:spacing w:after="0"/>
              <w:rPr>
                <w:sz w:val="20"/>
                <w:szCs w:val="20"/>
                <w:color w:val="auto"/>
              </w:rPr>
            </w:pPr>
            <w:r>
              <w:rPr>
                <w:rFonts w:ascii="Arial" w:cs="Arial" w:eastAsia="Arial" w:hAnsi="Arial"/>
                <w:sz w:val="22"/>
                <w:szCs w:val="22"/>
                <w:color w:val="auto"/>
              </w:rPr>
              <w:t>Establishment of the Accounts</w:t>
            </w:r>
          </w:p>
        </w:tc>
        <w:tc>
          <w:tcPr>
            <w:tcW w:w="5640" w:type="dxa"/>
            <w:vAlign w:val="bottom"/>
            <w:gridSpan w:val="33"/>
          </w:tcPr>
          <w:p>
            <w:pPr>
              <w:spacing w:after="0"/>
              <w:rPr>
                <w:sz w:val="20"/>
                <w:szCs w:val="20"/>
                <w:color w:val="auto"/>
              </w:rPr>
            </w:pPr>
            <w:r>
              <w:rPr>
                <w:rFonts w:ascii="Arial" w:cs="Arial" w:eastAsia="Arial" w:hAnsi="Arial"/>
                <w:sz w:val="22"/>
                <w:szCs w:val="22"/>
                <w:color w:val="auto"/>
                <w:w w:val="98"/>
              </w:rPr>
              <w:t>74 Section 6.8.   Payment of Certain Expenses by Servicer</w:t>
            </w:r>
          </w:p>
        </w:tc>
        <w:tc>
          <w:tcPr>
            <w:tcW w:w="340" w:type="dxa"/>
            <w:vAlign w:val="bottom"/>
            <w:gridSpan w:val="2"/>
          </w:tcPr>
          <w:p>
            <w:pPr>
              <w:jc w:val="right"/>
              <w:ind w:right="40"/>
              <w:spacing w:after="0"/>
              <w:rPr>
                <w:sz w:val="20"/>
                <w:szCs w:val="20"/>
                <w:color w:val="auto"/>
              </w:rPr>
            </w:pPr>
            <w:r>
              <w:rPr>
                <w:rFonts w:ascii="Arial" w:cs="Arial" w:eastAsia="Arial" w:hAnsi="Arial"/>
                <w:sz w:val="22"/>
                <w:szCs w:val="22"/>
                <w:color w:val="auto"/>
              </w:rPr>
              <w:t>75</w:t>
            </w:r>
          </w:p>
        </w:tc>
      </w:tr>
      <w:tr>
        <w:trPr>
          <w:trHeight w:val="20"/>
        </w:trPr>
        <w:tc>
          <w:tcPr>
            <w:tcW w:w="11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80" w:type="dxa"/>
            <w:vAlign w:val="bottom"/>
            <w:tcBorders>
              <w:right w:val="single" w:sz="8" w:color="auto"/>
            </w:tcBorders>
            <w:gridSpan w:val="1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Borders>
              <w:right w:val="single" w:sz="8" w:color="auto"/>
            </w:tcBorders>
            <w:gridSpan w:val="3"/>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31"/>
        </w:trPr>
        <w:tc>
          <w:tcPr>
            <w:tcW w:w="1740" w:type="dxa"/>
            <w:vAlign w:val="bottom"/>
            <w:gridSpan w:val="7"/>
          </w:tcPr>
          <w:p>
            <w:pPr>
              <w:ind w:left="540"/>
              <w:spacing w:after="0"/>
              <w:rPr>
                <w:sz w:val="20"/>
                <w:szCs w:val="20"/>
                <w:color w:val="auto"/>
              </w:rPr>
            </w:pPr>
            <w:r>
              <w:rPr>
                <w:rFonts w:ascii="Arial" w:cs="Arial" w:eastAsia="Arial" w:hAnsi="Arial"/>
                <w:sz w:val="22"/>
                <w:szCs w:val="22"/>
                <w:color w:val="auto"/>
              </w:rPr>
              <w:t>Section 6.9.</w:t>
            </w:r>
          </w:p>
        </w:tc>
        <w:tc>
          <w:tcPr>
            <w:tcW w:w="5460" w:type="dxa"/>
            <w:vAlign w:val="bottom"/>
            <w:gridSpan w:val="27"/>
          </w:tcPr>
          <w:p>
            <w:pPr>
              <w:ind w:left="160"/>
              <w:spacing w:after="0"/>
              <w:rPr>
                <w:sz w:val="20"/>
                <w:szCs w:val="20"/>
                <w:color w:val="auto"/>
              </w:rPr>
            </w:pPr>
            <w:r>
              <w:rPr>
                <w:rFonts w:ascii="Arial" w:cs="Arial" w:eastAsia="Arial" w:hAnsi="Arial"/>
                <w:sz w:val="22"/>
                <w:szCs w:val="22"/>
                <w:color w:val="auto"/>
                <w:w w:val="91"/>
              </w:rPr>
              <w:t>Annual Independent Public Accountant’s Servicing Reports</w:t>
            </w:r>
          </w:p>
        </w:tc>
        <w:tc>
          <w:tcPr>
            <w:tcW w:w="400" w:type="dxa"/>
            <w:vAlign w:val="bottom"/>
            <w:tcBorders>
              <w:bottom w:val="single" w:sz="8" w:color="auto"/>
            </w:tcBorders>
          </w:tcPr>
          <w:p>
            <w:pPr>
              <w:spacing w:after="0"/>
              <w:rPr>
                <w:sz w:val="24"/>
                <w:szCs w:val="24"/>
                <w:color w:val="auto"/>
              </w:rPr>
            </w:pPr>
          </w:p>
        </w:tc>
        <w:tc>
          <w:tcPr>
            <w:tcW w:w="3360" w:type="dxa"/>
            <w:vAlign w:val="bottom"/>
            <w:gridSpan w:val="19"/>
          </w:tcPr>
          <w:p>
            <w:pPr>
              <w:jc w:val="right"/>
              <w:ind w:right="20"/>
              <w:spacing w:after="0"/>
              <w:rPr>
                <w:sz w:val="20"/>
                <w:szCs w:val="20"/>
                <w:color w:val="auto"/>
              </w:rPr>
            </w:pPr>
            <w:r>
              <w:rPr>
                <w:rFonts w:ascii="Arial" w:cs="Arial" w:eastAsia="Arial" w:hAnsi="Arial"/>
                <w:sz w:val="22"/>
                <w:szCs w:val="22"/>
                <w:color w:val="auto"/>
                <w:w w:val="93"/>
              </w:rPr>
              <w:t>76 Section 6.10. The Servicer Not to</w:t>
            </w:r>
          </w:p>
        </w:tc>
      </w:tr>
      <w:tr>
        <w:trPr>
          <w:trHeight w:val="331"/>
        </w:trPr>
        <w:tc>
          <w:tcPr>
            <w:tcW w:w="1460" w:type="dxa"/>
            <w:vAlign w:val="bottom"/>
            <w:gridSpan w:val="5"/>
          </w:tcPr>
          <w:p>
            <w:pPr>
              <w:ind w:left="540"/>
              <w:spacing w:after="0"/>
              <w:rPr>
                <w:sz w:val="20"/>
                <w:szCs w:val="20"/>
                <w:color w:val="auto"/>
              </w:rPr>
            </w:pPr>
            <w:r>
              <w:rPr>
                <w:rFonts w:ascii="Arial" w:cs="Arial" w:eastAsia="Arial" w:hAnsi="Arial"/>
                <w:sz w:val="22"/>
                <w:szCs w:val="22"/>
                <w:color w:val="auto"/>
              </w:rPr>
              <w:t>Resign</w:t>
            </w:r>
          </w:p>
        </w:tc>
        <w:tc>
          <w:tcPr>
            <w:tcW w:w="4000" w:type="dxa"/>
            <w:vAlign w:val="bottom"/>
            <w:gridSpan w:val="19"/>
          </w:tcPr>
          <w:p>
            <w:pPr>
              <w:spacing w:after="0"/>
              <w:rPr>
                <w:sz w:val="20"/>
                <w:szCs w:val="20"/>
                <w:color w:val="auto"/>
              </w:rPr>
            </w:pPr>
            <w:r>
              <w:rPr>
                <w:rFonts w:ascii="Arial" w:cs="Arial" w:eastAsia="Arial" w:hAnsi="Arial"/>
                <w:sz w:val="22"/>
                <w:szCs w:val="22"/>
                <w:color w:val="auto"/>
                <w:w w:val="90"/>
              </w:rPr>
              <w:t>76 Section 6.11. Servicer Termination Events</w:t>
            </w:r>
          </w:p>
        </w:tc>
        <w:tc>
          <w:tcPr>
            <w:tcW w:w="300" w:type="dxa"/>
            <w:vAlign w:val="bottom"/>
          </w:tcPr>
          <w:p>
            <w:pPr>
              <w:spacing w:after="0"/>
              <w:rPr>
                <w:sz w:val="24"/>
                <w:szCs w:val="24"/>
                <w:color w:val="auto"/>
              </w:rPr>
            </w:pPr>
          </w:p>
        </w:tc>
        <w:tc>
          <w:tcPr>
            <w:tcW w:w="4860" w:type="dxa"/>
            <w:vAlign w:val="bottom"/>
            <w:gridSpan w:val="27"/>
          </w:tcPr>
          <w:p>
            <w:pPr>
              <w:ind w:left="20"/>
              <w:spacing w:after="0"/>
              <w:rPr>
                <w:sz w:val="20"/>
                <w:szCs w:val="20"/>
                <w:color w:val="auto"/>
              </w:rPr>
            </w:pPr>
            <w:r>
              <w:rPr>
                <w:rFonts w:ascii="Arial" w:cs="Arial" w:eastAsia="Arial" w:hAnsi="Arial"/>
                <w:sz w:val="22"/>
                <w:szCs w:val="22"/>
                <w:color w:val="auto"/>
                <w:w w:val="94"/>
              </w:rPr>
              <w:t>76 Section 6.12. Appointment of Successor Servicer</w:t>
            </w:r>
          </w:p>
        </w:tc>
        <w:tc>
          <w:tcPr>
            <w:tcW w:w="340" w:type="dxa"/>
            <w:vAlign w:val="bottom"/>
            <w:gridSpan w:val="2"/>
          </w:tcPr>
          <w:p>
            <w:pPr>
              <w:jc w:val="right"/>
              <w:ind w:right="20"/>
              <w:spacing w:after="0"/>
              <w:rPr>
                <w:sz w:val="20"/>
                <w:szCs w:val="20"/>
                <w:color w:val="auto"/>
              </w:rPr>
            </w:pPr>
            <w:r>
              <w:rPr>
                <w:rFonts w:ascii="Arial" w:cs="Arial" w:eastAsia="Arial" w:hAnsi="Arial"/>
                <w:sz w:val="22"/>
                <w:szCs w:val="22"/>
                <w:color w:val="auto"/>
              </w:rPr>
              <w:t>78</w:t>
            </w:r>
          </w:p>
        </w:tc>
      </w:tr>
      <w:tr>
        <w:trPr>
          <w:trHeight w:val="20"/>
        </w:trPr>
        <w:tc>
          <w:tcPr>
            <w:tcW w:w="1140" w:type="dxa"/>
            <w:vAlign w:val="bottom"/>
            <w:gridSpan w:val="3"/>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320" w:type="dxa"/>
            <w:vAlign w:val="bottom"/>
            <w:gridSpan w:val="1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31"/>
        </w:trPr>
        <w:tc>
          <w:tcPr>
            <w:tcW w:w="4980" w:type="dxa"/>
            <w:vAlign w:val="bottom"/>
            <w:gridSpan w:val="19"/>
          </w:tcPr>
          <w:p>
            <w:pPr>
              <w:ind w:left="540"/>
              <w:spacing w:after="0"/>
              <w:rPr>
                <w:sz w:val="20"/>
                <w:szCs w:val="20"/>
                <w:color w:val="auto"/>
              </w:rPr>
            </w:pPr>
            <w:r>
              <w:rPr>
                <w:rFonts w:ascii="Arial" w:cs="Arial" w:eastAsia="Arial" w:hAnsi="Arial"/>
                <w:sz w:val="22"/>
                <w:szCs w:val="22"/>
                <w:color w:val="auto"/>
                <w:w w:val="99"/>
              </w:rPr>
              <w:t>Section 6.13. Responsibilities of the Borrower</w:t>
            </w:r>
          </w:p>
        </w:tc>
        <w:tc>
          <w:tcPr>
            <w:tcW w:w="20" w:type="dxa"/>
            <w:vAlign w:val="bottom"/>
          </w:tcPr>
          <w:p>
            <w:pPr>
              <w:spacing w:after="0"/>
              <w:rPr>
                <w:sz w:val="24"/>
                <w:szCs w:val="24"/>
                <w:color w:val="auto"/>
              </w:rPr>
            </w:pPr>
          </w:p>
        </w:tc>
        <w:tc>
          <w:tcPr>
            <w:tcW w:w="4280" w:type="dxa"/>
            <w:vAlign w:val="bottom"/>
            <w:gridSpan w:val="26"/>
          </w:tcPr>
          <w:p>
            <w:pPr>
              <w:spacing w:after="0"/>
              <w:rPr>
                <w:sz w:val="20"/>
                <w:szCs w:val="20"/>
                <w:color w:val="auto"/>
              </w:rPr>
            </w:pPr>
            <w:r>
              <w:rPr>
                <w:rFonts w:ascii="Arial" w:cs="Arial" w:eastAsia="Arial" w:hAnsi="Arial"/>
                <w:sz w:val="22"/>
                <w:szCs w:val="22"/>
                <w:color w:val="auto"/>
                <w:w w:val="93"/>
              </w:rPr>
              <w:t>79 Section 6.14. Segregated Payment Account</w:t>
            </w:r>
          </w:p>
        </w:tc>
        <w:tc>
          <w:tcPr>
            <w:tcW w:w="1680" w:type="dxa"/>
            <w:vAlign w:val="bottom"/>
            <w:gridSpan w:val="8"/>
          </w:tcPr>
          <w:p>
            <w:pPr>
              <w:jc w:val="right"/>
              <w:ind w:right="20"/>
              <w:spacing w:after="0"/>
              <w:rPr>
                <w:sz w:val="20"/>
                <w:szCs w:val="20"/>
                <w:color w:val="auto"/>
              </w:rPr>
            </w:pPr>
            <w:r>
              <w:rPr>
                <w:rFonts w:ascii="Arial" w:cs="Arial" w:eastAsia="Arial" w:hAnsi="Arial"/>
                <w:sz w:val="22"/>
                <w:szCs w:val="22"/>
                <w:color w:val="auto"/>
              </w:rPr>
              <w:t>79 Section 6.15.</w:t>
            </w:r>
          </w:p>
        </w:tc>
      </w:tr>
      <w:tr>
        <w:trPr>
          <w:trHeight w:val="20"/>
        </w:trPr>
        <w:tc>
          <w:tcPr>
            <w:tcW w:w="4620" w:type="dxa"/>
            <w:vAlign w:val="bottom"/>
            <w:gridSpan w:val="17"/>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82"/>
        </w:trPr>
        <w:tc>
          <w:tcPr>
            <w:tcW w:w="6280" w:type="dxa"/>
            <w:vAlign w:val="bottom"/>
            <w:gridSpan w:val="29"/>
          </w:tcPr>
          <w:p>
            <w:pPr>
              <w:ind w:left="540"/>
              <w:spacing w:after="0"/>
              <w:rPr>
                <w:sz w:val="20"/>
                <w:szCs w:val="20"/>
                <w:color w:val="auto"/>
              </w:rPr>
            </w:pPr>
            <w:r>
              <w:rPr>
                <w:rFonts w:ascii="Arial" w:cs="Arial" w:eastAsia="Arial" w:hAnsi="Arial"/>
                <w:sz w:val="22"/>
                <w:szCs w:val="22"/>
                <w:color w:val="auto"/>
                <w:w w:val="93"/>
              </w:rPr>
              <w:t>Dealer Collections Purchase; Replacement of Dealer Loan with</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0"/>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12"/>
          </w:tcPr>
          <w:p>
            <w:pPr>
              <w:ind w:left="20"/>
              <w:spacing w:after="0"/>
              <w:rPr>
                <w:sz w:val="20"/>
                <w:szCs w:val="20"/>
                <w:color w:val="auto"/>
              </w:rPr>
            </w:pPr>
            <w:r>
              <w:rPr>
                <w:rFonts w:ascii="Arial" w:cs="Arial" w:eastAsia="Arial" w:hAnsi="Arial"/>
                <w:sz w:val="22"/>
                <w:szCs w:val="22"/>
                <w:color w:val="auto"/>
                <w:w w:val="89"/>
              </w:rPr>
              <w:t>Related Purchased Loans</w:t>
            </w:r>
          </w:p>
        </w:tc>
        <w:tc>
          <w:tcPr>
            <w:tcW w:w="340" w:type="dxa"/>
            <w:vAlign w:val="bottom"/>
            <w:gridSpan w:val="2"/>
          </w:tcPr>
          <w:p>
            <w:pPr>
              <w:jc w:val="right"/>
              <w:spacing w:after="0"/>
              <w:rPr>
                <w:sz w:val="20"/>
                <w:szCs w:val="20"/>
                <w:color w:val="auto"/>
              </w:rPr>
            </w:pPr>
            <w:r>
              <w:rPr>
                <w:rFonts w:ascii="Arial" w:cs="Arial" w:eastAsia="Arial" w:hAnsi="Arial"/>
                <w:sz w:val="22"/>
                <w:szCs w:val="22"/>
                <w:color w:val="auto"/>
              </w:rPr>
              <w:t>79</w:t>
            </w:r>
          </w:p>
        </w:tc>
      </w:tr>
      <w:tr>
        <w:trPr>
          <w:trHeight w:val="449"/>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7"/>
          </w:tcPr>
          <w:p>
            <w:pPr>
              <w:ind w:left="120"/>
              <w:spacing w:after="0"/>
              <w:rPr>
                <w:sz w:val="20"/>
                <w:szCs w:val="20"/>
                <w:color w:val="auto"/>
              </w:rPr>
            </w:pPr>
            <w:r>
              <w:rPr>
                <w:rFonts w:ascii="Arial" w:cs="Arial" w:eastAsia="Arial" w:hAnsi="Arial"/>
                <w:sz w:val="22"/>
                <w:szCs w:val="22"/>
                <w:color w:val="auto"/>
              </w:rPr>
              <w:t>ARTICLE VII</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gridSpan w:val="10"/>
          </w:tcPr>
          <w:p>
            <w:pPr>
              <w:jc w:val="right"/>
              <w:ind w:right="52"/>
              <w:spacing w:after="0"/>
              <w:rPr>
                <w:sz w:val="20"/>
                <w:szCs w:val="20"/>
                <w:color w:val="auto"/>
              </w:rPr>
            </w:pPr>
            <w:r>
              <w:rPr>
                <w:rFonts w:ascii="Arial" w:cs="Arial" w:eastAsia="Arial" w:hAnsi="Arial"/>
                <w:sz w:val="22"/>
                <w:szCs w:val="22"/>
                <w:color w:val="auto"/>
                <w:w w:val="98"/>
              </w:rPr>
              <w:t>BACKUP SERVICER</w:t>
            </w:r>
          </w:p>
        </w:tc>
        <w:tc>
          <w:tcPr>
            <w:tcW w:w="340" w:type="dxa"/>
            <w:vAlign w:val="bottom"/>
            <w:gridSpan w:val="2"/>
          </w:tcPr>
          <w:p>
            <w:pPr>
              <w:jc w:val="right"/>
              <w:ind w:right="20"/>
              <w:spacing w:after="0"/>
              <w:rPr>
                <w:sz w:val="20"/>
                <w:szCs w:val="20"/>
                <w:color w:val="auto"/>
              </w:rPr>
            </w:pPr>
            <w:r>
              <w:rPr>
                <w:rFonts w:ascii="Arial" w:cs="Arial" w:eastAsia="Arial" w:hAnsi="Arial"/>
                <w:sz w:val="22"/>
                <w:szCs w:val="22"/>
                <w:color w:val="auto"/>
              </w:rPr>
              <w:t>80</w:t>
            </w:r>
          </w:p>
        </w:tc>
      </w:tr>
      <w:tr>
        <w:trPr>
          <w:trHeight w:val="345"/>
        </w:trPr>
        <w:tc>
          <w:tcPr>
            <w:tcW w:w="1740" w:type="dxa"/>
            <w:vAlign w:val="bottom"/>
            <w:gridSpan w:val="7"/>
          </w:tcPr>
          <w:p>
            <w:pPr>
              <w:ind w:left="540"/>
              <w:spacing w:after="0"/>
              <w:rPr>
                <w:sz w:val="20"/>
                <w:szCs w:val="20"/>
                <w:color w:val="auto"/>
              </w:rPr>
            </w:pPr>
            <w:r>
              <w:rPr>
                <w:rFonts w:ascii="Arial" w:cs="Arial" w:eastAsia="Arial" w:hAnsi="Arial"/>
                <w:sz w:val="22"/>
                <w:szCs w:val="22"/>
                <w:color w:val="auto"/>
              </w:rPr>
              <w:t>Section 7.1.</w:t>
            </w:r>
          </w:p>
        </w:tc>
        <w:tc>
          <w:tcPr>
            <w:tcW w:w="3140" w:type="dxa"/>
            <w:vAlign w:val="bottom"/>
            <w:gridSpan w:val="11"/>
          </w:tcPr>
          <w:p>
            <w:pPr>
              <w:ind w:left="40"/>
              <w:spacing w:after="0"/>
              <w:rPr>
                <w:sz w:val="20"/>
                <w:szCs w:val="20"/>
                <w:color w:val="auto"/>
              </w:rPr>
            </w:pPr>
            <w:r>
              <w:rPr>
                <w:rFonts w:ascii="Arial" w:cs="Arial" w:eastAsia="Arial" w:hAnsi="Arial"/>
                <w:sz w:val="22"/>
                <w:szCs w:val="22"/>
                <w:color w:val="auto"/>
                <w:w w:val="89"/>
              </w:rPr>
              <w:t>Designation of the Backup Servicer</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gridSpan w:val="2"/>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22"/>
                <w:szCs w:val="22"/>
                <w:color w:val="auto"/>
                <w:w w:val="81"/>
              </w:rPr>
              <w:t>80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960"/>
          </w:cols>
          <w:pgMar w:left="520" w:top="1084" w:right="419" w:bottom="1440" w:gutter="0" w:footer="0" w:header="0"/>
        </w:sectPr>
      </w:pPr>
    </w:p>
    <w:bookmarkStart w:id="265" w:name="page266"/>
    <w:bookmarkEnd w:id="265"/>
    <w:p>
      <w:pPr>
        <w:jc w:val="center"/>
        <w:ind w:right="80"/>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(continued)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22"/>
                <w:szCs w:val="22"/>
                <w:b w:val="1"/>
                <w:bCs w:val="1"/>
                <w:color w:val="auto"/>
                <w:w w:val="79"/>
              </w:rPr>
              <w:t>Page</w:t>
            </w:r>
          </w:p>
        </w:tc>
      </w:tr>
      <w:tr>
        <w:trPr>
          <w:trHeight w:val="695"/>
        </w:trPr>
        <w:tc>
          <w:tcPr>
            <w:tcW w:w="1900" w:type="dxa"/>
            <w:vAlign w:val="bottom"/>
          </w:tcPr>
          <w:p>
            <w:pPr>
              <w:ind w:left="840"/>
              <w:spacing w:after="0"/>
              <w:rPr>
                <w:sz w:val="20"/>
                <w:szCs w:val="20"/>
                <w:color w:val="auto"/>
              </w:rPr>
            </w:pPr>
            <w:r>
              <w:rPr>
                <w:rFonts w:ascii="Arial" w:cs="Arial" w:eastAsia="Arial" w:hAnsi="Arial"/>
                <w:sz w:val="22"/>
                <w:szCs w:val="22"/>
                <w:color w:val="auto"/>
                <w:w w:val="89"/>
              </w:rPr>
              <w:t>Section 7.2.</w:t>
            </w:r>
          </w:p>
        </w:tc>
        <w:tc>
          <w:tcPr>
            <w:tcW w:w="2780" w:type="dxa"/>
            <w:vAlign w:val="bottom"/>
            <w:gridSpan w:val="12"/>
          </w:tcPr>
          <w:p>
            <w:pPr>
              <w:jc w:val="center"/>
              <w:ind w:left="72"/>
              <w:spacing w:after="0"/>
              <w:rPr>
                <w:sz w:val="20"/>
                <w:szCs w:val="20"/>
                <w:color w:val="auto"/>
              </w:rPr>
            </w:pPr>
            <w:r>
              <w:rPr>
                <w:rFonts w:ascii="Arial" w:cs="Arial" w:eastAsia="Arial" w:hAnsi="Arial"/>
                <w:sz w:val="22"/>
                <w:szCs w:val="22"/>
                <w:color w:val="auto"/>
                <w:w w:val="89"/>
              </w:rPr>
              <w:t>Duties of the Backup Servicer</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9"/>
          </w:tcPr>
          <w:p>
            <w:pPr>
              <w:spacing w:after="0"/>
              <w:rPr>
                <w:sz w:val="20"/>
                <w:szCs w:val="20"/>
                <w:color w:val="auto"/>
              </w:rPr>
            </w:pPr>
            <w:r>
              <w:rPr>
                <w:rFonts w:ascii="Arial" w:cs="Arial" w:eastAsia="Arial" w:hAnsi="Arial"/>
                <w:sz w:val="22"/>
                <w:szCs w:val="22"/>
                <w:color w:val="auto"/>
                <w:w w:val="99"/>
              </w:rPr>
              <w:t>80 Section 7.3.</w:t>
            </w:r>
          </w:p>
        </w:tc>
        <w:tc>
          <w:tcPr>
            <w:tcW w:w="3180" w:type="dxa"/>
            <w:vAlign w:val="bottom"/>
            <w:gridSpan w:val="13"/>
          </w:tcPr>
          <w:p>
            <w:pPr>
              <w:jc w:val="right"/>
              <w:ind w:right="300"/>
              <w:spacing w:after="0"/>
              <w:rPr>
                <w:sz w:val="20"/>
                <w:szCs w:val="20"/>
                <w:color w:val="auto"/>
              </w:rPr>
            </w:pPr>
            <w:r>
              <w:rPr>
                <w:rFonts w:ascii="Arial" w:cs="Arial" w:eastAsia="Arial" w:hAnsi="Arial"/>
                <w:sz w:val="22"/>
                <w:szCs w:val="22"/>
                <w:color w:val="auto"/>
                <w:w w:val="89"/>
              </w:rPr>
              <w:t>Backup Servicing Compensation</w:t>
            </w:r>
          </w:p>
        </w:tc>
        <w:tc>
          <w:tcPr>
            <w:tcW w:w="1140" w:type="dxa"/>
            <w:vAlign w:val="bottom"/>
            <w:gridSpan w:val="6"/>
          </w:tcPr>
          <w:p>
            <w:pPr>
              <w:jc w:val="right"/>
              <w:spacing w:after="0"/>
              <w:rPr>
                <w:sz w:val="20"/>
                <w:szCs w:val="20"/>
                <w:color w:val="auto"/>
              </w:rPr>
            </w:pPr>
            <w:r>
              <w:rPr>
                <w:rFonts w:ascii="Arial" w:cs="Arial" w:eastAsia="Arial" w:hAnsi="Arial"/>
                <w:sz w:val="22"/>
                <w:szCs w:val="22"/>
                <w:color w:val="auto"/>
                <w:w w:val="90"/>
              </w:rPr>
              <w:t>80 ARTICLE</w:t>
            </w:r>
          </w:p>
        </w:tc>
      </w:tr>
      <w:tr>
        <w:trPr>
          <w:trHeight w:val="20"/>
        </w:trPr>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2"/>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ind w:left="400"/>
              <w:spacing w:after="0"/>
              <w:rPr>
                <w:sz w:val="20"/>
                <w:szCs w:val="20"/>
                <w:color w:val="auto"/>
              </w:rPr>
            </w:pPr>
            <w:r>
              <w:rPr>
                <w:rFonts w:ascii="Arial" w:cs="Arial" w:eastAsia="Arial" w:hAnsi="Arial"/>
                <w:sz w:val="22"/>
                <w:szCs w:val="22"/>
                <w:color w:val="auto"/>
              </w:rPr>
              <w:t>VIII</w:t>
            </w:r>
          </w:p>
        </w:tc>
        <w:tc>
          <w:tcPr>
            <w:tcW w:w="1340" w:type="dxa"/>
            <w:vAlign w:val="bottom"/>
            <w:gridSpan w:val="5"/>
          </w:tcPr>
          <w:p>
            <w:pPr>
              <w:jc w:val="right"/>
              <w:ind w:right="112"/>
              <w:spacing w:after="0"/>
              <w:rPr>
                <w:sz w:val="20"/>
                <w:szCs w:val="20"/>
                <w:color w:val="auto"/>
              </w:rPr>
            </w:pPr>
            <w:r>
              <w:rPr>
                <w:rFonts w:ascii="Arial" w:cs="Arial" w:eastAsia="Arial" w:hAnsi="Arial"/>
                <w:sz w:val="22"/>
                <w:szCs w:val="22"/>
                <w:color w:val="auto"/>
              </w:rPr>
              <w:t>[Reserved]</w:t>
            </w: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22"/>
                <w:szCs w:val="22"/>
                <w:color w:val="auto"/>
              </w:rPr>
              <w:t>81</w:t>
            </w:r>
          </w:p>
        </w:tc>
      </w:tr>
      <w:tr>
        <w:trPr>
          <w:trHeight w:val="260"/>
        </w:trPr>
        <w:tc>
          <w:tcPr>
            <w:tcW w:w="1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8"/>
          </w:tcPr>
          <w:p>
            <w:pPr>
              <w:ind w:left="80"/>
              <w:spacing w:after="0"/>
              <w:rPr>
                <w:sz w:val="20"/>
                <w:szCs w:val="20"/>
                <w:color w:val="auto"/>
              </w:rPr>
            </w:pPr>
            <w:r>
              <w:rPr>
                <w:rFonts w:ascii="Arial" w:cs="Arial" w:eastAsia="Arial" w:hAnsi="Arial"/>
                <w:sz w:val="22"/>
                <w:szCs w:val="22"/>
                <w:color w:val="auto"/>
              </w:rPr>
              <w:t>ARTICLE IX</w:t>
            </w:r>
          </w:p>
        </w:tc>
        <w:tc>
          <w:tcPr>
            <w:tcW w:w="2320" w:type="dxa"/>
            <w:vAlign w:val="bottom"/>
            <w:gridSpan w:val="7"/>
          </w:tcPr>
          <w:p>
            <w:pPr>
              <w:jc w:val="right"/>
              <w:spacing w:after="0"/>
              <w:rPr>
                <w:sz w:val="20"/>
                <w:szCs w:val="20"/>
                <w:color w:val="auto"/>
              </w:rPr>
            </w:pPr>
            <w:r>
              <w:rPr>
                <w:rFonts w:ascii="Arial" w:cs="Arial" w:eastAsia="Arial" w:hAnsi="Arial"/>
                <w:sz w:val="22"/>
                <w:szCs w:val="22"/>
                <w:color w:val="auto"/>
              </w:rPr>
              <w:t>SECURITY INTEREST</w:t>
            </w:r>
          </w:p>
        </w:tc>
        <w:tc>
          <w:tcPr>
            <w:tcW w:w="260" w:type="dxa"/>
            <w:vAlign w:val="bottom"/>
            <w:tcBorders>
              <w:bottom w:val="single" w:sz="8" w:color="auto"/>
            </w:tcBorders>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22"/>
                <w:szCs w:val="22"/>
                <w:color w:val="auto"/>
                <w:w w:val="81"/>
              </w:rPr>
              <w:t>81</w:t>
            </w:r>
          </w:p>
        </w:tc>
      </w:tr>
      <w:tr>
        <w:trPr>
          <w:trHeight w:val="385"/>
        </w:trPr>
        <w:tc>
          <w:tcPr>
            <w:tcW w:w="1900" w:type="dxa"/>
            <w:vAlign w:val="bottom"/>
          </w:tcPr>
          <w:p>
            <w:pPr>
              <w:ind w:left="700"/>
              <w:spacing w:after="0"/>
              <w:rPr>
                <w:sz w:val="20"/>
                <w:szCs w:val="20"/>
                <w:color w:val="auto"/>
              </w:rPr>
            </w:pPr>
            <w:r>
              <w:rPr>
                <w:rFonts w:ascii="Arial" w:cs="Arial" w:eastAsia="Arial" w:hAnsi="Arial"/>
                <w:sz w:val="22"/>
                <w:szCs w:val="22"/>
                <w:color w:val="auto"/>
              </w:rPr>
              <w:t>Section 9.1.</w:t>
            </w:r>
          </w:p>
        </w:tc>
        <w:tc>
          <w:tcPr>
            <w:tcW w:w="1960" w:type="dxa"/>
            <w:vAlign w:val="bottom"/>
            <w:gridSpan w:val="7"/>
          </w:tcPr>
          <w:p>
            <w:pPr>
              <w:ind w:left="40"/>
              <w:spacing w:after="0"/>
              <w:rPr>
                <w:sz w:val="20"/>
                <w:szCs w:val="20"/>
                <w:color w:val="auto"/>
              </w:rPr>
            </w:pPr>
            <w:r>
              <w:rPr>
                <w:rFonts w:ascii="Arial" w:cs="Arial" w:eastAsia="Arial" w:hAnsi="Arial"/>
                <w:sz w:val="22"/>
                <w:szCs w:val="22"/>
                <w:color w:val="auto"/>
                <w:w w:val="98"/>
              </w:rPr>
              <w:t>Security Agreement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8"/>
          </w:tcPr>
          <w:p>
            <w:pPr>
              <w:spacing w:after="0"/>
              <w:rPr>
                <w:sz w:val="20"/>
                <w:szCs w:val="20"/>
                <w:color w:val="auto"/>
              </w:rPr>
            </w:pPr>
            <w:r>
              <w:rPr>
                <w:rFonts w:ascii="Arial" w:cs="Arial" w:eastAsia="Arial" w:hAnsi="Arial"/>
                <w:sz w:val="22"/>
                <w:szCs w:val="22"/>
                <w:color w:val="auto"/>
                <w:w w:val="99"/>
              </w:rPr>
              <w:t>81 Section 9.2.</w:t>
            </w:r>
          </w:p>
        </w:tc>
        <w:tc>
          <w:tcPr>
            <w:tcW w:w="1640" w:type="dxa"/>
            <w:vAlign w:val="bottom"/>
            <w:gridSpan w:val="10"/>
          </w:tcPr>
          <w:p>
            <w:pPr>
              <w:ind w:left="20"/>
              <w:spacing w:after="0"/>
              <w:rPr>
                <w:sz w:val="20"/>
                <w:szCs w:val="20"/>
                <w:color w:val="auto"/>
              </w:rPr>
            </w:pPr>
            <w:r>
              <w:rPr>
                <w:rFonts w:ascii="Arial" w:cs="Arial" w:eastAsia="Arial" w:hAnsi="Arial"/>
                <w:sz w:val="22"/>
                <w:szCs w:val="22"/>
                <w:color w:val="auto"/>
              </w:rPr>
              <w:t>Release of Lien</w:t>
            </w:r>
          </w:p>
        </w:tc>
        <w:tc>
          <w:tcPr>
            <w:tcW w:w="3200" w:type="dxa"/>
            <w:vAlign w:val="bottom"/>
            <w:gridSpan w:val="12"/>
          </w:tcPr>
          <w:p>
            <w:pPr>
              <w:jc w:val="right"/>
              <w:spacing w:after="0"/>
              <w:rPr>
                <w:sz w:val="20"/>
                <w:szCs w:val="20"/>
                <w:color w:val="auto"/>
              </w:rPr>
            </w:pPr>
            <w:r>
              <w:rPr>
                <w:rFonts w:ascii="Arial" w:cs="Arial" w:eastAsia="Arial" w:hAnsi="Arial"/>
                <w:sz w:val="22"/>
                <w:szCs w:val="22"/>
                <w:color w:val="auto"/>
                <w:w w:val="90"/>
              </w:rPr>
              <w:t>81 Section 9.3.  Further Assurances</w:t>
            </w:r>
          </w:p>
        </w:tc>
        <w:tc>
          <w:tcPr>
            <w:tcW w:w="480" w:type="dxa"/>
            <w:vAlign w:val="bottom"/>
            <w:gridSpan w:val="3"/>
          </w:tcPr>
          <w:p>
            <w:pPr>
              <w:jc w:val="right"/>
              <w:spacing w:after="0"/>
              <w:rPr>
                <w:sz w:val="20"/>
                <w:szCs w:val="20"/>
                <w:color w:val="auto"/>
              </w:rPr>
            </w:pPr>
            <w:r>
              <w:rPr>
                <w:rFonts w:ascii="Arial" w:cs="Arial" w:eastAsia="Arial" w:hAnsi="Arial"/>
                <w:sz w:val="22"/>
                <w:szCs w:val="22"/>
                <w:color w:val="auto"/>
              </w:rPr>
              <w:t>81</w:t>
            </w:r>
          </w:p>
        </w:tc>
      </w:tr>
      <w:tr>
        <w:trPr>
          <w:trHeight w:val="20"/>
        </w:trPr>
        <w:tc>
          <w:tcPr>
            <w:tcW w:w="2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r>
      <w:tr>
        <w:trPr>
          <w:trHeight w:val="331"/>
        </w:trPr>
        <w:tc>
          <w:tcPr>
            <w:tcW w:w="2300" w:type="dxa"/>
            <w:vAlign w:val="bottom"/>
            <w:gridSpan w:val="2"/>
          </w:tcPr>
          <w:p>
            <w:pPr>
              <w:ind w:left="200"/>
              <w:spacing w:after="0"/>
              <w:rPr>
                <w:sz w:val="20"/>
                <w:szCs w:val="20"/>
                <w:color w:val="auto"/>
              </w:rPr>
            </w:pPr>
            <w:r>
              <w:rPr>
                <w:rFonts w:ascii="Arial" w:cs="Arial" w:eastAsia="Arial" w:hAnsi="Arial"/>
                <w:sz w:val="22"/>
                <w:szCs w:val="22"/>
                <w:color w:val="auto"/>
                <w:w w:val="91"/>
              </w:rPr>
              <w:t>Section 9.4.  Remedies</w:t>
            </w:r>
          </w:p>
        </w:tc>
        <w:tc>
          <w:tcPr>
            <w:tcW w:w="26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22"/>
                <w:szCs w:val="22"/>
                <w:color w:val="auto"/>
                <w:w w:val="87"/>
              </w:rPr>
              <w:t>81 Section 9.5.</w:t>
            </w:r>
          </w:p>
        </w:tc>
        <w:tc>
          <w:tcPr>
            <w:tcW w:w="140" w:type="dxa"/>
            <w:vAlign w:val="bottom"/>
          </w:tcPr>
          <w:p>
            <w:pPr>
              <w:spacing w:after="0"/>
              <w:rPr>
                <w:sz w:val="24"/>
                <w:szCs w:val="24"/>
                <w:color w:val="auto"/>
              </w:rPr>
            </w:pPr>
          </w:p>
        </w:tc>
        <w:tc>
          <w:tcPr>
            <w:tcW w:w="2200" w:type="dxa"/>
            <w:vAlign w:val="bottom"/>
            <w:gridSpan w:val="12"/>
          </w:tcPr>
          <w:p>
            <w:pPr>
              <w:ind w:left="60"/>
              <w:spacing w:after="0"/>
              <w:rPr>
                <w:sz w:val="20"/>
                <w:szCs w:val="20"/>
                <w:color w:val="auto"/>
              </w:rPr>
            </w:pPr>
            <w:r>
              <w:rPr>
                <w:rFonts w:ascii="Arial" w:cs="Arial" w:eastAsia="Arial" w:hAnsi="Arial"/>
                <w:sz w:val="22"/>
                <w:szCs w:val="22"/>
                <w:color w:val="auto"/>
                <w:w w:val="92"/>
              </w:rPr>
              <w:t>Waiver of Certain Laws</w:t>
            </w:r>
          </w:p>
        </w:tc>
        <w:tc>
          <w:tcPr>
            <w:tcW w:w="160" w:type="dxa"/>
            <w:vAlign w:val="bottom"/>
          </w:tcPr>
          <w:p>
            <w:pPr>
              <w:spacing w:after="0"/>
              <w:rPr>
                <w:sz w:val="24"/>
                <w:szCs w:val="24"/>
                <w:color w:val="auto"/>
              </w:rPr>
            </w:pPr>
          </w:p>
        </w:tc>
        <w:tc>
          <w:tcPr>
            <w:tcW w:w="1460" w:type="dxa"/>
            <w:vAlign w:val="bottom"/>
            <w:gridSpan w:val="9"/>
          </w:tcPr>
          <w:p>
            <w:pPr>
              <w:jc w:val="center"/>
              <w:ind w:right="80"/>
              <w:spacing w:after="0"/>
              <w:rPr>
                <w:sz w:val="20"/>
                <w:szCs w:val="20"/>
                <w:color w:val="auto"/>
              </w:rPr>
            </w:pPr>
            <w:r>
              <w:rPr>
                <w:rFonts w:ascii="Arial" w:cs="Arial" w:eastAsia="Arial" w:hAnsi="Arial"/>
                <w:sz w:val="22"/>
                <w:szCs w:val="22"/>
                <w:color w:val="auto"/>
                <w:w w:val="88"/>
              </w:rPr>
              <w:t>81 Section 9.6.</w:t>
            </w:r>
          </w:p>
        </w:tc>
        <w:tc>
          <w:tcPr>
            <w:tcW w:w="1720" w:type="dxa"/>
            <w:vAlign w:val="bottom"/>
            <w:gridSpan w:val="4"/>
          </w:tcPr>
          <w:p>
            <w:pPr>
              <w:jc w:val="right"/>
              <w:spacing w:after="0"/>
              <w:rPr>
                <w:sz w:val="20"/>
                <w:szCs w:val="20"/>
                <w:color w:val="auto"/>
              </w:rPr>
            </w:pPr>
            <w:r>
              <w:rPr>
                <w:rFonts w:ascii="Arial" w:cs="Arial" w:eastAsia="Arial" w:hAnsi="Arial"/>
                <w:sz w:val="22"/>
                <w:szCs w:val="22"/>
                <w:color w:val="auto"/>
                <w:w w:val="96"/>
              </w:rPr>
              <w:t>Power of Attorney</w:t>
            </w:r>
          </w:p>
        </w:tc>
        <w:tc>
          <w:tcPr>
            <w:tcW w:w="280" w:type="dxa"/>
            <w:vAlign w:val="bottom"/>
            <w:gridSpan w:val="2"/>
          </w:tcPr>
          <w:p>
            <w:pPr>
              <w:spacing w:after="0"/>
              <w:rPr>
                <w:sz w:val="24"/>
                <w:szCs w:val="24"/>
                <w:color w:val="auto"/>
              </w:rPr>
            </w:pPr>
          </w:p>
        </w:tc>
        <w:tc>
          <w:tcPr>
            <w:tcW w:w="1140" w:type="dxa"/>
            <w:vAlign w:val="bottom"/>
            <w:gridSpan w:val="6"/>
          </w:tcPr>
          <w:p>
            <w:pPr>
              <w:jc w:val="right"/>
              <w:spacing w:after="0"/>
              <w:rPr>
                <w:sz w:val="20"/>
                <w:szCs w:val="20"/>
                <w:color w:val="auto"/>
              </w:rPr>
            </w:pPr>
            <w:r>
              <w:rPr>
                <w:rFonts w:ascii="Arial" w:cs="Arial" w:eastAsia="Arial" w:hAnsi="Arial"/>
                <w:sz w:val="22"/>
                <w:szCs w:val="22"/>
                <w:color w:val="auto"/>
                <w:w w:val="90"/>
              </w:rPr>
              <w:t>82 ARTICLE</w:t>
            </w:r>
          </w:p>
        </w:tc>
      </w:tr>
      <w:tr>
        <w:trPr>
          <w:trHeight w:val="20"/>
        </w:trPr>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ind w:left="160"/>
              <w:spacing w:after="0"/>
              <w:rPr>
                <w:sz w:val="20"/>
                <w:szCs w:val="20"/>
                <w:color w:val="auto"/>
              </w:rPr>
            </w:pPr>
            <w:r>
              <w:rPr>
                <w:rFonts w:ascii="Arial" w:cs="Arial" w:eastAsia="Arial" w:hAnsi="Arial"/>
                <w:sz w:val="22"/>
                <w:szCs w:val="22"/>
                <w:color w:val="auto"/>
              </w:rPr>
              <w:t>X</w:t>
            </w:r>
          </w:p>
        </w:tc>
        <w:tc>
          <w:tcPr>
            <w:tcW w:w="2500" w:type="dxa"/>
            <w:vAlign w:val="bottom"/>
            <w:gridSpan w:val="8"/>
          </w:tcPr>
          <w:p>
            <w:pPr>
              <w:jc w:val="right"/>
              <w:spacing w:after="0"/>
              <w:rPr>
                <w:sz w:val="20"/>
                <w:szCs w:val="20"/>
                <w:color w:val="auto"/>
              </w:rPr>
            </w:pPr>
            <w:r>
              <w:rPr>
                <w:rFonts w:ascii="Arial" w:cs="Arial" w:eastAsia="Arial" w:hAnsi="Arial"/>
                <w:sz w:val="22"/>
                <w:szCs w:val="22"/>
                <w:color w:val="auto"/>
                <w:w w:val="98"/>
              </w:rPr>
              <w:t>TERMINATION EVENTS</w:t>
            </w: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22"/>
                <w:szCs w:val="22"/>
                <w:color w:val="auto"/>
              </w:rPr>
              <w:t>82</w:t>
            </w:r>
          </w:p>
        </w:tc>
      </w:tr>
      <w:tr>
        <w:trPr>
          <w:trHeight w:val="20"/>
        </w:trPr>
        <w:tc>
          <w:tcPr>
            <w:tcW w:w="23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2300" w:type="dxa"/>
            <w:vAlign w:val="bottom"/>
            <w:gridSpan w:val="2"/>
          </w:tcPr>
          <w:p>
            <w:pPr>
              <w:ind w:left="1100"/>
              <w:spacing w:after="0"/>
              <w:rPr>
                <w:sz w:val="20"/>
                <w:szCs w:val="20"/>
                <w:color w:val="auto"/>
              </w:rPr>
            </w:pPr>
            <w:r>
              <w:rPr>
                <w:rFonts w:ascii="Arial" w:cs="Arial" w:eastAsia="Arial" w:hAnsi="Arial"/>
                <w:sz w:val="22"/>
                <w:szCs w:val="22"/>
                <w:color w:val="auto"/>
                <w:w w:val="91"/>
              </w:rPr>
              <w:t>Section 10.1.</w:t>
            </w:r>
          </w:p>
        </w:tc>
        <w:tc>
          <w:tcPr>
            <w:tcW w:w="1860" w:type="dxa"/>
            <w:vAlign w:val="bottom"/>
            <w:gridSpan w:val="8"/>
          </w:tcPr>
          <w:p>
            <w:pPr>
              <w:ind w:left="160"/>
              <w:spacing w:after="0"/>
              <w:rPr>
                <w:sz w:val="20"/>
                <w:szCs w:val="20"/>
                <w:color w:val="auto"/>
              </w:rPr>
            </w:pPr>
            <w:r>
              <w:rPr>
                <w:rFonts w:ascii="Arial" w:cs="Arial" w:eastAsia="Arial" w:hAnsi="Arial"/>
                <w:sz w:val="22"/>
                <w:szCs w:val="22"/>
                <w:color w:val="auto"/>
                <w:w w:val="87"/>
              </w:rPr>
              <w:t>Termination Events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9"/>
          </w:tcPr>
          <w:p>
            <w:pPr>
              <w:spacing w:after="0"/>
              <w:rPr>
                <w:sz w:val="20"/>
                <w:szCs w:val="20"/>
                <w:color w:val="auto"/>
              </w:rPr>
            </w:pPr>
            <w:r>
              <w:rPr>
                <w:rFonts w:ascii="Arial" w:cs="Arial" w:eastAsia="Arial" w:hAnsi="Arial"/>
                <w:sz w:val="22"/>
                <w:szCs w:val="22"/>
                <w:color w:val="auto"/>
                <w:w w:val="95"/>
              </w:rPr>
              <w:t>82 Section 10.2.</w:t>
            </w:r>
          </w:p>
        </w:tc>
        <w:tc>
          <w:tcPr>
            <w:tcW w:w="1080" w:type="dxa"/>
            <w:vAlign w:val="bottom"/>
            <w:gridSpan w:val="7"/>
          </w:tcPr>
          <w:p>
            <w:pPr>
              <w:ind w:left="60"/>
              <w:spacing w:after="0"/>
              <w:rPr>
                <w:sz w:val="20"/>
                <w:szCs w:val="20"/>
                <w:color w:val="auto"/>
              </w:rPr>
            </w:pPr>
            <w:r>
              <w:rPr>
                <w:rFonts w:ascii="Arial" w:cs="Arial" w:eastAsia="Arial" w:hAnsi="Arial"/>
                <w:sz w:val="22"/>
                <w:szCs w:val="22"/>
                <w:color w:val="auto"/>
              </w:rPr>
              <w:t>Remedies</w:t>
            </w:r>
          </w:p>
        </w:tc>
        <w:tc>
          <w:tcPr>
            <w:tcW w:w="1700" w:type="dxa"/>
            <w:vAlign w:val="bottom"/>
            <w:gridSpan w:val="6"/>
          </w:tcPr>
          <w:p>
            <w:pPr>
              <w:ind w:left="100"/>
              <w:spacing w:after="0"/>
              <w:rPr>
                <w:sz w:val="20"/>
                <w:szCs w:val="20"/>
                <w:color w:val="auto"/>
              </w:rPr>
            </w:pPr>
            <w:r>
              <w:rPr>
                <w:rFonts w:ascii="Arial" w:cs="Arial" w:eastAsia="Arial" w:hAnsi="Arial"/>
                <w:sz w:val="22"/>
                <w:szCs w:val="22"/>
                <w:color w:val="auto"/>
              </w:rPr>
              <w:t>84 ARTICLE XI</w:t>
            </w:r>
          </w:p>
        </w:tc>
        <w:tc>
          <w:tcPr>
            <w:tcW w:w="1980" w:type="dxa"/>
            <w:vAlign w:val="bottom"/>
            <w:gridSpan w:val="9"/>
          </w:tcPr>
          <w:p>
            <w:pPr>
              <w:jc w:val="right"/>
              <w:spacing w:after="0"/>
              <w:rPr>
                <w:sz w:val="20"/>
                <w:szCs w:val="20"/>
                <w:color w:val="auto"/>
              </w:rPr>
            </w:pPr>
            <w:r>
              <w:rPr>
                <w:rFonts w:ascii="Arial" w:cs="Arial" w:eastAsia="Arial" w:hAnsi="Arial"/>
                <w:sz w:val="22"/>
                <w:szCs w:val="22"/>
                <w:color w:val="auto"/>
              </w:rPr>
              <w:t>INDEMNIFICATION</w:t>
            </w:r>
          </w:p>
        </w:tc>
      </w:tr>
      <w:tr>
        <w:trPr>
          <w:trHeight w:val="331"/>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22"/>
                <w:szCs w:val="22"/>
                <w:color w:val="auto"/>
              </w:rPr>
              <w:t>85</w:t>
            </w:r>
          </w:p>
        </w:tc>
      </w:tr>
      <w:tr>
        <w:trPr>
          <w:trHeight w:val="20"/>
        </w:trPr>
        <w:tc>
          <w:tcPr>
            <w:tcW w:w="2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5300" w:type="dxa"/>
            <w:vAlign w:val="bottom"/>
            <w:gridSpan w:val="16"/>
          </w:tcPr>
          <w:p>
            <w:pPr>
              <w:jc w:val="center"/>
              <w:ind w:left="1352"/>
              <w:spacing w:after="0"/>
              <w:rPr>
                <w:sz w:val="20"/>
                <w:szCs w:val="20"/>
                <w:color w:val="auto"/>
              </w:rPr>
            </w:pPr>
            <w:r>
              <w:rPr>
                <w:rFonts w:ascii="Arial" w:cs="Arial" w:eastAsia="Arial" w:hAnsi="Arial"/>
                <w:sz w:val="22"/>
                <w:szCs w:val="22"/>
                <w:color w:val="auto"/>
                <w:w w:val="92"/>
              </w:rPr>
              <w:t>Section 11.1.  Indemnities by the Borrower</w:t>
            </w:r>
          </w:p>
        </w:tc>
        <w:tc>
          <w:tcPr>
            <w:tcW w:w="34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gridSpan w:val="9"/>
          </w:tcPr>
          <w:p>
            <w:pPr>
              <w:spacing w:after="0"/>
              <w:rPr>
                <w:sz w:val="20"/>
                <w:szCs w:val="20"/>
                <w:color w:val="auto"/>
              </w:rPr>
            </w:pPr>
            <w:r>
              <w:rPr>
                <w:rFonts w:ascii="Arial" w:cs="Arial" w:eastAsia="Arial" w:hAnsi="Arial"/>
                <w:sz w:val="22"/>
                <w:szCs w:val="22"/>
                <w:color w:val="auto"/>
                <w:w w:val="93"/>
              </w:rPr>
              <w:t>85 Section 11.2.</w:t>
            </w:r>
          </w:p>
        </w:tc>
        <w:tc>
          <w:tcPr>
            <w:tcW w:w="100" w:type="dxa"/>
            <w:vAlign w:val="bottom"/>
          </w:tcPr>
          <w:p>
            <w:pPr>
              <w:spacing w:after="0"/>
              <w:rPr>
                <w:sz w:val="24"/>
                <w:szCs w:val="24"/>
                <w:color w:val="auto"/>
              </w:rPr>
            </w:pPr>
          </w:p>
        </w:tc>
        <w:tc>
          <w:tcPr>
            <w:tcW w:w="2400" w:type="dxa"/>
            <w:vAlign w:val="bottom"/>
            <w:gridSpan w:val="7"/>
          </w:tcPr>
          <w:p>
            <w:pPr>
              <w:jc w:val="right"/>
              <w:spacing w:after="0"/>
              <w:rPr>
                <w:sz w:val="20"/>
                <w:szCs w:val="20"/>
                <w:color w:val="auto"/>
              </w:rPr>
            </w:pPr>
            <w:r>
              <w:rPr>
                <w:rFonts w:ascii="Arial" w:cs="Arial" w:eastAsia="Arial" w:hAnsi="Arial"/>
                <w:sz w:val="22"/>
                <w:szCs w:val="22"/>
                <w:color w:val="auto"/>
                <w:w w:val="89"/>
              </w:rPr>
              <w:t>Indemnities by the Servicer</w:t>
            </w: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2"/>
                <w:szCs w:val="22"/>
                <w:color w:val="auto"/>
                <w:w w:val="81"/>
              </w:rPr>
              <w:t>87</w:t>
            </w:r>
          </w:p>
        </w:tc>
        <w:tc>
          <w:tcPr>
            <w:tcW w:w="640" w:type="dxa"/>
            <w:vAlign w:val="bottom"/>
            <w:gridSpan w:val="4"/>
          </w:tcPr>
          <w:p>
            <w:pPr>
              <w:jc w:val="right"/>
              <w:spacing w:after="0"/>
              <w:rPr>
                <w:sz w:val="20"/>
                <w:szCs w:val="20"/>
                <w:color w:val="auto"/>
              </w:rPr>
            </w:pPr>
            <w:r>
              <w:rPr>
                <w:rFonts w:ascii="Arial" w:cs="Arial" w:eastAsia="Arial" w:hAnsi="Arial"/>
                <w:sz w:val="22"/>
                <w:szCs w:val="22"/>
                <w:color w:val="auto"/>
                <w:w w:val="84"/>
              </w:rPr>
              <w:t>Section</w:t>
            </w:r>
          </w:p>
        </w:tc>
      </w:tr>
      <w:tr>
        <w:trPr>
          <w:trHeight w:val="331"/>
        </w:trPr>
        <w:tc>
          <w:tcPr>
            <w:tcW w:w="3220" w:type="dxa"/>
            <w:vAlign w:val="bottom"/>
            <w:gridSpan w:val="5"/>
          </w:tcPr>
          <w:p>
            <w:pPr>
              <w:ind w:left="1200"/>
              <w:spacing w:after="0"/>
              <w:rPr>
                <w:sz w:val="20"/>
                <w:szCs w:val="20"/>
                <w:color w:val="auto"/>
              </w:rPr>
            </w:pPr>
            <w:r>
              <w:rPr>
                <w:rFonts w:ascii="Arial" w:cs="Arial" w:eastAsia="Arial" w:hAnsi="Arial"/>
                <w:sz w:val="22"/>
                <w:szCs w:val="22"/>
                <w:color w:val="auto"/>
                <w:w w:val="93"/>
              </w:rPr>
              <w:t>11.3.  After-Tax Basis</w:t>
            </w:r>
          </w:p>
        </w:tc>
        <w:tc>
          <w:tcPr>
            <w:tcW w:w="7100" w:type="dxa"/>
            <w:vAlign w:val="bottom"/>
            <w:gridSpan w:val="34"/>
          </w:tcPr>
          <w:p>
            <w:pPr>
              <w:jc w:val="right"/>
              <w:spacing w:after="0"/>
              <w:rPr>
                <w:sz w:val="20"/>
                <w:szCs w:val="20"/>
                <w:color w:val="auto"/>
              </w:rPr>
            </w:pPr>
            <w:r>
              <w:rPr>
                <w:rFonts w:ascii="Arial" w:cs="Arial" w:eastAsia="Arial" w:hAnsi="Arial"/>
                <w:sz w:val="22"/>
                <w:szCs w:val="22"/>
                <w:color w:val="auto"/>
              </w:rPr>
              <w:t>87 ARTICLE XII  THE DEAL AGENT AND THE COLLATERAL AGENT</w:t>
            </w: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22"/>
                <w:szCs w:val="22"/>
                <w:color w:val="auto"/>
              </w:rPr>
              <w:t>88</w:t>
            </w:r>
          </w:p>
        </w:tc>
      </w:tr>
      <w:tr>
        <w:trPr>
          <w:trHeight w:val="20"/>
        </w:trPr>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31"/>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00" w:type="dxa"/>
            <w:vAlign w:val="bottom"/>
            <w:gridSpan w:val="19"/>
          </w:tcPr>
          <w:p>
            <w:pPr>
              <w:ind w:left="20"/>
              <w:spacing w:after="0"/>
              <w:rPr>
                <w:sz w:val="20"/>
                <w:szCs w:val="20"/>
                <w:color w:val="auto"/>
              </w:rPr>
            </w:pPr>
            <w:r>
              <w:rPr>
                <w:rFonts w:ascii="Arial" w:cs="Arial" w:eastAsia="Arial" w:hAnsi="Arial"/>
                <w:sz w:val="22"/>
                <w:szCs w:val="22"/>
                <w:color w:val="auto"/>
              </w:rPr>
              <w:t>Section 12.1.  Authorization and Action</w:t>
            </w:r>
          </w:p>
        </w:tc>
        <w:tc>
          <w:tcPr>
            <w:tcW w:w="160" w:type="dxa"/>
            <w:vAlign w:val="bottom"/>
          </w:tcPr>
          <w:p>
            <w:pPr>
              <w:spacing w:after="0"/>
              <w:rPr>
                <w:sz w:val="24"/>
                <w:szCs w:val="24"/>
                <w:color w:val="auto"/>
              </w:rPr>
            </w:pPr>
          </w:p>
        </w:tc>
        <w:tc>
          <w:tcPr>
            <w:tcW w:w="1460" w:type="dxa"/>
            <w:vAlign w:val="bottom"/>
            <w:gridSpan w:val="9"/>
          </w:tcPr>
          <w:p>
            <w:pPr>
              <w:jc w:val="center"/>
              <w:ind w:right="60"/>
              <w:spacing w:after="0"/>
              <w:rPr>
                <w:sz w:val="20"/>
                <w:szCs w:val="20"/>
                <w:color w:val="auto"/>
              </w:rPr>
            </w:pPr>
            <w:r>
              <w:rPr>
                <w:rFonts w:ascii="Arial" w:cs="Arial" w:eastAsia="Arial" w:hAnsi="Arial"/>
                <w:sz w:val="22"/>
                <w:szCs w:val="22"/>
                <w:color w:val="auto"/>
                <w:w w:val="88"/>
              </w:rPr>
              <w:t>88 Section 12.2.</w:t>
            </w:r>
          </w:p>
        </w:tc>
        <w:tc>
          <w:tcPr>
            <w:tcW w:w="2000" w:type="dxa"/>
            <w:vAlign w:val="bottom"/>
            <w:gridSpan w:val="6"/>
          </w:tcPr>
          <w:p>
            <w:pPr>
              <w:jc w:val="right"/>
              <w:ind w:right="40"/>
              <w:spacing w:after="0"/>
              <w:rPr>
                <w:sz w:val="20"/>
                <w:szCs w:val="20"/>
                <w:color w:val="auto"/>
              </w:rPr>
            </w:pPr>
            <w:r>
              <w:rPr>
                <w:rFonts w:ascii="Arial" w:cs="Arial" w:eastAsia="Arial" w:hAnsi="Arial"/>
                <w:sz w:val="22"/>
                <w:szCs w:val="22"/>
                <w:color w:val="auto"/>
                <w:w w:val="97"/>
              </w:rPr>
              <w:t>Delegation of Duties</w:t>
            </w:r>
          </w:p>
        </w:tc>
        <w:tc>
          <w:tcPr>
            <w:tcW w:w="500" w:type="dxa"/>
            <w:vAlign w:val="bottom"/>
            <w:gridSpan w:val="2"/>
          </w:tcPr>
          <w:p>
            <w:pPr>
              <w:jc w:val="right"/>
              <w:spacing w:after="0"/>
              <w:rPr>
                <w:sz w:val="20"/>
                <w:szCs w:val="20"/>
                <w:color w:val="auto"/>
              </w:rPr>
            </w:pPr>
            <w:r>
              <w:rPr>
                <w:rFonts w:ascii="Arial" w:cs="Arial" w:eastAsia="Arial" w:hAnsi="Arial"/>
                <w:sz w:val="22"/>
                <w:szCs w:val="22"/>
                <w:color w:val="auto"/>
              </w:rPr>
              <w:t>88</w:t>
            </w:r>
          </w:p>
        </w:tc>
        <w:tc>
          <w:tcPr>
            <w:tcW w:w="640" w:type="dxa"/>
            <w:vAlign w:val="bottom"/>
            <w:gridSpan w:val="4"/>
          </w:tcPr>
          <w:p>
            <w:pPr>
              <w:jc w:val="right"/>
              <w:spacing w:after="0"/>
              <w:rPr>
                <w:sz w:val="20"/>
                <w:szCs w:val="20"/>
                <w:color w:val="auto"/>
              </w:rPr>
            </w:pPr>
            <w:r>
              <w:rPr>
                <w:rFonts w:ascii="Arial" w:cs="Arial" w:eastAsia="Arial" w:hAnsi="Arial"/>
                <w:sz w:val="22"/>
                <w:szCs w:val="22"/>
                <w:color w:val="auto"/>
                <w:w w:val="84"/>
              </w:rPr>
              <w:t>Section</w:t>
            </w:r>
          </w:p>
        </w:tc>
      </w:tr>
      <w:tr>
        <w:trPr>
          <w:trHeight w:val="20"/>
        </w:trPr>
        <w:tc>
          <w:tcPr>
            <w:tcW w:w="29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40" w:type="dxa"/>
            <w:vAlign w:val="bottom"/>
            <w:tcBorders>
              <w:right w:val="single" w:sz="8" w:color="auto"/>
            </w:tcBorders>
            <w:gridSpan w:val="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31"/>
        </w:trPr>
        <w:tc>
          <w:tcPr>
            <w:tcW w:w="2960" w:type="dxa"/>
            <w:vAlign w:val="bottom"/>
            <w:gridSpan w:val="4"/>
          </w:tcPr>
          <w:p>
            <w:pPr>
              <w:ind w:left="280"/>
              <w:spacing w:after="0"/>
              <w:rPr>
                <w:sz w:val="20"/>
                <w:szCs w:val="20"/>
                <w:color w:val="auto"/>
              </w:rPr>
            </w:pPr>
            <w:r>
              <w:rPr>
                <w:rFonts w:ascii="Arial" w:cs="Arial" w:eastAsia="Arial" w:hAnsi="Arial"/>
                <w:sz w:val="22"/>
                <w:szCs w:val="22"/>
                <w:color w:val="auto"/>
                <w:w w:val="93"/>
              </w:rPr>
              <w:t>12.3.  Exculpatory Provisions</w:t>
            </w:r>
          </w:p>
        </w:tc>
        <w:tc>
          <w:tcPr>
            <w:tcW w:w="260" w:type="dxa"/>
            <w:vAlign w:val="bottom"/>
            <w:tcBorders>
              <w:bottom w:val="single" w:sz="8" w:color="auto"/>
            </w:tcBorders>
          </w:tcPr>
          <w:p>
            <w:pPr>
              <w:spacing w:after="0"/>
              <w:rPr>
                <w:sz w:val="24"/>
                <w:szCs w:val="24"/>
                <w:color w:val="auto"/>
              </w:rPr>
            </w:pPr>
          </w:p>
        </w:tc>
        <w:tc>
          <w:tcPr>
            <w:tcW w:w="1540" w:type="dxa"/>
            <w:vAlign w:val="bottom"/>
            <w:gridSpan w:val="9"/>
          </w:tcPr>
          <w:p>
            <w:pPr>
              <w:spacing w:after="0"/>
              <w:rPr>
                <w:sz w:val="20"/>
                <w:szCs w:val="20"/>
                <w:color w:val="auto"/>
              </w:rPr>
            </w:pPr>
            <w:r>
              <w:rPr>
                <w:rFonts w:ascii="Arial" w:cs="Arial" w:eastAsia="Arial" w:hAnsi="Arial"/>
                <w:sz w:val="22"/>
                <w:szCs w:val="22"/>
                <w:color w:val="auto"/>
                <w:w w:val="95"/>
              </w:rPr>
              <w:t>89 Section 12.4.</w:t>
            </w:r>
          </w:p>
        </w:tc>
        <w:tc>
          <w:tcPr>
            <w:tcW w:w="840" w:type="dxa"/>
            <w:vAlign w:val="bottom"/>
            <w:gridSpan w:val="3"/>
          </w:tcPr>
          <w:p>
            <w:pPr>
              <w:jc w:val="center"/>
              <w:spacing w:after="0"/>
              <w:rPr>
                <w:sz w:val="20"/>
                <w:szCs w:val="20"/>
                <w:color w:val="auto"/>
              </w:rPr>
            </w:pPr>
            <w:r>
              <w:rPr>
                <w:rFonts w:ascii="Arial" w:cs="Arial" w:eastAsia="Arial" w:hAnsi="Arial"/>
                <w:sz w:val="22"/>
                <w:szCs w:val="22"/>
                <w:color w:val="auto"/>
                <w:w w:val="88"/>
              </w:rPr>
              <w:t>Reliance</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gridSpan w:val="8"/>
          </w:tcPr>
          <w:p>
            <w:pPr>
              <w:spacing w:after="0"/>
              <w:rPr>
                <w:sz w:val="20"/>
                <w:szCs w:val="20"/>
                <w:color w:val="auto"/>
              </w:rPr>
            </w:pPr>
            <w:r>
              <w:rPr>
                <w:rFonts w:ascii="Arial" w:cs="Arial" w:eastAsia="Arial" w:hAnsi="Arial"/>
                <w:sz w:val="22"/>
                <w:szCs w:val="22"/>
                <w:color w:val="auto"/>
                <w:w w:val="86"/>
              </w:rPr>
              <w:t>89 Section 12.5.</w:t>
            </w:r>
          </w:p>
        </w:tc>
        <w:tc>
          <w:tcPr>
            <w:tcW w:w="100" w:type="dxa"/>
            <w:vAlign w:val="bottom"/>
          </w:tcPr>
          <w:p>
            <w:pPr>
              <w:spacing w:after="0"/>
              <w:rPr>
                <w:sz w:val="24"/>
                <w:szCs w:val="24"/>
                <w:color w:val="auto"/>
              </w:rPr>
            </w:pPr>
          </w:p>
        </w:tc>
        <w:tc>
          <w:tcPr>
            <w:tcW w:w="3580" w:type="dxa"/>
            <w:vAlign w:val="bottom"/>
            <w:gridSpan w:val="14"/>
          </w:tcPr>
          <w:p>
            <w:pPr>
              <w:jc w:val="right"/>
              <w:spacing w:after="0"/>
              <w:rPr>
                <w:sz w:val="20"/>
                <w:szCs w:val="20"/>
                <w:color w:val="auto"/>
              </w:rPr>
            </w:pPr>
            <w:r>
              <w:rPr>
                <w:rFonts w:ascii="Arial" w:cs="Arial" w:eastAsia="Arial" w:hAnsi="Arial"/>
                <w:sz w:val="22"/>
                <w:szCs w:val="22"/>
                <w:color w:val="auto"/>
                <w:w w:val="92"/>
              </w:rPr>
              <w:t>Non-Reliance on Deal Agent, Collateral</w:t>
            </w:r>
          </w:p>
        </w:tc>
      </w:tr>
      <w:tr>
        <w:trPr>
          <w:trHeight w:val="331"/>
        </w:trPr>
        <w:tc>
          <w:tcPr>
            <w:tcW w:w="7720" w:type="dxa"/>
            <w:vAlign w:val="bottom"/>
            <w:gridSpan w:val="30"/>
          </w:tcPr>
          <w:p>
            <w:pPr>
              <w:ind w:left="680"/>
              <w:spacing w:after="0"/>
              <w:rPr>
                <w:sz w:val="20"/>
                <w:szCs w:val="20"/>
                <w:color w:val="auto"/>
              </w:rPr>
            </w:pPr>
            <w:r>
              <w:rPr>
                <w:rFonts w:ascii="Arial" w:cs="Arial" w:eastAsia="Arial" w:hAnsi="Arial"/>
                <w:sz w:val="22"/>
                <w:szCs w:val="22"/>
                <w:color w:val="auto"/>
                <w:w w:val="90"/>
              </w:rPr>
              <w:t>Agent and Other Lenders 90 Section 12.6.  Reimbursement and Indemnification</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gridSpan w:val="11"/>
          </w:tcPr>
          <w:p>
            <w:pPr>
              <w:jc w:val="right"/>
              <w:spacing w:after="0"/>
              <w:rPr>
                <w:sz w:val="20"/>
                <w:szCs w:val="20"/>
                <w:color w:val="auto"/>
              </w:rPr>
            </w:pPr>
            <w:r>
              <w:rPr>
                <w:rFonts w:ascii="Arial" w:cs="Arial" w:eastAsia="Arial" w:hAnsi="Arial"/>
                <w:sz w:val="22"/>
                <w:szCs w:val="22"/>
                <w:color w:val="auto"/>
                <w:w w:val="91"/>
              </w:rPr>
              <w:t>90 Section 12.7.  Deal Agent and</w:t>
            </w:r>
          </w:p>
        </w:tc>
      </w:tr>
      <w:tr>
        <w:trPr>
          <w:trHeight w:val="331"/>
        </w:trPr>
        <w:tc>
          <w:tcPr>
            <w:tcW w:w="4160" w:type="dxa"/>
            <w:vAlign w:val="bottom"/>
            <w:gridSpan w:val="10"/>
          </w:tcPr>
          <w:p>
            <w:pPr>
              <w:spacing w:after="0"/>
              <w:rPr>
                <w:sz w:val="20"/>
                <w:szCs w:val="20"/>
                <w:color w:val="auto"/>
              </w:rPr>
            </w:pPr>
            <w:r>
              <w:rPr>
                <w:rFonts w:ascii="Arial" w:cs="Arial" w:eastAsia="Arial" w:hAnsi="Arial"/>
                <w:sz w:val="22"/>
                <w:szCs w:val="22"/>
                <w:color w:val="auto"/>
                <w:w w:val="94"/>
              </w:rPr>
              <w:t>Collateral Agent in their Individual Capacities</w:t>
            </w:r>
          </w:p>
        </w:tc>
        <w:tc>
          <w:tcPr>
            <w:tcW w:w="5660" w:type="dxa"/>
            <w:vAlign w:val="bottom"/>
            <w:gridSpan w:val="27"/>
          </w:tcPr>
          <w:p>
            <w:pPr>
              <w:jc w:val="right"/>
              <w:ind w:right="300"/>
              <w:spacing w:after="0"/>
              <w:rPr>
                <w:sz w:val="20"/>
                <w:szCs w:val="20"/>
                <w:color w:val="auto"/>
              </w:rPr>
            </w:pPr>
            <w:r>
              <w:rPr>
                <w:rFonts w:ascii="Arial" w:cs="Arial" w:eastAsia="Arial" w:hAnsi="Arial"/>
                <w:sz w:val="22"/>
                <w:szCs w:val="22"/>
                <w:color w:val="auto"/>
                <w:w w:val="92"/>
              </w:rPr>
              <w:t>91 Section 12.8.  Successor Deal Agent or Collateral Agent</w:t>
            </w:r>
          </w:p>
        </w:tc>
        <w:tc>
          <w:tcPr>
            <w:tcW w:w="1140" w:type="dxa"/>
            <w:vAlign w:val="bottom"/>
            <w:gridSpan w:val="6"/>
          </w:tcPr>
          <w:p>
            <w:pPr>
              <w:jc w:val="right"/>
              <w:spacing w:after="0"/>
              <w:rPr>
                <w:sz w:val="20"/>
                <w:szCs w:val="20"/>
                <w:color w:val="auto"/>
              </w:rPr>
            </w:pPr>
            <w:r>
              <w:rPr>
                <w:rFonts w:ascii="Arial" w:cs="Arial" w:eastAsia="Arial" w:hAnsi="Arial"/>
                <w:sz w:val="22"/>
                <w:szCs w:val="22"/>
                <w:color w:val="auto"/>
                <w:w w:val="90"/>
              </w:rPr>
              <w:t>91 ARTICLE</w:t>
            </w:r>
          </w:p>
        </w:tc>
      </w:tr>
      <w:tr>
        <w:trPr>
          <w:trHeight w:val="20"/>
        </w:trPr>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31"/>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17"/>
          </w:tcPr>
          <w:p>
            <w:pPr>
              <w:jc w:val="right"/>
              <w:spacing w:after="0"/>
              <w:rPr>
                <w:sz w:val="20"/>
                <w:szCs w:val="20"/>
                <w:color w:val="auto"/>
              </w:rPr>
            </w:pPr>
            <w:r>
              <w:rPr>
                <w:rFonts w:ascii="Arial" w:cs="Arial" w:eastAsia="Arial" w:hAnsi="Arial"/>
                <w:sz w:val="22"/>
                <w:szCs w:val="22"/>
                <w:color w:val="auto"/>
                <w:w w:val="96"/>
              </w:rPr>
              <w:t>XIII  ASSIGNMENTS; PARTICIPATIONS</w:t>
            </w:r>
          </w:p>
        </w:tc>
        <w:tc>
          <w:tcPr>
            <w:tcW w:w="16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22"/>
                <w:szCs w:val="22"/>
                <w:color w:val="auto"/>
              </w:rPr>
              <w:t>92</w:t>
            </w:r>
          </w:p>
        </w:tc>
      </w:tr>
      <w:tr>
        <w:trPr>
          <w:trHeight w:val="20"/>
        </w:trPr>
        <w:tc>
          <w:tcPr>
            <w:tcW w:w="1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tcBorders>
              <w:right w:val="single" w:sz="8" w:color="auto"/>
            </w:tcBorders>
            <w:gridSpan w:val="1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31"/>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60" w:type="dxa"/>
            <w:vAlign w:val="bottom"/>
            <w:gridSpan w:val="6"/>
          </w:tcPr>
          <w:p>
            <w:pPr>
              <w:ind w:left="220"/>
              <w:spacing w:after="0"/>
              <w:rPr>
                <w:sz w:val="20"/>
                <w:szCs w:val="20"/>
                <w:color w:val="auto"/>
              </w:rPr>
            </w:pPr>
            <w:r>
              <w:rPr>
                <w:rFonts w:ascii="Arial" w:cs="Arial" w:eastAsia="Arial" w:hAnsi="Arial"/>
                <w:sz w:val="22"/>
                <w:szCs w:val="22"/>
                <w:color w:val="auto"/>
              </w:rPr>
              <w:t>Section 13.1.</w:t>
            </w:r>
          </w:p>
        </w:tc>
        <w:tc>
          <w:tcPr>
            <w:tcW w:w="2780" w:type="dxa"/>
            <w:vAlign w:val="bottom"/>
            <w:gridSpan w:val="16"/>
          </w:tcPr>
          <w:p>
            <w:pPr>
              <w:jc w:val="center"/>
              <w:ind w:right="60"/>
              <w:spacing w:after="0"/>
              <w:rPr>
                <w:sz w:val="20"/>
                <w:szCs w:val="20"/>
                <w:color w:val="auto"/>
              </w:rPr>
            </w:pPr>
            <w:r>
              <w:rPr>
                <w:rFonts w:ascii="Arial" w:cs="Arial" w:eastAsia="Arial" w:hAnsi="Arial"/>
                <w:sz w:val="22"/>
                <w:szCs w:val="22"/>
                <w:color w:val="auto"/>
                <w:w w:val="88"/>
              </w:rPr>
              <w:t>Assignments and Participations</w:t>
            </w:r>
          </w:p>
        </w:tc>
        <w:tc>
          <w:tcPr>
            <w:tcW w:w="220" w:type="dxa"/>
            <w:vAlign w:val="bottom"/>
          </w:tcPr>
          <w:p>
            <w:pPr>
              <w:spacing w:after="0"/>
              <w:rPr>
                <w:sz w:val="24"/>
                <w:szCs w:val="24"/>
                <w:color w:val="auto"/>
              </w:rPr>
            </w:pPr>
          </w:p>
        </w:tc>
        <w:tc>
          <w:tcPr>
            <w:tcW w:w="3620" w:type="dxa"/>
            <w:vAlign w:val="bottom"/>
            <w:gridSpan w:val="15"/>
          </w:tcPr>
          <w:p>
            <w:pPr>
              <w:jc w:val="right"/>
              <w:spacing w:after="0"/>
              <w:rPr>
                <w:sz w:val="20"/>
                <w:szCs w:val="20"/>
                <w:color w:val="auto"/>
              </w:rPr>
            </w:pPr>
            <w:r>
              <w:rPr>
                <w:rFonts w:ascii="Arial" w:cs="Arial" w:eastAsia="Arial" w:hAnsi="Arial"/>
                <w:sz w:val="22"/>
                <w:szCs w:val="22"/>
                <w:color w:val="auto"/>
                <w:w w:val="98"/>
              </w:rPr>
              <w:t>92 ARTICLE XIV  MISCELLANEOUS</w:t>
            </w:r>
          </w:p>
        </w:tc>
        <w:tc>
          <w:tcPr>
            <w:tcW w:w="480" w:type="dxa"/>
            <w:vAlign w:val="bottom"/>
            <w:gridSpan w:val="3"/>
          </w:tcPr>
          <w:p>
            <w:pPr>
              <w:jc w:val="right"/>
              <w:spacing w:after="0"/>
              <w:rPr>
                <w:sz w:val="20"/>
                <w:szCs w:val="20"/>
                <w:color w:val="auto"/>
              </w:rPr>
            </w:pPr>
            <w:r>
              <w:rPr>
                <w:rFonts w:ascii="Arial" w:cs="Arial" w:eastAsia="Arial" w:hAnsi="Arial"/>
                <w:sz w:val="22"/>
                <w:szCs w:val="22"/>
                <w:color w:val="auto"/>
              </w:rPr>
              <w:t>94</w:t>
            </w:r>
          </w:p>
        </w:tc>
      </w:tr>
      <w:tr>
        <w:trPr>
          <w:trHeight w:val="304"/>
        </w:trPr>
        <w:tc>
          <w:tcPr>
            <w:tcW w:w="1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gridSpan w:val="8"/>
          </w:tcPr>
          <w:p>
            <w:pPr>
              <w:spacing w:after="0"/>
              <w:rPr>
                <w:sz w:val="20"/>
                <w:szCs w:val="20"/>
                <w:color w:val="auto"/>
              </w:rPr>
            </w:pPr>
            <w:r>
              <w:rPr>
                <w:rFonts w:ascii="Arial" w:cs="Arial" w:eastAsia="Arial" w:hAnsi="Arial"/>
                <w:sz w:val="22"/>
                <w:szCs w:val="22"/>
                <w:color w:val="auto"/>
                <w:w w:val="99"/>
              </w:rPr>
              <w:t>Section 14.1.</w:t>
            </w:r>
          </w:p>
        </w:tc>
        <w:tc>
          <w:tcPr>
            <w:tcW w:w="2320" w:type="dxa"/>
            <w:vAlign w:val="bottom"/>
            <w:gridSpan w:val="7"/>
          </w:tcPr>
          <w:p>
            <w:pPr>
              <w:jc w:val="right"/>
              <w:spacing w:after="0"/>
              <w:rPr>
                <w:sz w:val="20"/>
                <w:szCs w:val="20"/>
                <w:color w:val="auto"/>
              </w:rPr>
            </w:pPr>
            <w:r>
              <w:rPr>
                <w:rFonts w:ascii="Arial" w:cs="Arial" w:eastAsia="Arial" w:hAnsi="Arial"/>
                <w:sz w:val="22"/>
                <w:szCs w:val="22"/>
                <w:color w:val="auto"/>
                <w:w w:val="89"/>
              </w:rPr>
              <w:t>Amendments and Waivers</w:t>
            </w:r>
          </w:p>
        </w:tc>
        <w:tc>
          <w:tcPr>
            <w:tcW w:w="260" w:type="dxa"/>
            <w:vAlign w:val="bottom"/>
            <w:tcBorders>
              <w:top w:val="single" w:sz="8" w:color="auto"/>
              <w:bottom w:val="single" w:sz="8" w:color="auto"/>
            </w:tcBorders>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22"/>
                <w:szCs w:val="22"/>
                <w:color w:val="auto"/>
                <w:w w:val="81"/>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960"/>
          </w:cols>
          <w:pgMar w:left="500" w:top="1084" w:right="439" w:bottom="1440" w:gutter="0" w:footer="0" w:header="0"/>
        </w:sectPr>
      </w:pPr>
    </w:p>
    <w:bookmarkStart w:id="266" w:name="page267"/>
    <w:bookmarkEnd w:id="266"/>
    <w:p>
      <w:pPr>
        <w:jc w:val="center"/>
        <w:ind w:right="-1"/>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ind w:right="-1"/>
        <w:spacing w:after="0"/>
        <w:rPr>
          <w:sz w:val="20"/>
          <w:szCs w:val="20"/>
          <w:color w:val="auto"/>
        </w:rPr>
      </w:pPr>
      <w:r>
        <w:rPr>
          <w:rFonts w:ascii="Arial" w:cs="Arial" w:eastAsia="Arial" w:hAnsi="Arial"/>
          <w:sz w:val="22"/>
          <w:szCs w:val="22"/>
          <w:color w:val="auto"/>
        </w:rPr>
        <w:t>(continued)</w:t>
      </w:r>
    </w:p>
    <w:p>
      <w:pPr>
        <w:spacing w:after="0" w:line="3" w:lineRule="exact"/>
        <w:rPr>
          <w:sz w:val="20"/>
          <w:szCs w:val="20"/>
          <w:color w:val="auto"/>
        </w:rPr>
      </w:pPr>
    </w:p>
    <w:tbl>
      <w:tblPr>
        <w:tblLayout w:type="fixed"/>
        <w:tblInd w:w="2" w:type="dxa"/>
        <w:tblCellMar>
          <w:top w:w="0" w:type="dxa"/>
          <w:left w:w="0" w:type="dxa"/>
          <w:bottom w:w="0" w:type="dxa"/>
          <w:right w:w="0" w:type="dxa"/>
        </w:tblCellMar>
      </w:tblPr>
      <w:tr>
        <w:trPr>
          <w:trHeight w:val="280"/>
        </w:trPr>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22"/>
                <w:szCs w:val="22"/>
                <w:b w:val="1"/>
                <w:bCs w:val="1"/>
                <w:color w:val="auto"/>
                <w:w w:val="91"/>
              </w:rPr>
              <w:t>Page</w:t>
            </w:r>
          </w:p>
        </w:tc>
      </w:tr>
      <w:tr>
        <w:trPr>
          <w:trHeight w:val="587"/>
        </w:trPr>
        <w:tc>
          <w:tcPr>
            <w:tcW w:w="3120" w:type="dxa"/>
            <w:vAlign w:val="bottom"/>
            <w:gridSpan w:val="6"/>
          </w:tcPr>
          <w:p>
            <w:pPr>
              <w:ind w:left="640"/>
              <w:spacing w:after="0"/>
              <w:rPr>
                <w:sz w:val="20"/>
                <w:szCs w:val="20"/>
                <w:color w:val="auto"/>
              </w:rPr>
            </w:pPr>
            <w:r>
              <w:rPr>
                <w:rFonts w:ascii="Arial" w:cs="Arial" w:eastAsia="Arial" w:hAnsi="Arial"/>
                <w:sz w:val="22"/>
                <w:szCs w:val="22"/>
                <w:color w:val="auto"/>
                <w:w w:val="97"/>
              </w:rPr>
              <w:t>Section 14.2. Notices, Etc</w:t>
            </w:r>
          </w:p>
        </w:tc>
        <w:tc>
          <w:tcPr>
            <w:tcW w:w="40" w:type="dxa"/>
            <w:vAlign w:val="bottom"/>
          </w:tcPr>
          <w:p>
            <w:pPr>
              <w:spacing w:after="0"/>
              <w:rPr>
                <w:sz w:val="24"/>
                <w:szCs w:val="24"/>
                <w:color w:val="auto"/>
              </w:rPr>
            </w:pPr>
          </w:p>
        </w:tc>
        <w:tc>
          <w:tcPr>
            <w:tcW w:w="3220" w:type="dxa"/>
            <w:vAlign w:val="bottom"/>
            <w:gridSpan w:val="12"/>
          </w:tcPr>
          <w:p>
            <w:pPr>
              <w:jc w:val="right"/>
              <w:ind w:right="200"/>
              <w:spacing w:after="0"/>
              <w:rPr>
                <w:sz w:val="20"/>
                <w:szCs w:val="20"/>
                <w:color w:val="auto"/>
              </w:rPr>
            </w:pPr>
            <w:r>
              <w:rPr>
                <w:rFonts w:ascii="Arial" w:cs="Arial" w:eastAsia="Arial" w:hAnsi="Arial"/>
                <w:sz w:val="22"/>
                <w:szCs w:val="22"/>
                <w:color w:val="auto"/>
                <w:w w:val="86"/>
              </w:rPr>
              <w:t>95 Section 14.3. Ratable Payments</w:t>
            </w:r>
          </w:p>
        </w:tc>
        <w:tc>
          <w:tcPr>
            <w:tcW w:w="3580" w:type="dxa"/>
            <w:vAlign w:val="bottom"/>
            <w:gridSpan w:val="9"/>
          </w:tcPr>
          <w:p>
            <w:pPr>
              <w:ind w:left="80"/>
              <w:spacing w:after="0"/>
              <w:rPr>
                <w:sz w:val="20"/>
                <w:szCs w:val="20"/>
                <w:color w:val="auto"/>
              </w:rPr>
            </w:pPr>
            <w:r>
              <w:rPr>
                <w:rFonts w:ascii="Arial" w:cs="Arial" w:eastAsia="Arial" w:hAnsi="Arial"/>
                <w:sz w:val="22"/>
                <w:szCs w:val="22"/>
                <w:color w:val="auto"/>
                <w:w w:val="91"/>
              </w:rPr>
              <w:t>95 Section 14.4. No Waiver; Remedies</w:t>
            </w:r>
          </w:p>
        </w:tc>
        <w:tc>
          <w:tcPr>
            <w:tcW w:w="1080" w:type="dxa"/>
            <w:vAlign w:val="bottom"/>
            <w:gridSpan w:val="4"/>
          </w:tcPr>
          <w:p>
            <w:pPr>
              <w:jc w:val="right"/>
              <w:ind w:right="20"/>
              <w:spacing w:after="0"/>
              <w:rPr>
                <w:sz w:val="20"/>
                <w:szCs w:val="20"/>
                <w:color w:val="auto"/>
              </w:rPr>
            </w:pPr>
            <w:r>
              <w:rPr>
                <w:rFonts w:ascii="Arial" w:cs="Arial" w:eastAsia="Arial" w:hAnsi="Arial"/>
                <w:sz w:val="22"/>
                <w:szCs w:val="22"/>
                <w:color w:val="auto"/>
              </w:rPr>
              <w:t>96 Section</w:t>
            </w:r>
          </w:p>
        </w:tc>
      </w:tr>
      <w:tr>
        <w:trPr>
          <w:trHeight w:val="20"/>
        </w:trPr>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1"/>
        </w:trPr>
        <w:tc>
          <w:tcPr>
            <w:tcW w:w="11040" w:type="dxa"/>
            <w:vAlign w:val="bottom"/>
            <w:gridSpan w:val="32"/>
          </w:tcPr>
          <w:p>
            <w:pPr>
              <w:ind w:left="640"/>
              <w:spacing w:after="0"/>
              <w:rPr>
                <w:sz w:val="20"/>
                <w:szCs w:val="20"/>
                <w:color w:val="auto"/>
              </w:rPr>
            </w:pPr>
            <w:r>
              <w:rPr>
                <w:rFonts w:ascii="Arial" w:cs="Arial" w:eastAsia="Arial" w:hAnsi="Arial"/>
                <w:sz w:val="22"/>
                <w:szCs w:val="22"/>
                <w:color w:val="auto"/>
                <w:w w:val="93"/>
              </w:rPr>
              <w:t>14.5. Binding Effect; Benefit of Agreement   96 Section 14.6. Term of this Agreement   96 Section 14.7. Governing</w:t>
            </w:r>
          </w:p>
        </w:tc>
      </w:tr>
      <w:tr>
        <w:trPr>
          <w:trHeight w:val="20"/>
        </w:trPr>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82"/>
        </w:trPr>
        <w:tc>
          <w:tcPr>
            <w:tcW w:w="5720" w:type="dxa"/>
            <w:vAlign w:val="bottom"/>
            <w:gridSpan w:val="14"/>
          </w:tcPr>
          <w:p>
            <w:pPr>
              <w:ind w:left="640"/>
              <w:spacing w:after="0"/>
              <w:rPr>
                <w:sz w:val="20"/>
                <w:szCs w:val="20"/>
                <w:color w:val="auto"/>
              </w:rPr>
            </w:pPr>
            <w:r>
              <w:rPr>
                <w:rFonts w:ascii="Arial" w:cs="Arial" w:eastAsia="Arial" w:hAnsi="Arial"/>
                <w:sz w:val="22"/>
                <w:szCs w:val="22"/>
                <w:color w:val="auto"/>
              </w:rPr>
              <w:t>Law; Consent to Jurisdiction; Waiver of Objection to</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1"/>
        </w:trPr>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ind w:left="400"/>
              <w:spacing w:after="0"/>
              <w:rPr>
                <w:sz w:val="20"/>
                <w:szCs w:val="20"/>
                <w:color w:val="auto"/>
              </w:rPr>
            </w:pPr>
            <w:r>
              <w:rPr>
                <w:rFonts w:ascii="Arial" w:cs="Arial" w:eastAsia="Arial" w:hAnsi="Arial"/>
                <w:sz w:val="22"/>
                <w:szCs w:val="22"/>
                <w:color w:val="auto"/>
              </w:rPr>
              <w:t>Venue</w:t>
            </w:r>
          </w:p>
        </w:tc>
        <w:tc>
          <w:tcPr>
            <w:tcW w:w="3260" w:type="dxa"/>
            <w:vAlign w:val="bottom"/>
            <w:gridSpan w:val="13"/>
          </w:tcPr>
          <w:p>
            <w:pPr>
              <w:spacing w:after="0"/>
              <w:rPr>
                <w:sz w:val="20"/>
                <w:szCs w:val="20"/>
                <w:color w:val="auto"/>
              </w:rPr>
            </w:pPr>
            <w:r>
              <w:rPr>
                <w:rFonts w:ascii="Arial" w:cs="Arial" w:eastAsia="Arial" w:hAnsi="Arial"/>
                <w:sz w:val="22"/>
                <w:szCs w:val="22"/>
                <w:color w:val="auto"/>
                <w:w w:val="91"/>
              </w:rPr>
              <w:t>96 Section 14.8. Waiver of Jury Trial</w:t>
            </w:r>
          </w:p>
        </w:tc>
        <w:tc>
          <w:tcPr>
            <w:tcW w:w="80" w:type="dxa"/>
            <w:vAlign w:val="bottom"/>
          </w:tcPr>
          <w:p>
            <w:pPr>
              <w:spacing w:after="0"/>
              <w:rPr>
                <w:sz w:val="24"/>
                <w:szCs w:val="24"/>
                <w:color w:val="auto"/>
              </w:rPr>
            </w:pPr>
          </w:p>
        </w:tc>
        <w:tc>
          <w:tcPr>
            <w:tcW w:w="4580" w:type="dxa"/>
            <w:vAlign w:val="bottom"/>
            <w:gridSpan w:val="12"/>
          </w:tcPr>
          <w:p>
            <w:pPr>
              <w:jc w:val="right"/>
              <w:spacing w:after="0"/>
              <w:rPr>
                <w:sz w:val="20"/>
                <w:szCs w:val="20"/>
                <w:color w:val="auto"/>
              </w:rPr>
            </w:pPr>
            <w:r>
              <w:rPr>
                <w:rFonts w:ascii="Arial" w:cs="Arial" w:eastAsia="Arial" w:hAnsi="Arial"/>
                <w:sz w:val="22"/>
                <w:szCs w:val="22"/>
                <w:color w:val="auto"/>
                <w:w w:val="94"/>
              </w:rPr>
              <w:t>96 Section 14.9. Costs, Expenses and Taxes   97</w:t>
            </w:r>
          </w:p>
        </w:tc>
      </w:tr>
      <w:tr>
        <w:trPr>
          <w:trHeight w:val="20"/>
        </w:trPr>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31"/>
        </w:trPr>
        <w:tc>
          <w:tcPr>
            <w:tcW w:w="9960" w:type="dxa"/>
            <w:vAlign w:val="bottom"/>
            <w:gridSpan w:val="28"/>
          </w:tcPr>
          <w:p>
            <w:pPr>
              <w:ind w:left="640"/>
              <w:spacing w:after="0"/>
              <w:rPr>
                <w:sz w:val="20"/>
                <w:szCs w:val="20"/>
                <w:color w:val="auto"/>
              </w:rPr>
            </w:pPr>
            <w:r>
              <w:rPr>
                <w:rFonts w:ascii="Arial" w:cs="Arial" w:eastAsia="Arial" w:hAnsi="Arial"/>
                <w:sz w:val="22"/>
                <w:szCs w:val="22"/>
                <w:color w:val="auto"/>
              </w:rPr>
              <w:t>Section 14.10. No Proceedings   98 Section 14.11. Recourse Against Certain Parties   98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90"/>
        </w:trPr>
        <w:tc>
          <w:tcPr>
            <w:tcW w:w="9700" w:type="dxa"/>
            <w:vAlign w:val="bottom"/>
            <w:gridSpan w:val="26"/>
          </w:tcPr>
          <w:p>
            <w:pPr>
              <w:ind w:left="640"/>
              <w:spacing w:after="0"/>
              <w:rPr>
                <w:sz w:val="20"/>
                <w:szCs w:val="20"/>
                <w:color w:val="auto"/>
              </w:rPr>
            </w:pPr>
            <w:r>
              <w:rPr>
                <w:rFonts w:ascii="Arial" w:cs="Arial" w:eastAsia="Arial" w:hAnsi="Arial"/>
                <w:sz w:val="22"/>
                <w:szCs w:val="22"/>
                <w:color w:val="auto"/>
                <w:w w:val="91"/>
              </w:rPr>
              <w:t>Section 14.12.  Protection of Right, Title and Interest in Assets; Further Action Evidencing the Funding</w:t>
            </w:r>
          </w:p>
        </w:tc>
        <w:tc>
          <w:tcPr>
            <w:tcW w:w="260" w:type="dxa"/>
            <w:vAlign w:val="bottom"/>
            <w:tcBorders>
              <w:bottom w:val="single" w:sz="8" w:color="auto"/>
            </w:tcBorders>
            <w:gridSpan w:val="2"/>
          </w:tcPr>
          <w:p>
            <w:pPr>
              <w:spacing w:after="0"/>
              <w:rPr>
                <w:sz w:val="24"/>
                <w:szCs w:val="24"/>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22"/>
                <w:szCs w:val="22"/>
                <w:color w:val="auto"/>
                <w:w w:val="81"/>
              </w:rPr>
              <w:t>98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5"/>
        </w:trPr>
        <w:tc>
          <w:tcPr>
            <w:tcW w:w="5600" w:type="dxa"/>
            <w:vAlign w:val="bottom"/>
            <w:gridSpan w:val="13"/>
          </w:tcPr>
          <w:p>
            <w:pPr>
              <w:ind w:left="640"/>
              <w:spacing w:after="0"/>
              <w:rPr>
                <w:sz w:val="20"/>
                <w:szCs w:val="20"/>
                <w:color w:val="auto"/>
              </w:rPr>
            </w:pPr>
            <w:r>
              <w:rPr>
                <w:rFonts w:ascii="Arial" w:cs="Arial" w:eastAsia="Arial" w:hAnsi="Arial"/>
                <w:sz w:val="22"/>
                <w:szCs w:val="22"/>
                <w:color w:val="auto"/>
                <w:w w:val="89"/>
              </w:rPr>
              <w:t>Section 14.13. Confidentiality; Tax Treatment Disclosure</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180" w:type="dxa"/>
            <w:vAlign w:val="bottom"/>
            <w:gridSpan w:val="16"/>
          </w:tcPr>
          <w:p>
            <w:pPr>
              <w:jc w:val="right"/>
              <w:spacing w:after="0"/>
              <w:rPr>
                <w:sz w:val="20"/>
                <w:szCs w:val="20"/>
                <w:color w:val="auto"/>
              </w:rPr>
            </w:pPr>
            <w:r>
              <w:rPr>
                <w:rFonts w:ascii="Arial" w:cs="Arial" w:eastAsia="Arial" w:hAnsi="Arial"/>
                <w:sz w:val="22"/>
                <w:szCs w:val="22"/>
                <w:color w:val="auto"/>
                <w:w w:val="89"/>
              </w:rPr>
              <w:t>100 Section 14.14. Execution in Counterparts; Severability;</w:t>
            </w:r>
          </w:p>
        </w:tc>
      </w:tr>
      <w:tr>
        <w:trPr>
          <w:trHeight w:val="331"/>
        </w:trPr>
        <w:tc>
          <w:tcPr>
            <w:tcW w:w="5720" w:type="dxa"/>
            <w:vAlign w:val="bottom"/>
            <w:gridSpan w:val="14"/>
          </w:tcPr>
          <w:p>
            <w:pPr>
              <w:ind w:left="640"/>
              <w:spacing w:after="0"/>
              <w:rPr>
                <w:sz w:val="20"/>
                <w:szCs w:val="20"/>
                <w:color w:val="auto"/>
              </w:rPr>
            </w:pPr>
            <w:r>
              <w:rPr>
                <w:rFonts w:ascii="Arial" w:cs="Arial" w:eastAsia="Arial" w:hAnsi="Arial"/>
                <w:sz w:val="22"/>
                <w:szCs w:val="22"/>
                <w:color w:val="auto"/>
                <w:w w:val="94"/>
              </w:rPr>
              <w:t>Integration   101 Section 14.15. Patriot Act Compliance</w:t>
            </w:r>
          </w:p>
        </w:tc>
        <w:tc>
          <w:tcPr>
            <w:tcW w:w="620" w:type="dxa"/>
            <w:vAlign w:val="bottom"/>
            <w:gridSpan w:val="4"/>
          </w:tcPr>
          <w:p>
            <w:pPr>
              <w:jc w:val="right"/>
              <w:ind w:right="160"/>
              <w:spacing w:after="0"/>
              <w:rPr>
                <w:sz w:val="20"/>
                <w:szCs w:val="20"/>
                <w:color w:val="auto"/>
              </w:rPr>
            </w:pPr>
            <w:r>
              <w:rPr>
                <w:rFonts w:ascii="Arial" w:cs="Arial" w:eastAsia="Arial" w:hAnsi="Arial"/>
                <w:sz w:val="22"/>
                <w:szCs w:val="22"/>
                <w:color w:val="auto"/>
              </w:rPr>
              <w:t>102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4"/>
        </w:trPr>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8"/>
          </w:tcPr>
          <w:p>
            <w:pPr>
              <w:ind w:left="300"/>
              <w:spacing w:after="0"/>
              <w:rPr>
                <w:sz w:val="20"/>
                <w:szCs w:val="20"/>
                <w:color w:val="auto"/>
              </w:rPr>
            </w:pPr>
            <w:r>
              <w:rPr>
                <w:rFonts w:ascii="Arial" w:cs="Arial" w:eastAsia="Arial" w:hAnsi="Arial"/>
                <w:sz w:val="22"/>
                <w:szCs w:val="22"/>
                <w:color w:val="auto"/>
              </w:rPr>
              <w:t>EXHIBITS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63"/>
        </w:trPr>
        <w:tc>
          <w:tcPr>
            <w:tcW w:w="1160" w:type="dxa"/>
            <w:vAlign w:val="bottom"/>
          </w:tcPr>
          <w:p>
            <w:pPr>
              <w:spacing w:after="0"/>
              <w:rPr>
                <w:sz w:val="20"/>
                <w:szCs w:val="20"/>
                <w:color w:val="auto"/>
              </w:rPr>
            </w:pPr>
            <w:r>
              <w:rPr>
                <w:rFonts w:ascii="Arial" w:cs="Arial" w:eastAsia="Arial" w:hAnsi="Arial"/>
                <w:sz w:val="22"/>
                <w:szCs w:val="22"/>
                <w:color w:val="auto"/>
              </w:rPr>
              <w:t>EXHIBIT A</w:t>
            </w:r>
          </w:p>
        </w:tc>
        <w:tc>
          <w:tcPr>
            <w:tcW w:w="4560" w:type="dxa"/>
            <w:vAlign w:val="bottom"/>
            <w:gridSpan w:val="13"/>
          </w:tcPr>
          <w:p>
            <w:pPr>
              <w:ind w:left="120"/>
              <w:spacing w:after="0"/>
              <w:rPr>
                <w:sz w:val="20"/>
                <w:szCs w:val="20"/>
                <w:color w:val="auto"/>
              </w:rPr>
            </w:pPr>
            <w:r>
              <w:rPr>
                <w:rFonts w:ascii="Arial" w:cs="Arial" w:eastAsia="Arial" w:hAnsi="Arial"/>
                <w:sz w:val="22"/>
                <w:szCs w:val="22"/>
                <w:color w:val="auto"/>
              </w:rPr>
              <w:t>Form of Funding Notice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6"/>
        </w:trPr>
        <w:tc>
          <w:tcPr>
            <w:tcW w:w="1160" w:type="dxa"/>
            <w:vAlign w:val="bottom"/>
          </w:tcPr>
          <w:p>
            <w:pPr>
              <w:spacing w:after="0"/>
              <w:rPr>
                <w:sz w:val="20"/>
                <w:szCs w:val="20"/>
                <w:color w:val="auto"/>
              </w:rPr>
            </w:pPr>
            <w:r>
              <w:rPr>
                <w:rFonts w:ascii="Arial" w:cs="Arial" w:eastAsia="Arial" w:hAnsi="Arial"/>
                <w:sz w:val="22"/>
                <w:szCs w:val="22"/>
                <w:color w:val="auto"/>
              </w:rPr>
              <w:t>EXHIBIT B</w:t>
            </w:r>
          </w:p>
        </w:tc>
        <w:tc>
          <w:tcPr>
            <w:tcW w:w="4560" w:type="dxa"/>
            <w:vAlign w:val="bottom"/>
            <w:gridSpan w:val="13"/>
          </w:tcPr>
          <w:p>
            <w:pPr>
              <w:ind w:left="120"/>
              <w:spacing w:after="0"/>
              <w:rPr>
                <w:sz w:val="20"/>
                <w:szCs w:val="20"/>
                <w:color w:val="auto"/>
              </w:rPr>
            </w:pPr>
            <w:r>
              <w:rPr>
                <w:rFonts w:ascii="Arial" w:cs="Arial" w:eastAsia="Arial" w:hAnsi="Arial"/>
                <w:sz w:val="22"/>
                <w:szCs w:val="22"/>
                <w:color w:val="auto"/>
                <w:w w:val="93"/>
              </w:rPr>
              <w:t>Form of Assignment and Acceptance EXHIBIT C</w:t>
            </w:r>
          </w:p>
        </w:tc>
        <w:tc>
          <w:tcPr>
            <w:tcW w:w="4240" w:type="dxa"/>
            <w:vAlign w:val="bottom"/>
            <w:gridSpan w:val="14"/>
          </w:tcPr>
          <w:p>
            <w:pPr>
              <w:ind w:left="100"/>
              <w:spacing w:after="0"/>
              <w:rPr>
                <w:sz w:val="20"/>
                <w:szCs w:val="20"/>
                <w:color w:val="auto"/>
              </w:rPr>
            </w:pPr>
            <w:r>
              <w:rPr>
                <w:rFonts w:ascii="Arial" w:cs="Arial" w:eastAsia="Arial" w:hAnsi="Arial"/>
                <w:sz w:val="22"/>
                <w:szCs w:val="22"/>
                <w:color w:val="auto"/>
              </w:rPr>
              <w:t>Form of</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3120" w:type="dxa"/>
            <w:vAlign w:val="bottom"/>
            <w:gridSpan w:val="6"/>
          </w:tcPr>
          <w:p>
            <w:pPr>
              <w:spacing w:after="0"/>
              <w:rPr>
                <w:sz w:val="20"/>
                <w:szCs w:val="20"/>
                <w:color w:val="auto"/>
              </w:rPr>
            </w:pPr>
            <w:r>
              <w:rPr>
                <w:rFonts w:ascii="Arial" w:cs="Arial" w:eastAsia="Arial" w:hAnsi="Arial"/>
                <w:sz w:val="22"/>
                <w:szCs w:val="22"/>
                <w:color w:val="auto"/>
              </w:rPr>
              <w:t>Monthly Report</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22"/>
                <w:szCs w:val="22"/>
                <w:color w:val="auto"/>
              </w:rPr>
              <w:t>EXHIBIT D</w:t>
            </w:r>
          </w:p>
        </w:tc>
        <w:tc>
          <w:tcPr>
            <w:tcW w:w="5220" w:type="dxa"/>
            <w:vAlign w:val="bottom"/>
            <w:gridSpan w:val="18"/>
          </w:tcPr>
          <w:p>
            <w:pPr>
              <w:ind w:left="120"/>
              <w:spacing w:after="0"/>
              <w:rPr>
                <w:sz w:val="20"/>
                <w:szCs w:val="20"/>
                <w:color w:val="auto"/>
              </w:rPr>
            </w:pPr>
            <w:r>
              <w:rPr>
                <w:rFonts w:ascii="Arial" w:cs="Arial" w:eastAsia="Arial" w:hAnsi="Arial"/>
                <w:sz w:val="22"/>
                <w:szCs w:val="22"/>
                <w:color w:val="auto"/>
                <w:w w:val="95"/>
              </w:rPr>
              <w:t>Form of Officer’s Certificate as to Solvency EXHIBIT E</w:t>
            </w:r>
          </w:p>
        </w:tc>
        <w:tc>
          <w:tcPr>
            <w:tcW w:w="3580" w:type="dxa"/>
            <w:vAlign w:val="bottom"/>
            <w:gridSpan w:val="9"/>
          </w:tcPr>
          <w:p>
            <w:pPr>
              <w:ind w:left="40"/>
              <w:spacing w:after="0"/>
              <w:rPr>
                <w:sz w:val="20"/>
                <w:szCs w:val="20"/>
                <w:color w:val="auto"/>
              </w:rPr>
            </w:pPr>
            <w:r>
              <w:rPr>
                <w:rFonts w:ascii="Arial" w:cs="Arial" w:eastAsia="Arial" w:hAnsi="Arial"/>
                <w:sz w:val="22"/>
                <w:szCs w:val="22"/>
                <w:color w:val="auto"/>
              </w:rPr>
              <w:t>Form of Take-</w:t>
            </w: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6"/>
        </w:trPr>
        <w:tc>
          <w:tcPr>
            <w:tcW w:w="1160" w:type="dxa"/>
            <w:vAlign w:val="bottom"/>
          </w:tcPr>
          <w:p>
            <w:pPr>
              <w:spacing w:after="0"/>
              <w:rPr>
                <w:sz w:val="20"/>
                <w:szCs w:val="20"/>
                <w:color w:val="auto"/>
              </w:rPr>
            </w:pPr>
            <w:r>
              <w:rPr>
                <w:rFonts w:ascii="Arial" w:cs="Arial" w:eastAsia="Arial" w:hAnsi="Arial"/>
                <w:sz w:val="22"/>
                <w:szCs w:val="22"/>
                <w:color w:val="auto"/>
                <w:w w:val="93"/>
              </w:rPr>
              <w:t>Out Release</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22"/>
                <w:szCs w:val="22"/>
                <w:color w:val="auto"/>
              </w:rPr>
              <w:t>EXHIBIT F</w:t>
            </w:r>
          </w:p>
        </w:tc>
        <w:tc>
          <w:tcPr>
            <w:tcW w:w="5220" w:type="dxa"/>
            <w:vAlign w:val="bottom"/>
            <w:gridSpan w:val="18"/>
          </w:tcPr>
          <w:p>
            <w:pPr>
              <w:ind w:left="100"/>
              <w:spacing w:after="0"/>
              <w:rPr>
                <w:sz w:val="20"/>
                <w:szCs w:val="20"/>
                <w:color w:val="auto"/>
              </w:rPr>
            </w:pPr>
            <w:r>
              <w:rPr>
                <w:rFonts w:ascii="Arial" w:cs="Arial" w:eastAsia="Arial" w:hAnsi="Arial"/>
                <w:sz w:val="22"/>
                <w:szCs w:val="22"/>
                <w:color w:val="auto"/>
                <w:w w:val="98"/>
              </w:rPr>
              <w:t>Form of Contribution Agreement EXHIBIT G  Form of</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4"/>
        </w:trPr>
        <w:tc>
          <w:tcPr>
            <w:tcW w:w="3120" w:type="dxa"/>
            <w:vAlign w:val="bottom"/>
            <w:gridSpan w:val="6"/>
          </w:tcPr>
          <w:p>
            <w:pPr>
              <w:spacing w:after="0"/>
              <w:rPr>
                <w:sz w:val="20"/>
                <w:szCs w:val="20"/>
                <w:color w:val="auto"/>
              </w:rPr>
            </w:pPr>
            <w:r>
              <w:rPr>
                <w:rFonts w:ascii="Arial" w:cs="Arial" w:eastAsia="Arial" w:hAnsi="Arial"/>
                <w:sz w:val="22"/>
                <w:szCs w:val="22"/>
                <w:color w:val="auto"/>
                <w:w w:val="93"/>
              </w:rPr>
              <w:t>Variable Funding Note EXHIBIT H</w:t>
            </w:r>
          </w:p>
        </w:tc>
        <w:tc>
          <w:tcPr>
            <w:tcW w:w="40" w:type="dxa"/>
            <w:vAlign w:val="bottom"/>
          </w:tcPr>
          <w:p>
            <w:pPr>
              <w:spacing w:after="0"/>
              <w:rPr>
                <w:sz w:val="23"/>
                <w:szCs w:val="23"/>
                <w:color w:val="auto"/>
              </w:rPr>
            </w:pPr>
          </w:p>
        </w:tc>
        <w:tc>
          <w:tcPr>
            <w:tcW w:w="6800" w:type="dxa"/>
            <w:vAlign w:val="bottom"/>
            <w:gridSpan w:val="21"/>
          </w:tcPr>
          <w:p>
            <w:pPr>
              <w:ind w:left="140"/>
              <w:spacing w:after="0"/>
              <w:rPr>
                <w:sz w:val="20"/>
                <w:szCs w:val="20"/>
                <w:color w:val="auto"/>
              </w:rPr>
            </w:pPr>
            <w:r>
              <w:rPr>
                <w:rFonts w:ascii="Arial" w:cs="Arial" w:eastAsia="Arial" w:hAnsi="Arial"/>
                <w:sz w:val="22"/>
                <w:szCs w:val="22"/>
                <w:color w:val="auto"/>
              </w:rPr>
              <w:t>Form of Dealer Agreement EXHIBIT</w:t>
            </w: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ind w:left="282" w:hanging="282"/>
        <w:spacing w:after="0"/>
        <w:tabs>
          <w:tab w:leader="none" w:pos="282" w:val="left"/>
        </w:tabs>
        <w:numPr>
          <w:ilvl w:val="0"/>
          <w:numId w:val="252"/>
        </w:numPr>
        <w:rPr>
          <w:rFonts w:ascii="Arial" w:cs="Arial" w:eastAsia="Arial" w:hAnsi="Arial"/>
          <w:sz w:val="22"/>
          <w:szCs w:val="22"/>
          <w:color w:val="auto"/>
        </w:rPr>
      </w:pPr>
      <w:r>
        <w:rPr>
          <w:rFonts w:ascii="Arial" w:cs="Arial" w:eastAsia="Arial" w:hAnsi="Arial"/>
          <w:sz w:val="22"/>
          <w:szCs w:val="22"/>
          <w:color w:val="auto"/>
        </w:rPr>
        <w:t>Forms of Contracts</w:t>
      </w:r>
    </w:p>
    <w:p>
      <w:pPr>
        <w:spacing w:after="0" w:line="4" w:lineRule="exact"/>
        <w:rPr>
          <w:sz w:val="20"/>
          <w:szCs w:val="20"/>
          <w:color w:val="auto"/>
        </w:rPr>
      </w:pPr>
    </w:p>
    <w:p>
      <w:pPr>
        <w:ind w:left="2" w:right="4460"/>
        <w:spacing w:after="0" w:line="246" w:lineRule="auto"/>
        <w:rPr>
          <w:sz w:val="20"/>
          <w:szCs w:val="20"/>
          <w:color w:val="auto"/>
        </w:rPr>
      </w:pPr>
      <w:r>
        <w:rPr>
          <w:rFonts w:ascii="Arial" w:cs="Arial" w:eastAsia="Arial" w:hAnsi="Arial"/>
          <w:sz w:val="22"/>
          <w:szCs w:val="22"/>
          <w:color w:val="auto"/>
        </w:rPr>
        <w:t>EXHIBIT J Form of Backup Servicing Agreement EXHIBIT K Form of Purchase Agreement</w:t>
      </w:r>
    </w:p>
    <w:p>
      <w:pPr>
        <w:spacing w:after="0" w:line="300" w:lineRule="exact"/>
        <w:rPr>
          <w:sz w:val="20"/>
          <w:szCs w:val="20"/>
          <w:color w:val="auto"/>
        </w:rPr>
      </w:pPr>
    </w:p>
    <w:p>
      <w:pPr>
        <w:jc w:val="center"/>
        <w:ind w:right="-1"/>
        <w:spacing w:after="0"/>
        <w:rPr>
          <w:sz w:val="20"/>
          <w:szCs w:val="20"/>
          <w:color w:val="auto"/>
        </w:rPr>
      </w:pPr>
      <w:r>
        <w:rPr>
          <w:rFonts w:ascii="Arial" w:cs="Arial" w:eastAsia="Arial" w:hAnsi="Arial"/>
          <w:sz w:val="22"/>
          <w:szCs w:val="22"/>
          <w:color w:val="auto"/>
        </w:rPr>
        <w:t>SCHEDULES</w:t>
      </w:r>
    </w:p>
    <w:p>
      <w:pPr>
        <w:spacing w:after="0" w:line="260" w:lineRule="exact"/>
        <w:rPr>
          <w:sz w:val="20"/>
          <w:szCs w:val="20"/>
          <w:color w:val="auto"/>
        </w:rPr>
      </w:pPr>
    </w:p>
    <w:p>
      <w:pPr>
        <w:ind w:left="2"/>
        <w:spacing w:after="0"/>
        <w:tabs>
          <w:tab w:leader="none" w:pos="1442" w:val="left"/>
        </w:tabs>
        <w:rPr>
          <w:sz w:val="20"/>
          <w:szCs w:val="20"/>
          <w:color w:val="auto"/>
        </w:rPr>
      </w:pPr>
      <w:r>
        <w:rPr>
          <w:rFonts w:ascii="Arial" w:cs="Arial" w:eastAsia="Arial" w:hAnsi="Arial"/>
          <w:sz w:val="22"/>
          <w:szCs w:val="22"/>
          <w:color w:val="auto"/>
        </w:rPr>
        <w:t>SCHEDULE I</w:t>
      </w:r>
      <w:r>
        <w:rPr>
          <w:sz w:val="20"/>
          <w:szCs w:val="20"/>
          <w:color w:val="auto"/>
        </w:rPr>
        <w:tab/>
      </w:r>
      <w:r>
        <w:rPr>
          <w:rFonts w:ascii="Arial" w:cs="Arial" w:eastAsia="Arial" w:hAnsi="Arial"/>
          <w:sz w:val="19"/>
          <w:szCs w:val="19"/>
          <w:color w:val="auto"/>
        </w:rPr>
        <w:t>Credit Guidelines</w:t>
      </w:r>
    </w:p>
    <w:p>
      <w:pPr>
        <w:spacing w:after="0" w:line="21" w:lineRule="exact"/>
        <w:rPr>
          <w:sz w:val="20"/>
          <w:szCs w:val="20"/>
          <w:color w:val="auto"/>
        </w:rPr>
      </w:pPr>
    </w:p>
    <w:p>
      <w:pPr>
        <w:ind w:left="2"/>
        <w:spacing w:after="0"/>
        <w:tabs>
          <w:tab w:leader="none" w:pos="1522" w:val="left"/>
          <w:tab w:leader="none" w:pos="8742" w:val="left"/>
        </w:tabs>
        <w:rPr>
          <w:sz w:val="20"/>
          <w:szCs w:val="20"/>
          <w:color w:val="auto"/>
        </w:rPr>
      </w:pPr>
      <w:r>
        <w:rPr>
          <w:rFonts w:ascii="Arial" w:cs="Arial" w:eastAsia="Arial" w:hAnsi="Arial"/>
          <w:sz w:val="22"/>
          <w:szCs w:val="22"/>
          <w:color w:val="auto"/>
        </w:rPr>
        <w:t>SCHEDULE II</w:t>
        <w:tab/>
        <w:t>Tradenames, Fictitious Names and “Doing Business As” Names SCHEDULE III</w:t>
      </w:r>
      <w:r>
        <w:rPr>
          <w:sz w:val="20"/>
          <w:szCs w:val="20"/>
          <w:color w:val="auto"/>
        </w:rPr>
        <w:tab/>
      </w:r>
      <w:r>
        <w:rPr>
          <w:rFonts w:ascii="Arial" w:cs="Arial" w:eastAsia="Arial" w:hAnsi="Arial"/>
          <w:sz w:val="19"/>
          <w:szCs w:val="19"/>
          <w:color w:val="auto"/>
        </w:rPr>
        <w:t>Location of</w:t>
      </w:r>
    </w:p>
    <w:p>
      <w:pPr>
        <w:spacing w:after="0" w:line="4" w:lineRule="exact"/>
        <w:rPr>
          <w:sz w:val="20"/>
          <w:szCs w:val="20"/>
          <w:color w:val="auto"/>
        </w:rPr>
      </w:pPr>
    </w:p>
    <w:p>
      <w:pPr>
        <w:ind w:left="2"/>
        <w:spacing w:after="0"/>
        <w:rPr>
          <w:sz w:val="20"/>
          <w:szCs w:val="20"/>
          <w:color w:val="auto"/>
        </w:rPr>
      </w:pPr>
      <w:r>
        <w:rPr>
          <w:rFonts w:ascii="Arial" w:cs="Arial" w:eastAsia="Arial" w:hAnsi="Arial"/>
          <w:sz w:val="22"/>
          <w:szCs w:val="22"/>
          <w:color w:val="auto"/>
        </w:rPr>
        <w:t>Records and Contract Files</w:t>
      </w:r>
    </w:p>
    <w:p>
      <w:pPr>
        <w:spacing w:after="0" w:line="4" w:lineRule="exact"/>
        <w:rPr>
          <w:sz w:val="20"/>
          <w:szCs w:val="20"/>
          <w:color w:val="auto"/>
        </w:rPr>
      </w:pPr>
    </w:p>
    <w:p>
      <w:pPr>
        <w:ind w:left="2"/>
        <w:spacing w:after="0"/>
        <w:tabs>
          <w:tab w:leader="none" w:pos="1602" w:val="left"/>
          <w:tab w:leader="none" w:pos="7982" w:val="left"/>
        </w:tabs>
        <w:rPr>
          <w:sz w:val="20"/>
          <w:szCs w:val="20"/>
          <w:color w:val="auto"/>
        </w:rPr>
      </w:pPr>
      <w:r>
        <w:rPr>
          <w:rFonts w:ascii="Arial" w:cs="Arial" w:eastAsia="Arial" w:hAnsi="Arial"/>
          <w:sz w:val="22"/>
          <w:szCs w:val="22"/>
          <w:color w:val="auto"/>
        </w:rPr>
        <w:t>SCHEDULE IV</w:t>
        <w:tab/>
        <w:t>List of Loans, Contracts, Dealer Agreements and Pools SCHEDULE V</w:t>
      </w:r>
      <w:r>
        <w:rPr>
          <w:sz w:val="20"/>
          <w:szCs w:val="20"/>
          <w:color w:val="auto"/>
        </w:rPr>
        <w:tab/>
      </w:r>
      <w:r>
        <w:rPr>
          <w:rFonts w:ascii="Arial" w:cs="Arial" w:eastAsia="Arial" w:hAnsi="Arial"/>
          <w:sz w:val="18"/>
          <w:szCs w:val="18"/>
          <w:color w:val="auto"/>
        </w:rPr>
        <w:t>Forecasted</w:t>
      </w:r>
    </w:p>
    <w:p>
      <w:pPr>
        <w:spacing w:after="0" w:line="4" w:lineRule="exact"/>
        <w:rPr>
          <w:sz w:val="20"/>
          <w:szCs w:val="20"/>
          <w:color w:val="auto"/>
        </w:rPr>
      </w:pPr>
    </w:p>
    <w:p>
      <w:pPr>
        <w:ind w:left="2"/>
        <w:spacing w:after="0"/>
        <w:rPr>
          <w:sz w:val="20"/>
          <w:szCs w:val="20"/>
          <w:color w:val="auto"/>
        </w:rPr>
      </w:pPr>
      <w:r>
        <w:rPr>
          <w:rFonts w:ascii="Arial" w:cs="Arial" w:eastAsia="Arial" w:hAnsi="Arial"/>
          <w:sz w:val="22"/>
          <w:szCs w:val="22"/>
          <w:color w:val="auto"/>
        </w:rPr>
        <w:t>Collections</w:t>
      </w:r>
    </w:p>
    <w:p>
      <w:pPr>
        <w:spacing w:after="0" w:line="350" w:lineRule="exact"/>
        <w:rPr>
          <w:sz w:val="20"/>
          <w:szCs w:val="20"/>
          <w:color w:val="auto"/>
        </w:rPr>
      </w:pPr>
    </w:p>
    <w:p>
      <w:pPr>
        <w:jc w:val="center"/>
        <w:ind w:right="-1"/>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042"/>
          </w:cols>
          <w:pgMar w:left="418" w:top="1084" w:right="4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8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SCHEDULE VI</w:t>
      </w:r>
      <w:r>
        <w:rPr>
          <w:sz w:val="20"/>
          <w:szCs w:val="20"/>
          <w:color w:val="auto"/>
        </w:rPr>
        <w:tab/>
      </w:r>
      <w:r>
        <w:rPr>
          <w:rFonts w:ascii="Arial" w:cs="Arial" w:eastAsia="Arial" w:hAnsi="Arial"/>
          <w:sz w:val="19"/>
          <w:szCs w:val="19"/>
          <w:color w:val="auto"/>
        </w:rPr>
        <w:t>Commitment Amount of Each Lender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SCHEDULE VII Condition Precedent Documents Relating to Amendment and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040"/>
          </w:cols>
          <w:pgMar w:left="420" w:top="1084" w:right="439" w:bottom="1440" w:gutter="0" w:footer="0" w:header="0"/>
        </w:sectPr>
      </w:pPr>
    </w:p>
    <w:bookmarkStart w:id="268" w:name="page269"/>
    <w:bookmarkEnd w:id="268"/>
    <w:p>
      <w:pPr>
        <w:ind w:right="2180" w:firstLine="648"/>
        <w:spacing w:after="0" w:line="263" w:lineRule="auto"/>
        <w:rPr>
          <w:sz w:val="20"/>
          <w:szCs w:val="20"/>
          <w:color w:val="auto"/>
        </w:rPr>
      </w:pPr>
      <w:r>
        <w:rPr>
          <w:rFonts w:ascii="Arial" w:cs="Arial" w:eastAsia="Arial" w:hAnsi="Arial"/>
          <w:sz w:val="22"/>
          <w:szCs w:val="22"/>
          <w:color w:val="auto"/>
        </w:rPr>
        <w:t>THIS SIXTH AMENDED AND RESTATED LOAN AND SECURITY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June 23, 2016 among:</w:t>
      </w:r>
    </w:p>
    <w:p>
      <w:pPr>
        <w:spacing w:after="0" w:line="215" w:lineRule="exact"/>
        <w:rPr>
          <w:sz w:val="20"/>
          <w:szCs w:val="20"/>
          <w:color w:val="auto"/>
        </w:rPr>
      </w:pPr>
    </w:p>
    <w:p>
      <w:pPr>
        <w:ind w:left="1240" w:hanging="600"/>
        <w:spacing w:after="0"/>
        <w:tabs>
          <w:tab w:leader="none" w:pos="124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CAC WAREHOUSE FUNDING CORPORATION II, a Nevada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640"/>
        <w:spacing w:after="0" w:line="263" w:lineRule="auto"/>
        <w:tabs>
          <w:tab w:leader="none" w:pos="1251" w:val="left"/>
        </w:tabs>
        <w:numPr>
          <w:ilvl w:val="0"/>
          <w:numId w:val="253"/>
        </w:numPr>
        <w:rPr>
          <w:rFonts w:ascii="Arial" w:cs="Arial" w:eastAsia="Arial" w:hAnsi="Arial"/>
          <w:sz w:val="22"/>
          <w:szCs w:val="22"/>
          <w:color w:val="auto"/>
        </w:rPr>
      </w:pPr>
      <w:r>
        <w:rPr>
          <w:rFonts w:ascii="Arial" w:cs="Arial" w:eastAsia="Arial" w:hAnsi="Arial"/>
          <w:sz w:val="22"/>
          <w:szCs w:val="22"/>
          <w:color w:val="auto"/>
        </w:rPr>
        <w:t>CREDIT ACCEPTANCE CORPORATION, a Michigan corporation (“</w:t>
      </w:r>
      <w:r>
        <w:rPr>
          <w:rFonts w:ascii="Arial" w:cs="Arial" w:eastAsia="Arial" w:hAnsi="Arial"/>
          <w:sz w:val="22"/>
          <w:szCs w:val="22"/>
          <w:u w:val="single" w:color="auto"/>
          <w:color w:val="auto"/>
        </w:rPr>
        <w:t>Credit Acceptance</w:t>
      </w:r>
      <w:r>
        <w:rPr>
          <w:rFonts w:ascii="Arial" w:cs="Arial" w:eastAsia="Arial" w:hAnsi="Arial"/>
          <w:sz w:val="22"/>
          <w:szCs w:val="22"/>
          <w:color w:val="auto"/>
        </w:rPr>
        <w:t>”, the “</w:t>
      </w:r>
      <w:r>
        <w:rPr>
          <w:rFonts w:ascii="Arial" w:cs="Arial" w:eastAsia="Arial" w:hAnsi="Arial"/>
          <w:sz w:val="22"/>
          <w:szCs w:val="22"/>
          <w:u w:val="single" w:color="auto"/>
          <w:color w:val="auto"/>
        </w:rPr>
        <w:t>Originator</w:t>
      </w:r>
      <w:r>
        <w:rPr>
          <w:rFonts w:ascii="Arial" w:cs="Arial" w:eastAsia="Arial" w:hAnsi="Arial"/>
          <w:sz w:val="22"/>
          <w:szCs w:val="22"/>
          <w:color w:val="auto"/>
        </w:rPr>
        <w:t>”, the “</w:t>
      </w:r>
      <w:r>
        <w:rPr>
          <w:rFonts w:ascii="Arial" w:cs="Arial" w:eastAsia="Arial" w:hAnsi="Arial"/>
          <w:sz w:val="22"/>
          <w:szCs w:val="22"/>
          <w:u w:val="single" w:color="auto"/>
          <w:color w:val="auto"/>
        </w:rPr>
        <w:t>Servicer</w:t>
      </w:r>
      <w:r>
        <w:rPr>
          <w:rFonts w:ascii="Arial" w:cs="Arial" w:eastAsia="Arial" w:hAnsi="Arial"/>
          <w:sz w:val="22"/>
          <w:szCs w:val="22"/>
          <w:color w:val="auto"/>
        </w:rPr>
        <w:t>” or the “</w:t>
      </w:r>
      <w:r>
        <w:rPr>
          <w:rFonts w:ascii="Arial" w:cs="Arial" w:eastAsia="Arial" w:hAnsi="Arial"/>
          <w:sz w:val="22"/>
          <w:szCs w:val="22"/>
          <w:u w:val="single" w:color="auto"/>
          <w:color w:val="auto"/>
        </w:rPr>
        <w:t>Custodian</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firstLine="640"/>
        <w:spacing w:after="0" w:line="263" w:lineRule="auto"/>
        <w:tabs>
          <w:tab w:leader="none" w:pos="1251"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WELLS FARGO BANK, NATIONAL ASSOCIATION, as a Lender (a “Lender” and together with the other Lenders from time to time party hereto, the “</w:t>
      </w: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firstLine="640"/>
        <w:spacing w:after="0" w:line="263" w:lineRule="auto"/>
        <w:tabs>
          <w:tab w:leader="none" w:pos="1251"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WELLS FARGO BANK, NATIONAL ASSOCIATION, a national banking association (“</w:t>
      </w:r>
      <w:r>
        <w:rPr>
          <w:rFonts w:ascii="Arial" w:cs="Arial" w:eastAsia="Arial" w:hAnsi="Arial"/>
          <w:sz w:val="22"/>
          <w:szCs w:val="22"/>
          <w:u w:val="single" w:color="auto"/>
          <w:color w:val="auto"/>
        </w:rPr>
        <w:t>Wells Fargo</w:t>
      </w:r>
      <w:r>
        <w:rPr>
          <w:rFonts w:ascii="Arial" w:cs="Arial" w:eastAsia="Arial" w:hAnsi="Arial"/>
          <w:sz w:val="22"/>
          <w:szCs w:val="22"/>
          <w:color w:val="auto"/>
        </w:rPr>
        <w:t>”), as deal agent (the “</w:t>
      </w:r>
      <w:r>
        <w:rPr>
          <w:rFonts w:ascii="Arial" w:cs="Arial" w:eastAsia="Arial" w:hAnsi="Arial"/>
          <w:sz w:val="22"/>
          <w:szCs w:val="22"/>
          <w:u w:val="single" w:color="auto"/>
          <w:color w:val="auto"/>
        </w:rPr>
        <w:t>Deal Agent</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firstLine="640"/>
        <w:spacing w:after="0" w:line="263" w:lineRule="auto"/>
        <w:tabs>
          <w:tab w:leader="none" w:pos="1251"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WELLS FARGO BANK, NATIONAL ASSOCIATION, a national banking association, as backup servicer (the “</w:t>
      </w:r>
      <w:r>
        <w:rPr>
          <w:rFonts w:ascii="Arial" w:cs="Arial" w:eastAsia="Arial" w:hAnsi="Arial"/>
          <w:sz w:val="22"/>
          <w:szCs w:val="22"/>
          <w:u w:val="single" w:color="auto"/>
          <w:color w:val="auto"/>
        </w:rPr>
        <w:t>Backup Servicer</w:t>
      </w:r>
      <w:r>
        <w:rPr>
          <w:rFonts w:ascii="Arial" w:cs="Arial" w:eastAsia="Arial" w:hAnsi="Arial"/>
          <w:sz w:val="22"/>
          <w:szCs w:val="22"/>
          <w:color w:val="auto"/>
        </w:rPr>
        <w:t>”); and</w:t>
      </w:r>
    </w:p>
    <w:p>
      <w:pPr>
        <w:spacing w:after="0" w:line="215" w:lineRule="exact"/>
        <w:rPr>
          <w:rFonts w:ascii="Arial" w:cs="Arial" w:eastAsia="Arial" w:hAnsi="Arial"/>
          <w:sz w:val="22"/>
          <w:szCs w:val="22"/>
          <w:color w:val="auto"/>
        </w:rPr>
      </w:pPr>
    </w:p>
    <w:p>
      <w:pPr>
        <w:ind w:firstLine="640"/>
        <w:spacing w:after="0" w:line="263" w:lineRule="auto"/>
        <w:tabs>
          <w:tab w:leader="none" w:pos="1251" w:val="left"/>
        </w:tabs>
        <w:numPr>
          <w:ilvl w:val="0"/>
          <w:numId w:val="253"/>
        </w:numPr>
        <w:rPr>
          <w:rFonts w:ascii="Arial" w:cs="Arial" w:eastAsia="Arial" w:hAnsi="Arial"/>
          <w:sz w:val="22"/>
          <w:szCs w:val="22"/>
          <w:color w:val="auto"/>
        </w:rPr>
      </w:pPr>
      <w:r>
        <w:rPr>
          <w:rFonts w:ascii="Arial" w:cs="Arial" w:eastAsia="Arial" w:hAnsi="Arial"/>
          <w:sz w:val="22"/>
          <w:szCs w:val="22"/>
          <w:color w:val="auto"/>
        </w:rPr>
        <w:t>WELLS FARGO BANK, NATIONAL ASSOCIATION, a national banking association, as collateral agent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the Borrower, Credit Acceptance, Wells Fargo (as successor to Wachovia Bank, National Association), in its capacity as investor and in its capacity as liquidity agent, Variable Funding Capital Company LLC, Wells Fargo Securities, LLC, in its capacity as Deal Agent, and Wells Fargo, in its capacity as Collateral Agent and in its capacity as Backup Servicer, have entered into a Fifth Amended and Restated Loan and Security Agreement, dated as of December 27, 2012 (as amended through the date hereof, the “</w:t>
      </w:r>
      <w:r>
        <w:rPr>
          <w:rFonts w:ascii="Arial" w:cs="Arial" w:eastAsia="Arial" w:hAnsi="Arial"/>
          <w:sz w:val="19"/>
          <w:szCs w:val="19"/>
          <w:u w:val="single" w:color="auto"/>
          <w:color w:val="auto"/>
        </w:rPr>
        <w:t>Existing Loan and Security Agreement</w:t>
      </w:r>
      <w:r>
        <w:rPr>
          <w:rFonts w:ascii="Arial" w:cs="Arial" w:eastAsia="Arial" w:hAnsi="Arial"/>
          <w:sz w:val="19"/>
          <w:szCs w:val="19"/>
          <w:color w:val="auto"/>
        </w:rPr>
        <w:t>”); and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hereto desire to amend and restate the Existing Loan and Security Agreement in its entirety as provided herein.</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IT IS AGREED as follows:</w:t>
      </w:r>
    </w:p>
    <w:p>
      <w:pPr>
        <w:spacing w:after="0" w:line="32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ARTICLE I DEFINITIONS</w:t>
      </w:r>
    </w:p>
    <w:p>
      <w:pPr>
        <w:spacing w:after="0" w:line="260"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Certain Defined Terms</w:t>
      </w:r>
      <w:r>
        <w:rPr>
          <w:rFonts w:ascii="Arial" w:cs="Arial" w:eastAsia="Arial" w:hAnsi="Arial"/>
          <w:sz w:val="19"/>
          <w:szCs w:val="19"/>
          <w:color w:val="auto"/>
        </w:rPr>
        <w:t>.</w:t>
      </w:r>
    </w:p>
    <w:p>
      <w:pPr>
        <w:spacing w:after="0" w:line="260"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Certain capitalized terms used throughout this Agreement are defined above or in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9" w:lineRule="exact"/>
        <w:rPr>
          <w:sz w:val="20"/>
          <w:szCs w:val="20"/>
          <w:color w:val="auto"/>
        </w:rPr>
      </w:pPr>
    </w:p>
    <w:p>
      <w:pPr>
        <w:ind w:firstLine="1936"/>
        <w:spacing w:after="0" w:line="263" w:lineRule="auto"/>
        <w:tabs>
          <w:tab w:leader="none" w:pos="2547"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As used in this Agreement and its schedules, exhibits and other attachments, unless the context requires a different meaning, the following terms shall have the following meanings:</w:t>
      </w:r>
    </w:p>
    <w:p>
      <w:pPr>
        <w:sectPr>
          <w:pgSz w:w="11900" w:h="16838" w:orient="portrait"/>
          <w:cols w:equalWidth="0" w:num="1">
            <w:col w:w="10440"/>
          </w:cols>
          <w:pgMar w:left="1020" w:top="1428" w:right="439" w:bottom="1440" w:gutter="0" w:footer="0" w:header="0"/>
        </w:sectPr>
      </w:pPr>
    </w:p>
    <w:bookmarkStart w:id="269" w:name="page270"/>
    <w:bookmarkEnd w:id="269"/>
    <w:p>
      <w:pPr>
        <w:ind w:left="1340"/>
        <w:spacing w:after="0"/>
        <w:rPr>
          <w:sz w:val="20"/>
          <w:szCs w:val="20"/>
          <w:color w:val="auto"/>
        </w:rPr>
      </w:pPr>
      <w:r>
        <w:rPr>
          <w:rFonts w:ascii="Arial" w:cs="Arial" w:eastAsia="Arial" w:hAnsi="Arial"/>
          <w:sz w:val="21"/>
          <w:szCs w:val="21"/>
          <w:u w:val="single" w:color="auto"/>
          <w:color w:val="auto"/>
        </w:rPr>
        <w:t>Accrual Period</w:t>
      </w:r>
      <w:r>
        <w:rPr>
          <w:rFonts w:ascii="Arial" w:cs="Arial" w:eastAsia="Arial" w:hAnsi="Arial"/>
          <w:sz w:val="21"/>
          <w:szCs w:val="21"/>
          <w:color w:val="auto"/>
        </w:rPr>
        <w:t>: For any Payment Date, the calendar month immediately preceding such Payment Date.</w:t>
      </w:r>
    </w:p>
    <w:p>
      <w:pPr>
        <w:spacing w:after="0" w:line="272" w:lineRule="exact"/>
        <w:rPr>
          <w:sz w:val="20"/>
          <w:szCs w:val="20"/>
          <w:color w:val="auto"/>
        </w:rPr>
      </w:pPr>
    </w:p>
    <w:p>
      <w:pPr>
        <w:jc w:val="both"/>
        <w:ind w:left="700" w:right="40" w:firstLine="648"/>
        <w:spacing w:after="0" w:line="265" w:lineRule="auto"/>
        <w:rPr>
          <w:sz w:val="20"/>
          <w:szCs w:val="20"/>
          <w:color w:val="auto"/>
        </w:rPr>
      </w:pPr>
      <w:r>
        <w:rPr>
          <w:rFonts w:ascii="Arial" w:cs="Arial" w:eastAsia="Arial" w:hAnsi="Arial"/>
          <w:sz w:val="21"/>
          <w:szCs w:val="21"/>
          <w:u w:val="single" w:color="auto"/>
          <w:color w:val="auto"/>
        </w:rPr>
        <w:t>Addition Date</w:t>
      </w:r>
      <w:r>
        <w:rPr>
          <w:rFonts w:ascii="Arial" w:cs="Arial" w:eastAsia="Arial" w:hAnsi="Arial"/>
          <w:sz w:val="21"/>
          <w:szCs w:val="21"/>
          <w:color w:val="auto"/>
        </w:rPr>
        <w:t>: (a) With respect to any Dealer Loan, the date on which such Dealer Loan is contributed or otherwise transferred by Credit Acceptance to the Borrower pursuant to the Contribution Agreement; and (b) With respect to any Purchased Loan, the date on which such Purchased Loan is contributed or otherwise transferred by Credit Acceptance to the Borrower pursuant to the Contribution Agreement.</w:t>
      </w:r>
    </w:p>
    <w:p>
      <w:pPr>
        <w:spacing w:after="0" w:line="202"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Additional Amount</w:t>
      </w:r>
      <w:r>
        <w:rPr>
          <w:rFonts w:ascii="Arial" w:cs="Arial" w:eastAsia="Arial" w:hAnsi="Arial"/>
          <w:sz w:val="22"/>
          <w:szCs w:val="22"/>
          <w:color w:val="auto"/>
        </w:rPr>
        <w:t>: Defined in Section 2.14(a).</w:t>
      </w:r>
    </w:p>
    <w:p>
      <w:pPr>
        <w:spacing w:after="0" w:line="260" w:lineRule="exact"/>
        <w:rPr>
          <w:sz w:val="20"/>
          <w:szCs w:val="20"/>
          <w:color w:val="auto"/>
        </w:rPr>
      </w:pPr>
    </w:p>
    <w:p>
      <w:pPr>
        <w:jc w:val="both"/>
        <w:ind w:left="700" w:right="40" w:firstLine="648"/>
        <w:spacing w:after="0" w:line="263" w:lineRule="auto"/>
        <w:rPr>
          <w:sz w:val="20"/>
          <w:szCs w:val="20"/>
          <w:color w:val="auto"/>
        </w:rPr>
      </w:pPr>
      <w:r>
        <w:rPr>
          <w:rFonts w:ascii="Arial" w:cs="Arial" w:eastAsia="Arial" w:hAnsi="Arial"/>
          <w:sz w:val="22"/>
          <w:szCs w:val="22"/>
          <w:u w:val="single" w:color="auto"/>
          <w:color w:val="auto"/>
        </w:rPr>
        <w:t>Additional Cut-Off Date</w:t>
      </w:r>
      <w:r>
        <w:rPr>
          <w:rFonts w:ascii="Arial" w:cs="Arial" w:eastAsia="Arial" w:hAnsi="Arial"/>
          <w:sz w:val="22"/>
          <w:szCs w:val="22"/>
          <w:color w:val="auto"/>
        </w:rPr>
        <w:t>: Each date on and after which Collections on an Additional Loan are to be transferred to the Collateral.</w:t>
      </w:r>
    </w:p>
    <w:p>
      <w:pPr>
        <w:spacing w:after="0" w:line="202" w:lineRule="exact"/>
        <w:rPr>
          <w:sz w:val="20"/>
          <w:szCs w:val="20"/>
          <w:color w:val="auto"/>
        </w:rPr>
      </w:pPr>
    </w:p>
    <w:p>
      <w:pPr>
        <w:ind w:left="3500"/>
        <w:spacing w:after="0"/>
        <w:rPr>
          <w:sz w:val="20"/>
          <w:szCs w:val="20"/>
          <w:color w:val="auto"/>
        </w:rPr>
      </w:pPr>
      <w:r>
        <w:rPr>
          <w:rFonts w:ascii="Arial" w:cs="Arial" w:eastAsia="Arial" w:hAnsi="Arial"/>
          <w:sz w:val="19"/>
          <w:szCs w:val="19"/>
          <w:u w:val="single" w:color="auto"/>
          <w:color w:val="auto"/>
        </w:rPr>
        <w:t>Additional Loans</w:t>
      </w:r>
      <w:r>
        <w:rPr>
          <w:rFonts w:ascii="Arial" w:cs="Arial" w:eastAsia="Arial" w:hAnsi="Arial"/>
          <w:sz w:val="19"/>
          <w:szCs w:val="19"/>
          <w:color w:val="auto"/>
        </w:rPr>
        <w:t>: All Loans that become part of the Collateral after the Initial Funding.</w:t>
      </w:r>
    </w:p>
    <w:p>
      <w:pPr>
        <w:spacing w:after="0" w:line="295" w:lineRule="exact"/>
        <w:rPr>
          <w:sz w:val="20"/>
          <w:szCs w:val="20"/>
          <w:color w:val="auto"/>
        </w:rPr>
      </w:pPr>
    </w:p>
    <w:p>
      <w:pPr>
        <w:jc w:val="both"/>
        <w:ind w:left="700" w:right="40" w:firstLine="648"/>
        <w:spacing w:after="0" w:line="250" w:lineRule="auto"/>
        <w:rPr>
          <w:sz w:val="20"/>
          <w:szCs w:val="20"/>
          <w:color w:val="auto"/>
        </w:rPr>
      </w:pPr>
      <w:r>
        <w:rPr>
          <w:rFonts w:ascii="Arial" w:cs="Arial" w:eastAsia="Arial" w:hAnsi="Arial"/>
          <w:sz w:val="22"/>
          <w:szCs w:val="22"/>
          <w:u w:val="single" w:color="auto"/>
          <w:color w:val="auto"/>
        </w:rPr>
        <w:t>Additional Principal Payment Amount</w:t>
      </w:r>
      <w:r>
        <w:rPr>
          <w:rFonts w:ascii="Arial" w:cs="Arial" w:eastAsia="Arial" w:hAnsi="Arial"/>
          <w:sz w:val="22"/>
          <w:szCs w:val="22"/>
          <w:color w:val="auto"/>
        </w:rPr>
        <w:t>: With respect to any Payment Date during the Amortization Period, the lesser of: (i) Capital as of the immediately preceding Payment Date (after giving effect to all payments in reduction of principal on such Payment Date); and (ii) Collections remaining after distribution of amounts described in Section 2.7 (a)(i) through (vi).</w:t>
      </w:r>
    </w:p>
    <w:p>
      <w:pPr>
        <w:spacing w:after="0" w:line="215" w:lineRule="exact"/>
        <w:rPr>
          <w:sz w:val="20"/>
          <w:szCs w:val="20"/>
          <w:color w:val="auto"/>
        </w:rPr>
      </w:pPr>
    </w:p>
    <w:p>
      <w:pPr>
        <w:jc w:val="both"/>
        <w:ind w:left="660" w:right="40" w:firstLine="648"/>
        <w:spacing w:after="0" w:line="250" w:lineRule="auto"/>
        <w:rPr>
          <w:sz w:val="20"/>
          <w:szCs w:val="20"/>
          <w:color w:val="auto"/>
        </w:rPr>
      </w:pPr>
      <w:r>
        <w:rPr>
          <w:rFonts w:ascii="Arial" w:cs="Arial" w:eastAsia="Arial" w:hAnsi="Arial"/>
          <w:sz w:val="22"/>
          <w:szCs w:val="22"/>
          <w:u w:val="single" w:color="auto"/>
          <w:color w:val="FF0000"/>
        </w:rPr>
        <w:t>Adjusted Eurodollar Rate</w:t>
      </w:r>
      <w:r>
        <w:rPr>
          <w:rFonts w:ascii="Arial" w:cs="Arial" w:eastAsia="Arial" w:hAnsi="Arial"/>
          <w:sz w:val="22"/>
          <w:szCs w:val="22"/>
          <w:color w:val="FF0000"/>
        </w:rPr>
        <w:t xml:space="preserve">: For any Accrual Period, an interest </w:t>
      </w:r>
      <w:r>
        <w:rPr>
          <w:rFonts w:ascii="Arial" w:cs="Arial" w:eastAsia="Arial" w:hAnsi="Arial"/>
          <w:sz w:val="22"/>
          <w:szCs w:val="22"/>
          <w:color w:val="007F00"/>
          <w:strike w:val="1"/>
        </w:rPr>
        <w:t>rate per annum equal to</w:t>
      </w:r>
      <w:r>
        <w:rPr>
          <w:rFonts w:ascii="Arial" w:cs="Arial" w:eastAsia="Arial" w:hAnsi="Arial"/>
          <w:sz w:val="22"/>
          <w:szCs w:val="22"/>
          <w:color w:val="FF0000"/>
        </w:rPr>
        <w:t xml:space="preserve"> </w:t>
      </w:r>
      <w:r>
        <w:rPr>
          <w:rFonts w:ascii="Arial" w:cs="Arial" w:eastAsia="Arial" w:hAnsi="Arial"/>
          <w:sz w:val="22"/>
          <w:szCs w:val="22"/>
          <w:color w:val="FF0000"/>
          <w:strike w:val="1"/>
        </w:rPr>
        <w:t>a fraction, expressed as a</w:t>
      </w:r>
      <w:r>
        <w:rPr>
          <w:rFonts w:ascii="Arial" w:cs="Arial" w:eastAsia="Arial" w:hAnsi="Arial"/>
          <w:sz w:val="22"/>
          <w:szCs w:val="22"/>
          <w:color w:val="FF0000"/>
        </w:rPr>
        <w:t xml:space="preserve"> </w:t>
      </w:r>
      <w:r>
        <w:rPr>
          <w:rFonts w:ascii="Arial" w:cs="Arial" w:eastAsia="Arial" w:hAnsi="Arial"/>
          <w:sz w:val="22"/>
          <w:szCs w:val="22"/>
          <w:color w:val="FF0000"/>
          <w:strike w:val="1"/>
        </w:rPr>
        <w:t>percentage and rounded upwards (if necessary), to the nearest 1/100 of 1%, (i) the numerator of which is equal to the LIBOR Rate for such Accrual Period and (ii) the denominator of which is equal to 100% minus the Eurodollar Reserve Percentage for such Accrual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-577850</wp:posOffset>
            </wp:positionV>
            <wp:extent cx="34626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62655" cy="8255"/>
                    </a:xfrm>
                    <a:prstGeom prst="rect">
                      <a:avLst/>
                    </a:prstGeom>
                    <a:noFill/>
                  </pic:spPr>
                </pic:pic>
              </a:graphicData>
            </a:graphic>
          </wp:anchor>
        </w:drawing>
      </w:r>
    </w:p>
    <w:p>
      <w:pPr>
        <w:spacing w:after="0" w:line="208"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Advance</w:t>
      </w:r>
      <w:r>
        <w:rPr>
          <w:rFonts w:ascii="Arial" w:cs="Arial" w:eastAsia="Arial" w:hAnsi="Arial"/>
          <w:sz w:val="22"/>
          <w:szCs w:val="22"/>
          <w:color w:val="auto"/>
        </w:rPr>
        <w:t>: As defined in Section 2.1(a).</w:t>
      </w:r>
    </w:p>
    <w:p>
      <w:pPr>
        <w:spacing w:after="0" w:line="247" w:lineRule="exact"/>
        <w:rPr>
          <w:sz w:val="20"/>
          <w:szCs w:val="20"/>
          <w:color w:val="auto"/>
        </w:rPr>
      </w:pPr>
    </w:p>
    <w:p>
      <w:pPr>
        <w:ind w:left="700" w:right="20" w:firstLine="648"/>
        <w:spacing w:after="0" w:line="263" w:lineRule="auto"/>
        <w:rPr>
          <w:sz w:val="20"/>
          <w:szCs w:val="20"/>
          <w:color w:val="auto"/>
        </w:rPr>
      </w:pPr>
      <w:r>
        <w:rPr>
          <w:rFonts w:ascii="Arial" w:cs="Arial" w:eastAsia="Arial" w:hAnsi="Arial"/>
          <w:sz w:val="22"/>
          <w:szCs w:val="22"/>
          <w:u w:val="single" w:color="auto"/>
          <w:color w:val="auto"/>
        </w:rPr>
        <w:t>Affected Party</w:t>
      </w:r>
      <w:r>
        <w:rPr>
          <w:rFonts w:ascii="Arial" w:cs="Arial" w:eastAsia="Arial" w:hAnsi="Arial"/>
          <w:sz w:val="22"/>
          <w:szCs w:val="22"/>
          <w:color w:val="auto"/>
        </w:rPr>
        <w:t>: Each of the Lenders, any assignee or participant of any Lender, Wells Fargo, as Deal Agent, any successor to Wells Fargo as Deal Agent and any sub-agent of the Deal Agent.</w:t>
      </w:r>
    </w:p>
    <w:p>
      <w:pPr>
        <w:spacing w:after="0" w:line="283" w:lineRule="exact"/>
        <w:rPr>
          <w:sz w:val="20"/>
          <w:szCs w:val="20"/>
          <w:color w:val="auto"/>
        </w:rPr>
      </w:pPr>
    </w:p>
    <w:p>
      <w:pPr>
        <w:jc w:val="both"/>
        <w:ind w:left="700" w:firstLine="648"/>
        <w:spacing w:after="0" w:line="261" w:lineRule="auto"/>
        <w:rPr>
          <w:sz w:val="20"/>
          <w:szCs w:val="20"/>
          <w:color w:val="auto"/>
        </w:rPr>
      </w:pPr>
      <w:r>
        <w:rPr>
          <w:rFonts w:ascii="Arial" w:cs="Arial" w:eastAsia="Arial" w:hAnsi="Arial"/>
          <w:sz w:val="21"/>
          <w:szCs w:val="21"/>
          <w:u w:val="single" w:color="auto"/>
          <w:color w:val="auto"/>
        </w:rPr>
        <w:t>Affiliate</w:t>
      </w:r>
      <w:r>
        <w:rPr>
          <w:rFonts w:ascii="Arial" w:cs="Arial" w:eastAsia="Arial" w:hAnsi="Arial"/>
          <w:sz w:val="21"/>
          <w:szCs w:val="21"/>
          <w:color w:val="auto"/>
        </w:rPr>
        <w:t>: With respect to a Person, means any other Person that, directly or indirectly, controls, is controlled by or under common control with such Person, or is a director or officer of such Person. For purposes of this definition, “control” (including the terms “controlling,” “controlled by” and “under common control with”) when used with respect to any specified Person means the possession, direct or indirect, of the power to vote 5% or more of the voting securities of such Person or to direct or cause the direction of the management or policies of such Person, whether through the ownership of voting securities, by contract or otherwise.</w:t>
      </w:r>
    </w:p>
    <w:p>
      <w:pPr>
        <w:spacing w:after="0" w:line="220" w:lineRule="exact"/>
        <w:rPr>
          <w:sz w:val="20"/>
          <w:szCs w:val="20"/>
          <w:color w:val="auto"/>
        </w:rPr>
      </w:pPr>
    </w:p>
    <w:p>
      <w:pPr>
        <w:ind w:left="700" w:right="60" w:firstLine="648"/>
        <w:spacing w:after="0" w:line="263" w:lineRule="auto"/>
        <w:rPr>
          <w:sz w:val="20"/>
          <w:szCs w:val="20"/>
          <w:color w:val="auto"/>
        </w:rPr>
      </w:pPr>
      <w:r>
        <w:rPr>
          <w:rFonts w:ascii="Arial" w:cs="Arial" w:eastAsia="Arial" w:hAnsi="Arial"/>
          <w:sz w:val="22"/>
          <w:szCs w:val="22"/>
          <w:u w:val="single" w:color="auto"/>
          <w:color w:val="auto"/>
        </w:rPr>
        <w:t>Agent’s Account</w:t>
      </w:r>
      <w:r>
        <w:rPr>
          <w:rFonts w:ascii="Arial" w:cs="Arial" w:eastAsia="Arial" w:hAnsi="Arial"/>
          <w:sz w:val="22"/>
          <w:szCs w:val="22"/>
          <w:color w:val="auto"/>
        </w:rPr>
        <w:t>: An account at Wells Fargo Bank, National Association in the name of the Deal Agent or at such other account as may be designated by the Deal Agent from time to time.</w:t>
      </w:r>
    </w:p>
    <w:p>
      <w:pPr>
        <w:spacing w:after="0" w:line="229" w:lineRule="exact"/>
        <w:rPr>
          <w:sz w:val="20"/>
          <w:szCs w:val="20"/>
          <w:color w:val="auto"/>
        </w:rPr>
      </w:pPr>
    </w:p>
    <w:p>
      <w:pPr>
        <w:ind w:left="700" w:right="720" w:firstLine="648"/>
        <w:spacing w:after="0" w:line="263" w:lineRule="auto"/>
        <w:rPr>
          <w:sz w:val="20"/>
          <w:szCs w:val="20"/>
          <w:color w:val="auto"/>
        </w:rPr>
      </w:pPr>
      <w:r>
        <w:rPr>
          <w:rFonts w:ascii="Arial" w:cs="Arial" w:eastAsia="Arial" w:hAnsi="Arial"/>
          <w:sz w:val="22"/>
          <w:szCs w:val="22"/>
          <w:u w:val="single" w:color="auto"/>
          <w:color w:val="auto"/>
        </w:rPr>
        <w:t>Aggregate Outstanding Eligible Loan Balance</w:t>
      </w:r>
      <w:r>
        <w:rPr>
          <w:rFonts w:ascii="Arial" w:cs="Arial" w:eastAsia="Arial" w:hAnsi="Arial"/>
          <w:sz w:val="22"/>
          <w:szCs w:val="22"/>
          <w:color w:val="auto"/>
        </w:rPr>
        <w:t>: On any date of determination, the sum of the Outstanding Balances of all Eligible Loans on such day.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w:t>
      </w:r>
    </w:p>
    <w:p>
      <w:pPr>
        <w:sectPr>
          <w:pgSz w:w="11900" w:h="16838" w:orient="portrait"/>
          <w:cols w:equalWidth="0" w:num="1">
            <w:col w:w="11140"/>
          </w:cols>
          <w:pgMar w:left="320" w:top="1428" w:right="439" w:bottom="1440" w:gutter="0" w:footer="0" w:header="0"/>
        </w:sectPr>
      </w:pPr>
    </w:p>
    <w:bookmarkStart w:id="270" w:name="page271"/>
    <w:bookmarkEnd w:id="270"/>
    <w:p>
      <w:pPr>
        <w:jc w:val="both"/>
        <w:ind w:left="700" w:firstLine="648"/>
        <w:spacing w:after="0" w:line="343" w:lineRule="auto"/>
        <w:rPr>
          <w:sz w:val="20"/>
          <w:szCs w:val="20"/>
          <w:color w:val="auto"/>
        </w:rPr>
      </w:pPr>
      <w:r>
        <w:rPr>
          <w:rFonts w:ascii="Arial" w:cs="Arial" w:eastAsia="Arial" w:hAnsi="Arial"/>
          <w:sz w:val="19"/>
          <w:szCs w:val="19"/>
          <w:u w:val="single" w:color="auto"/>
          <w:color w:val="auto"/>
        </w:rPr>
        <w:t>Aggregate Outstanding Eligible Loan Net Balance</w:t>
      </w:r>
      <w:r>
        <w:rPr>
          <w:rFonts w:ascii="Arial" w:cs="Arial" w:eastAsia="Arial" w:hAnsi="Arial"/>
          <w:sz w:val="19"/>
          <w:szCs w:val="19"/>
          <w:color w:val="auto"/>
        </w:rPr>
        <w:t>: On any date of determination, the Aggregate Outstanding Eligible Loan Balance less the related Loan Loss Reserves at the end of the most recent Collection Period.</w:t>
      </w:r>
    </w:p>
    <w:p>
      <w:pPr>
        <w:spacing w:after="0" w:line="145" w:lineRule="exact"/>
        <w:rPr>
          <w:sz w:val="20"/>
          <w:szCs w:val="20"/>
          <w:color w:val="auto"/>
        </w:rPr>
      </w:pPr>
    </w:p>
    <w:p>
      <w:pPr>
        <w:jc w:val="both"/>
        <w:ind w:left="700" w:firstLine="648"/>
        <w:spacing w:after="0" w:line="294" w:lineRule="auto"/>
        <w:rPr>
          <w:sz w:val="20"/>
          <w:szCs w:val="20"/>
          <w:color w:val="auto"/>
        </w:rPr>
      </w:pPr>
      <w:r>
        <w:rPr>
          <w:rFonts w:ascii="Arial" w:cs="Arial" w:eastAsia="Arial" w:hAnsi="Arial"/>
          <w:sz w:val="19"/>
          <w:szCs w:val="19"/>
          <w:u w:val="single" w:color="auto"/>
          <w:color w:val="auto"/>
        </w:rPr>
        <w:t>Aggregate Unpaids</w:t>
      </w:r>
      <w:r>
        <w:rPr>
          <w:rFonts w:ascii="Arial" w:cs="Arial" w:eastAsia="Arial" w:hAnsi="Arial"/>
          <w:sz w:val="19"/>
          <w:szCs w:val="19"/>
          <w:color w:val="auto"/>
        </w:rPr>
        <w:t>: At any time, an amount, equal to the sum of all accrued and unpaid Capital, Yield, Breakage Costs, Hedge Breakage Costs and all other amounts owed by the Borrower hereunder, under any Hedging Agreement (including, without limitation, payments in respect of the termination of any such Hedging Agreement) or under any other Transaction Document or by the Borrower or any other Person under any fee letter (including, without limitation, the Fee Letter) delivered in connection with the transactions contemplated by this Agreement (whether due or accrued) and any unpaid fees due to the Backup Servicer, both before and after the Assumption Date.</w:t>
      </w:r>
    </w:p>
    <w:p>
      <w:pPr>
        <w:spacing w:after="0" w:line="176" w:lineRule="exact"/>
        <w:rPr>
          <w:sz w:val="20"/>
          <w:szCs w:val="20"/>
          <w:color w:val="auto"/>
        </w:rPr>
      </w:pPr>
    </w:p>
    <w:p>
      <w:pPr>
        <w:jc w:val="both"/>
        <w:ind w:left="700" w:firstLine="648"/>
        <w:spacing w:after="0" w:line="263" w:lineRule="auto"/>
        <w:rPr>
          <w:sz w:val="20"/>
          <w:szCs w:val="20"/>
          <w:color w:val="auto"/>
        </w:rPr>
      </w:pPr>
      <w:r>
        <w:rPr>
          <w:rFonts w:ascii="Arial" w:cs="Arial" w:eastAsia="Arial" w:hAnsi="Arial"/>
          <w:sz w:val="22"/>
          <w:szCs w:val="22"/>
          <w:u w:val="single" w:color="auto"/>
          <w:color w:val="FF0000"/>
        </w:rPr>
        <w:t>Alternative Rate</w:t>
      </w:r>
      <w:r>
        <w:rPr>
          <w:rFonts w:ascii="Arial" w:cs="Arial" w:eastAsia="Arial" w:hAnsi="Arial"/>
          <w:sz w:val="22"/>
          <w:szCs w:val="22"/>
          <w:color w:val="FF0000"/>
        </w:rPr>
        <w:t xml:space="preserve">: An interest rate per annum equal to the Adjusted Eurodollar Rate; </w:t>
      </w:r>
      <w:r>
        <w:rPr>
          <w:rFonts w:ascii="Arial" w:cs="Arial" w:eastAsia="Arial" w:hAnsi="Arial"/>
          <w:sz w:val="22"/>
          <w:szCs w:val="22"/>
          <w:u w:val="single" w:color="auto"/>
          <w:color w:val="FF0000"/>
        </w:rPr>
        <w:t>provided</w:t>
      </w:r>
      <w:r>
        <w:rPr>
          <w:rFonts w:ascii="Arial" w:cs="Arial" w:eastAsia="Arial" w:hAnsi="Arial"/>
          <w:sz w:val="22"/>
          <w:szCs w:val="22"/>
          <w:color w:val="FF0000"/>
        </w:rPr>
        <w:t xml:space="preserve">, </w:t>
      </w:r>
      <w:r>
        <w:rPr>
          <w:rFonts w:ascii="Arial" w:cs="Arial" w:eastAsia="Arial" w:hAnsi="Arial"/>
          <w:sz w:val="22"/>
          <w:szCs w:val="22"/>
          <w:u w:val="single" w:color="auto"/>
          <w:color w:val="FF0000"/>
        </w:rPr>
        <w:t>however</w:t>
      </w:r>
      <w:r>
        <w:rPr>
          <w:rFonts w:ascii="Arial" w:cs="Arial" w:eastAsia="Arial" w:hAnsi="Arial"/>
          <w:sz w:val="22"/>
          <w:szCs w:val="22"/>
          <w:color w:val="FF0000"/>
        </w:rPr>
        <w:t xml:space="preserve">, that the </w:t>
      </w:r>
      <w:r>
        <w:rPr>
          <w:rFonts w:ascii="Arial" w:cs="Arial" w:eastAsia="Arial" w:hAnsi="Arial"/>
          <w:sz w:val="22"/>
          <w:szCs w:val="22"/>
          <w:color w:val="FF0000"/>
          <w:strike w:val="1"/>
        </w:rPr>
        <w:t>Alternative Rate shall be the Base Rate if a Eurodollar Disruption Event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-260350</wp:posOffset>
            </wp:positionV>
            <wp:extent cx="61925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2520" cy="8890"/>
                    </a:xfrm>
                    <a:prstGeom prst="rect">
                      <a:avLst/>
                    </a:prstGeom>
                    <a:noFill/>
                  </pic:spPr>
                </pic:pic>
              </a:graphicData>
            </a:graphic>
          </wp:anchor>
        </w:drawing>
      </w:r>
    </w:p>
    <w:p>
      <w:pPr>
        <w:spacing w:after="0" w:line="182" w:lineRule="exact"/>
        <w:rPr>
          <w:sz w:val="20"/>
          <w:szCs w:val="20"/>
          <w:color w:val="auto"/>
        </w:rPr>
      </w:pPr>
    </w:p>
    <w:p>
      <w:pPr>
        <w:jc w:val="both"/>
        <w:ind w:left="700" w:firstLine="648"/>
        <w:spacing w:after="0" w:line="246" w:lineRule="auto"/>
        <w:rPr>
          <w:sz w:val="20"/>
          <w:szCs w:val="20"/>
          <w:color w:val="auto"/>
        </w:rPr>
      </w:pPr>
      <w:r>
        <w:rPr>
          <w:rFonts w:ascii="Arial" w:cs="Arial" w:eastAsia="Arial" w:hAnsi="Arial"/>
          <w:sz w:val="22"/>
          <w:szCs w:val="22"/>
          <w:u w:val="single" w:color="auto"/>
          <w:color w:val="auto"/>
        </w:rPr>
        <w:t>Amortization Event</w:t>
      </w:r>
      <w:r>
        <w:rPr>
          <w:rFonts w:ascii="Arial" w:cs="Arial" w:eastAsia="Arial" w:hAnsi="Arial"/>
          <w:sz w:val="22"/>
          <w:szCs w:val="22"/>
          <w:color w:val="auto"/>
        </w:rPr>
        <w:t>: The occurrence of any of the following events: (i) on any Determination Date, the average Payment Rate for the preceding three (3) Collection Periods with respect to which the Payment Rate was calculated is less than 3.0%; (ii) a Reserve Advance is made, except if on the date of such Reserve Advance, the Capital is zero; (iii) Collections are less than 80.0% of Forecasted Collections for any two (2) consecutive Collection Periods; (iv) the Commitment Termination Date; (v) a Mandatory Take-Out has not occurred within 540 days following the Effective Date; or (vi) on any Determination Date, the Weighted Average Spread Rate is less than the Minimum Weighted Average Spread Rate.</w:t>
      </w:r>
    </w:p>
    <w:p>
      <w:pPr>
        <w:spacing w:after="0" w:line="237"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Amortization Period</w:t>
      </w:r>
      <w:r>
        <w:rPr>
          <w:rFonts w:ascii="Arial" w:cs="Arial" w:eastAsia="Arial" w:hAnsi="Arial"/>
          <w:sz w:val="22"/>
          <w:szCs w:val="22"/>
          <w:color w:val="auto"/>
        </w:rPr>
        <w:t>: With respect to each Lender, the period beginning on the earlier of:</w:t>
      </w:r>
    </w:p>
    <w:p>
      <w:pPr>
        <w:spacing w:after="0" w:line="21" w:lineRule="exact"/>
        <w:rPr>
          <w:sz w:val="20"/>
          <w:szCs w:val="20"/>
          <w:color w:val="auto"/>
        </w:rPr>
      </w:pPr>
    </w:p>
    <w:p>
      <w:pPr>
        <w:ind w:left="700" w:right="20" w:hanging="8"/>
        <w:spacing w:after="0" w:line="246" w:lineRule="auto"/>
        <w:tabs>
          <w:tab w:leader="none" w:pos="1309"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occurrence of an Amortization Event and (ii) the occurrence or declaration of the Termination Date, and ending on the Collection Date.</w:t>
      </w:r>
    </w:p>
    <w:p>
      <w:pPr>
        <w:spacing w:after="0" w:line="233"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Anti-Corruption Laws</w:t>
      </w:r>
      <w:r>
        <w:rPr>
          <w:rFonts w:ascii="Arial" w:cs="Arial" w:eastAsia="Arial" w:hAnsi="Arial"/>
          <w:sz w:val="22"/>
          <w:szCs w:val="22"/>
          <w:color w:val="auto"/>
        </w:rPr>
        <w:t>: (a) The U.S. Foreign Corrupt Practices Act of 1977, as amended;</w:t>
      </w:r>
    </w:p>
    <w:p>
      <w:pPr>
        <w:spacing w:after="0" w:line="21" w:lineRule="exact"/>
        <w:rPr>
          <w:sz w:val="20"/>
          <w:szCs w:val="20"/>
          <w:color w:val="auto"/>
        </w:rPr>
      </w:pPr>
    </w:p>
    <w:p>
      <w:pPr>
        <w:jc w:val="both"/>
        <w:ind w:left="700" w:right="20" w:hanging="8"/>
        <w:spacing w:after="0" w:line="245" w:lineRule="auto"/>
        <w:tabs>
          <w:tab w:leader="none" w:pos="1046"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U.K. Bribery Act 2010, as amended; and (c) any other anti-bribery or anti-corruption laws, regulations or ordinances in any jurisdiction in which the Borrower or any member of the Borrowing Group is located or doing business.</w:t>
      </w:r>
    </w:p>
    <w:p>
      <w:pPr>
        <w:spacing w:after="0" w:line="220" w:lineRule="exact"/>
        <w:rPr>
          <w:sz w:val="20"/>
          <w:szCs w:val="20"/>
          <w:color w:val="auto"/>
        </w:rPr>
      </w:pPr>
    </w:p>
    <w:p>
      <w:pPr>
        <w:jc w:val="both"/>
        <w:ind w:left="700" w:firstLine="648"/>
        <w:spacing w:after="0" w:line="294" w:lineRule="auto"/>
        <w:rPr>
          <w:sz w:val="20"/>
          <w:szCs w:val="20"/>
          <w:color w:val="auto"/>
        </w:rPr>
      </w:pPr>
      <w:r>
        <w:rPr>
          <w:rFonts w:ascii="Arial" w:cs="Arial" w:eastAsia="Arial" w:hAnsi="Arial"/>
          <w:sz w:val="19"/>
          <w:szCs w:val="19"/>
          <w:u w:val="single" w:color="auto"/>
          <w:color w:val="auto"/>
        </w:rPr>
        <w:t>Applicable Law</w:t>
      </w:r>
      <w:r>
        <w:rPr>
          <w:rFonts w:ascii="Arial" w:cs="Arial" w:eastAsia="Arial" w:hAnsi="Arial"/>
          <w:sz w:val="19"/>
          <w:szCs w:val="19"/>
          <w:color w:val="auto"/>
        </w:rPr>
        <w:t>: For any Person, all existing and future applicable laws, rules, regulations (including proposed, temporary and final income tax regulations), statutes, treaties, codes, ordinances, permits, certificates, orders and licenses of and interpretations by any Governmental Authority (including, without limitation, usury laws, the Federal Truth in Lending Act, and Regulation Z and Regulation B of the Board of Governors of the Federal Reserve System), and applicable judgments, decrees, injunctions, writs, orders, or action of any Court, arbitrator or other administrative, judicial, or quasi-judicial tribunal or agency of competent jurisdiction.</w:t>
      </w:r>
    </w:p>
    <w:p>
      <w:pPr>
        <w:spacing w:after="0" w:line="190" w:lineRule="exact"/>
        <w:rPr>
          <w:sz w:val="20"/>
          <w:szCs w:val="20"/>
          <w:color w:val="auto"/>
        </w:rPr>
      </w:pPr>
    </w:p>
    <w:p>
      <w:pPr>
        <w:jc w:val="both"/>
        <w:ind w:left="700" w:firstLine="648"/>
        <w:spacing w:after="0" w:line="263" w:lineRule="auto"/>
        <w:rPr>
          <w:sz w:val="20"/>
          <w:szCs w:val="20"/>
          <w:color w:val="auto"/>
        </w:rPr>
      </w:pP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An assignment and acceptance entered into by a Lender and an assignee, and accepted by the Deal Agent in substantially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w:t>
      </w:r>
    </w:p>
    <w:p>
      <w:pPr>
        <w:sectPr>
          <w:pgSz w:w="11900" w:h="16838" w:orient="portrait"/>
          <w:cols w:equalWidth="0" w:num="1">
            <w:col w:w="11100"/>
          </w:cols>
          <w:pgMar w:left="320" w:top="1428" w:right="479" w:bottom="1440" w:gutter="0" w:footer="0" w:header="0"/>
        </w:sectPr>
      </w:pPr>
    </w:p>
    <w:bookmarkStart w:id="271" w:name="page272"/>
    <w:bookmarkEnd w:id="271"/>
    <w:p>
      <w:pPr>
        <w:ind w:left="1340"/>
        <w:spacing w:after="0"/>
        <w:rPr>
          <w:sz w:val="20"/>
          <w:szCs w:val="20"/>
          <w:color w:val="auto"/>
        </w:rPr>
      </w:pPr>
      <w:r>
        <w:rPr>
          <w:rFonts w:ascii="Arial" w:cs="Arial" w:eastAsia="Arial" w:hAnsi="Arial"/>
          <w:sz w:val="22"/>
          <w:szCs w:val="22"/>
          <w:u w:val="single" w:color="auto"/>
          <w:color w:val="auto"/>
        </w:rPr>
        <w:t>Assumption Date</w:t>
      </w:r>
      <w:r>
        <w:rPr>
          <w:rFonts w:ascii="Arial" w:cs="Arial" w:eastAsia="Arial" w:hAnsi="Arial"/>
          <w:sz w:val="22"/>
          <w:szCs w:val="22"/>
          <w:color w:val="auto"/>
        </w:rPr>
        <w:t>: Defined in the Backup Servicing Agreement.</w:t>
      </w:r>
    </w:p>
    <w:p>
      <w:pPr>
        <w:spacing w:after="0" w:line="260" w:lineRule="exact"/>
        <w:rPr>
          <w:sz w:val="20"/>
          <w:szCs w:val="20"/>
          <w:color w:val="auto"/>
        </w:rPr>
      </w:pPr>
    </w:p>
    <w:p>
      <w:pPr>
        <w:jc w:val="both"/>
        <w:ind w:left="700" w:firstLine="648"/>
        <w:spacing w:after="0" w:line="290" w:lineRule="auto"/>
        <w:rPr>
          <w:sz w:val="20"/>
          <w:szCs w:val="20"/>
          <w:color w:val="auto"/>
        </w:rPr>
      </w:pPr>
      <w:r>
        <w:rPr>
          <w:rFonts w:ascii="Arial" w:cs="Arial" w:eastAsia="Arial" w:hAnsi="Arial"/>
          <w:sz w:val="19"/>
          <w:szCs w:val="19"/>
          <w:u w:val="single" w:color="auto"/>
          <w:color w:val="auto"/>
        </w:rPr>
        <w:t>Authoritative Electronic Copy</w:t>
      </w:r>
      <w:r>
        <w:rPr>
          <w:rFonts w:ascii="Arial" w:cs="Arial" w:eastAsia="Arial" w:hAnsi="Arial"/>
          <w:sz w:val="19"/>
          <w:szCs w:val="19"/>
          <w:color w:val="auto"/>
        </w:rPr>
        <w:t>: With respect to any Contract stored in an electronic medium, the single electronic “authoritative copy” (within the meaning of Section 9-105 of the UCC) of such Contract (i) that constitutes the single authoritative copy of the record or records comprising the related chattel paper which is unique, identifiable and, except as otherwise provided in clauses (iv), (v) and (vi) below, unalterable, (ii) that identifies Credit Acceptance as the sole assignee thereof, (iii) that is communicated to and maintained by Credit Acceptance, (iv) copies or revisions to which that add or change an identified assignee thereof can only be made with the participation of Credit Acceptance, (v) for which any copy thereof is readily identifiable as a copy that is not the authoritative copy and (vi) for which any revision of the authoritative copy is readily identifiable as an authorized or unauthorized revision.</w:t>
      </w:r>
    </w:p>
    <w:p>
      <w:pPr>
        <w:spacing w:after="0" w:line="183" w:lineRule="exact"/>
        <w:rPr>
          <w:sz w:val="20"/>
          <w:szCs w:val="20"/>
          <w:color w:val="auto"/>
        </w:rPr>
      </w:pPr>
    </w:p>
    <w:p>
      <w:pPr>
        <w:jc w:val="both"/>
        <w:ind w:left="700" w:right="40" w:firstLine="648"/>
        <w:spacing w:after="0" w:line="257" w:lineRule="auto"/>
        <w:rPr>
          <w:sz w:val="20"/>
          <w:szCs w:val="20"/>
          <w:color w:val="auto"/>
        </w:rPr>
      </w:pPr>
      <w:r>
        <w:rPr>
          <w:rFonts w:ascii="Arial" w:cs="Arial" w:eastAsia="Arial" w:hAnsi="Arial"/>
          <w:sz w:val="21"/>
          <w:szCs w:val="21"/>
          <w:u w:val="single" w:color="auto"/>
          <w:color w:val="auto"/>
        </w:rPr>
        <w:t>Available Funds</w:t>
      </w:r>
      <w:r>
        <w:rPr>
          <w:rFonts w:ascii="Arial" w:cs="Arial" w:eastAsia="Arial" w:hAnsi="Arial"/>
          <w:sz w:val="21"/>
          <w:szCs w:val="21"/>
          <w:color w:val="auto"/>
        </w:rPr>
        <w:t xml:space="preserve">: With respect to any Payment Date: (i) all amounts deposited in the Collection Account during the Collection Period (other than Dealer Collections and Repossession Expenses) that ended on the last day of the calendar month immediately preceding the calendar month in which such Payment Date occurs and investment earnings thereon; (ii) all Reserve Advances (which shall be applied in accordance with </w:t>
      </w:r>
      <w:r>
        <w:rPr>
          <w:rFonts w:ascii="Arial" w:cs="Arial" w:eastAsia="Arial" w:hAnsi="Arial"/>
          <w:sz w:val="21"/>
          <w:szCs w:val="21"/>
          <w:u w:val="single" w:color="auto"/>
          <w:color w:val="auto"/>
        </w:rPr>
        <w:t>Section 2.7(c)</w:t>
      </w:r>
      <w:r>
        <w:rPr>
          <w:rFonts w:ascii="Arial" w:cs="Arial" w:eastAsia="Arial" w:hAnsi="Arial"/>
          <w:sz w:val="21"/>
          <w:szCs w:val="21"/>
          <w:color w:val="auto"/>
        </w:rPr>
        <w:t xml:space="preserve"> hereof); (iii) all amounts paid by the Borrower pursuant to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hereof with respect to the prior Collection Period in respect of Ineligible Loans; (iv) amounts paid by the Borrower pursuant to </w:t>
      </w:r>
      <w:r>
        <w:rPr>
          <w:rFonts w:ascii="Arial" w:cs="Arial" w:eastAsia="Arial" w:hAnsi="Arial"/>
          <w:sz w:val="21"/>
          <w:szCs w:val="21"/>
          <w:u w:val="single" w:color="auto"/>
          <w:color w:val="auto"/>
        </w:rPr>
        <w:t>Section</w:t>
      </w:r>
    </w:p>
    <w:p>
      <w:pPr>
        <w:spacing w:after="0" w:line="5" w:lineRule="exact"/>
        <w:rPr>
          <w:sz w:val="20"/>
          <w:szCs w:val="20"/>
          <w:color w:val="auto"/>
        </w:rPr>
      </w:pPr>
    </w:p>
    <w:p>
      <w:pPr>
        <w:ind w:left="700" w:right="60" w:hanging="8"/>
        <w:spacing w:after="0" w:line="246" w:lineRule="auto"/>
        <w:tabs>
          <w:tab w:leader="none" w:pos="1308" w:val="left"/>
        </w:tabs>
        <w:numPr>
          <w:ilvl w:val="0"/>
          <w:numId w:val="257"/>
        </w:numPr>
        <w:rPr>
          <w:rFonts w:ascii="Arial" w:cs="Arial" w:eastAsia="Arial" w:hAnsi="Arial"/>
          <w:sz w:val="22"/>
          <w:szCs w:val="22"/>
          <w:u w:val="single" w:color="auto"/>
          <w:color w:val="auto"/>
        </w:rPr>
      </w:pPr>
      <w:r>
        <w:rPr>
          <w:rFonts w:ascii="Arial" w:cs="Arial" w:eastAsia="Arial" w:hAnsi="Arial"/>
          <w:sz w:val="22"/>
          <w:szCs w:val="22"/>
          <w:color w:val="auto"/>
        </w:rPr>
        <w:t>hereof; (v) all amounts paid under any Dealer Agreement; and (vi) any other funds on deposit in the Collection Account on such date (other than Dealer Collections and Repossession Expenses).</w:t>
      </w:r>
    </w:p>
    <w:p>
      <w:pPr>
        <w:spacing w:after="0" w:line="233" w:lineRule="exact"/>
        <w:rPr>
          <w:sz w:val="20"/>
          <w:szCs w:val="20"/>
          <w:color w:val="auto"/>
        </w:rPr>
      </w:pPr>
    </w:p>
    <w:p>
      <w:pPr>
        <w:ind w:left="1360"/>
        <w:spacing w:after="0"/>
        <w:rPr>
          <w:sz w:val="20"/>
          <w:szCs w:val="20"/>
          <w:color w:val="auto"/>
        </w:rPr>
      </w:pPr>
      <w:r>
        <w:rPr>
          <w:rFonts w:ascii="Arial" w:cs="Arial" w:eastAsia="Arial" w:hAnsi="Arial"/>
          <w:sz w:val="19"/>
          <w:szCs w:val="19"/>
          <w:u w:val="single" w:color="auto"/>
          <w:color w:val="0000FF"/>
        </w:rPr>
        <w:t>Available Tenor: As of any date of determination and with respect to the then-current Benchmark, as applicable,</w:t>
      </w:r>
    </w:p>
    <w:p>
      <w:pPr>
        <w:spacing w:after="0" w:line="56" w:lineRule="exact"/>
        <w:rPr>
          <w:sz w:val="20"/>
          <w:szCs w:val="20"/>
          <w:color w:val="auto"/>
        </w:rPr>
      </w:pPr>
    </w:p>
    <w:p>
      <w:pPr>
        <w:jc w:val="both"/>
        <w:ind w:left="700" w:right="20" w:hanging="9"/>
        <w:spacing w:after="0" w:line="295" w:lineRule="auto"/>
        <w:tabs>
          <w:tab w:leader="none" w:pos="1009" w:val="left"/>
        </w:tabs>
        <w:numPr>
          <w:ilvl w:val="0"/>
          <w:numId w:val="258"/>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 the then-current Benchmark is a term rate, any tenor for such Benchmark or (y) otherwise, any payment period for interest calculated with reference to such Benchmark, as applicable, that is or may be used for determining the length of an Accrual Period pursuant to this Agreement as of such date and not including, for the avoidance of doubt, any tenor for such Benchmark that is then-removed from the definition of “Accrual Period” pursuant to Section 2.11(d).</w:t>
      </w:r>
    </w:p>
    <w:p>
      <w:pPr>
        <w:spacing w:after="0" w:line="190" w:lineRule="exact"/>
        <w:rPr>
          <w:sz w:val="20"/>
          <w:szCs w:val="20"/>
          <w:color w:val="auto"/>
        </w:rPr>
      </w:pPr>
    </w:p>
    <w:p>
      <w:pPr>
        <w:jc w:val="both"/>
        <w:ind w:left="700" w:right="60" w:firstLine="648"/>
        <w:spacing w:after="0" w:line="263" w:lineRule="auto"/>
        <w:rPr>
          <w:sz w:val="20"/>
          <w:szCs w:val="20"/>
          <w:color w:val="auto"/>
        </w:rPr>
      </w:pPr>
      <w:r>
        <w:rPr>
          <w:rFonts w:ascii="Arial" w:cs="Arial" w:eastAsia="Arial" w:hAnsi="Arial"/>
          <w:sz w:val="22"/>
          <w:szCs w:val="22"/>
          <w:u w:val="single" w:color="auto"/>
          <w:color w:val="auto"/>
        </w:rPr>
        <w:t>Backup Servicer</w:t>
      </w:r>
      <w:r>
        <w:rPr>
          <w:rFonts w:ascii="Arial" w:cs="Arial" w:eastAsia="Arial" w:hAnsi="Arial"/>
          <w:sz w:val="22"/>
          <w:szCs w:val="22"/>
          <w:color w:val="auto"/>
        </w:rPr>
        <w:t>: Wells Fargo or any Person designated as a successor backup servicer following Wells Fargo’s removal as Backup Servicer pursuant to the terms of the Backup Servicing Agreement.</w:t>
      </w:r>
    </w:p>
    <w:p>
      <w:pPr>
        <w:spacing w:after="0" w:line="202" w:lineRule="exact"/>
        <w:rPr>
          <w:sz w:val="20"/>
          <w:szCs w:val="20"/>
          <w:color w:val="auto"/>
        </w:rPr>
      </w:pPr>
    </w:p>
    <w:p>
      <w:pPr>
        <w:jc w:val="both"/>
        <w:ind w:left="700" w:right="60" w:firstLine="648"/>
        <w:spacing w:after="0" w:line="253" w:lineRule="auto"/>
        <w:rPr>
          <w:sz w:val="20"/>
          <w:szCs w:val="20"/>
          <w:color w:val="auto"/>
        </w:rPr>
      </w:pPr>
      <w:r>
        <w:rPr>
          <w:rFonts w:ascii="Arial" w:cs="Arial" w:eastAsia="Arial" w:hAnsi="Arial"/>
          <w:sz w:val="22"/>
          <w:szCs w:val="22"/>
          <w:u w:val="single" w:color="auto"/>
          <w:color w:val="auto"/>
        </w:rPr>
        <w:t>Backup Servicing Agreement</w:t>
      </w:r>
      <w:r>
        <w:rPr>
          <w:rFonts w:ascii="Arial" w:cs="Arial" w:eastAsia="Arial" w:hAnsi="Arial"/>
          <w:sz w:val="22"/>
          <w:szCs w:val="22"/>
          <w:color w:val="auto"/>
        </w:rPr>
        <w:t>: The Backup Servicing Agreement, dated as of August 24, 2009, among Wells Fargo, the Servicer, the Deal Agent, the Collateral Agent and the Borrower, as the same may be amended, restated, supplemented or otherwise modified from time to time.</w:t>
      </w:r>
    </w:p>
    <w:p>
      <w:pPr>
        <w:spacing w:after="0" w:line="226" w:lineRule="exact"/>
        <w:rPr>
          <w:sz w:val="20"/>
          <w:szCs w:val="20"/>
          <w:color w:val="auto"/>
        </w:rPr>
      </w:pPr>
    </w:p>
    <w:p>
      <w:pPr>
        <w:ind w:left="700" w:right="20" w:firstLine="648"/>
        <w:spacing w:after="0" w:line="263" w:lineRule="auto"/>
        <w:rPr>
          <w:sz w:val="20"/>
          <w:szCs w:val="20"/>
          <w:color w:val="auto"/>
        </w:rPr>
      </w:pPr>
      <w:r>
        <w:rPr>
          <w:rFonts w:ascii="Arial" w:cs="Arial" w:eastAsia="Arial" w:hAnsi="Arial"/>
          <w:sz w:val="22"/>
          <w:szCs w:val="22"/>
          <w:u w:val="single" w:color="auto"/>
          <w:color w:val="auto"/>
        </w:rPr>
        <w:t>Backup Servicing Fee</w:t>
      </w:r>
      <w:r>
        <w:rPr>
          <w:rFonts w:ascii="Arial" w:cs="Arial" w:eastAsia="Arial" w:hAnsi="Arial"/>
          <w:sz w:val="22"/>
          <w:szCs w:val="22"/>
          <w:color w:val="auto"/>
        </w:rPr>
        <w:t>: The fee payable by the Borrower to the Backup Servicer pursuant to the Backup Servicing Agreement and Section 7.3 hereof.</w:t>
      </w:r>
    </w:p>
    <w:p>
      <w:pPr>
        <w:spacing w:after="0" w:line="202" w:lineRule="exact"/>
        <w:rPr>
          <w:sz w:val="20"/>
          <w:szCs w:val="20"/>
          <w:color w:val="auto"/>
        </w:rPr>
      </w:pPr>
    </w:p>
    <w:p>
      <w:pPr>
        <w:ind w:left="700" w:right="60" w:firstLine="648"/>
        <w:spacing w:after="0" w:line="263" w:lineRule="auto"/>
        <w:rPr>
          <w:sz w:val="20"/>
          <w:szCs w:val="20"/>
          <w:color w:val="auto"/>
        </w:rPr>
      </w:pPr>
      <w:r>
        <w:rPr>
          <w:rFonts w:ascii="Arial" w:cs="Arial" w:eastAsia="Arial" w:hAnsi="Arial"/>
          <w:sz w:val="22"/>
          <w:szCs w:val="22"/>
          <w:u w:val="single" w:color="auto"/>
          <w:color w:val="auto"/>
        </w:rPr>
        <w:t>Bankruptcy Code</w:t>
      </w:r>
      <w:r>
        <w:rPr>
          <w:rFonts w:ascii="Arial" w:cs="Arial" w:eastAsia="Arial" w:hAnsi="Arial"/>
          <w:sz w:val="22"/>
          <w:szCs w:val="22"/>
          <w:color w:val="auto"/>
        </w:rPr>
        <w:t>: The United States Bankruptcy Reform Act of 1978 (11 U.S.C. § 101, et seq.),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w:t>
      </w:r>
    </w:p>
    <w:p>
      <w:pPr>
        <w:sectPr>
          <w:pgSz w:w="11900" w:h="16838" w:orient="portrait"/>
          <w:cols w:equalWidth="0" w:num="1">
            <w:col w:w="11140"/>
          </w:cols>
          <w:pgMar w:left="320" w:top="1428" w:right="439" w:bottom="1440" w:gutter="0" w:footer="0" w:header="0"/>
        </w:sectPr>
      </w:pPr>
    </w:p>
    <w:bookmarkStart w:id="272" w:name="page273"/>
    <w:bookmarkEnd w:id="272"/>
    <w:p>
      <w:pPr>
        <w:ind w:left="700" w:right="60" w:firstLine="648"/>
        <w:spacing w:after="0" w:line="263" w:lineRule="auto"/>
        <w:rPr>
          <w:sz w:val="20"/>
          <w:szCs w:val="20"/>
          <w:color w:val="auto"/>
        </w:rPr>
      </w:pPr>
      <w:r>
        <w:rPr>
          <w:rFonts w:ascii="Arial" w:cs="Arial" w:eastAsia="Arial" w:hAnsi="Arial"/>
          <w:sz w:val="22"/>
          <w:szCs w:val="22"/>
          <w:u w:val="single" w:color="auto"/>
          <w:color w:val="auto"/>
        </w:rPr>
        <w:t>Base Rate</w:t>
      </w:r>
      <w:r>
        <w:rPr>
          <w:rFonts w:ascii="Arial" w:cs="Arial" w:eastAsia="Arial" w:hAnsi="Arial"/>
          <w:sz w:val="22"/>
          <w:szCs w:val="22"/>
          <w:color w:val="auto"/>
        </w:rPr>
        <w:t xml:space="preserve">: On any date, a fluctuating interest rate per annum equal to the higher of (a) the Prime Rate or (b) the Federal Funds Rate plus 2.0% or (c) </w:t>
      </w:r>
      <w:r>
        <w:rPr>
          <w:rFonts w:ascii="Arial" w:cs="Arial" w:eastAsia="Arial" w:hAnsi="Arial"/>
          <w:sz w:val="22"/>
          <w:szCs w:val="22"/>
          <w:color w:val="FF0000"/>
          <w:strike w:val="1"/>
        </w:rPr>
        <w:t>the</w:t>
      </w:r>
      <w:r>
        <w:rPr>
          <w:rFonts w:ascii="Arial" w:cs="Arial" w:eastAsia="Arial" w:hAnsi="Arial"/>
          <w:sz w:val="22"/>
          <w:szCs w:val="22"/>
          <w:u w:val="single" w:color="auto"/>
          <w:color w:val="0000FF"/>
        </w:rPr>
        <w:t>USD</w:t>
      </w:r>
      <w:r>
        <w:rPr>
          <w:rFonts w:ascii="Arial" w:cs="Arial" w:eastAsia="Arial" w:hAnsi="Arial"/>
          <w:sz w:val="22"/>
          <w:szCs w:val="22"/>
          <w:color w:val="auto"/>
        </w:rPr>
        <w:t xml:space="preserve"> LIBOR </w:t>
      </w:r>
      <w:r>
        <w:rPr>
          <w:rFonts w:ascii="Arial" w:cs="Arial" w:eastAsia="Arial" w:hAnsi="Arial"/>
          <w:sz w:val="22"/>
          <w:szCs w:val="22"/>
          <w:color w:val="FF0000"/>
          <w:strike w:val="1"/>
        </w:rPr>
        <w:t>Rate</w:t>
      </w:r>
      <w:r>
        <w:rPr>
          <w:rFonts w:ascii="Arial" w:cs="Arial" w:eastAsia="Arial" w:hAnsi="Arial"/>
          <w:sz w:val="22"/>
          <w:szCs w:val="22"/>
          <w:color w:val="auto"/>
        </w:rPr>
        <w:t>.</w:t>
      </w:r>
    </w:p>
    <w:p>
      <w:pPr>
        <w:spacing w:after="0" w:line="215" w:lineRule="exact"/>
        <w:rPr>
          <w:sz w:val="20"/>
          <w:szCs w:val="20"/>
          <w:color w:val="auto"/>
        </w:rPr>
      </w:pPr>
    </w:p>
    <w:p>
      <w:pPr>
        <w:jc w:val="both"/>
        <w:ind w:left="700" w:firstLine="662"/>
        <w:spacing w:after="0" w:line="289" w:lineRule="auto"/>
        <w:rPr>
          <w:sz w:val="20"/>
          <w:szCs w:val="20"/>
          <w:color w:val="auto"/>
        </w:rPr>
      </w:pPr>
      <w:r>
        <w:rPr>
          <w:rFonts w:ascii="Arial" w:cs="Arial" w:eastAsia="Arial" w:hAnsi="Arial"/>
          <w:sz w:val="19"/>
          <w:szCs w:val="19"/>
          <w:u w:val="single" w:color="auto"/>
          <w:color w:val="FF0000"/>
        </w:rPr>
        <w:t>Benchmark Replacement</w:t>
      </w:r>
      <w:r>
        <w:rPr>
          <w:rFonts w:ascii="Arial" w:cs="Arial" w:eastAsia="Arial" w:hAnsi="Arial"/>
          <w:sz w:val="19"/>
          <w:szCs w:val="19"/>
          <w:color w:val="FF0000"/>
        </w:rPr>
        <w:t xml:space="preserve">: On any day during any Accrual Period, the sum of (a) the alternate benchmark rate </w:t>
      </w:r>
      <w:r>
        <w:rPr>
          <w:rFonts w:ascii="Arial" w:cs="Arial" w:eastAsia="Arial" w:hAnsi="Arial"/>
          <w:sz w:val="19"/>
          <w:szCs w:val="19"/>
          <w:color w:val="FF0000"/>
          <w:strike w:val="1"/>
        </w:rPr>
        <w:t>(which may include Term SOFR) that has been selected by Wells Fargo Bank, National Association at its office in Charlotte, North Carolina after giving due consideration (i) any selection or recommendation of a replacement rate or the mechanism for determining such a rate for U.S. dollar-denominated syndicated or bilateral credit facilities similar to the facility under this Agreement by the Relevant Governmental Body or (ii) any evolving or then-prevailing market convention for determining a rate of interest as a replacement to the LIBOR Rate for U.S. dollar-denominated syndicated or bilateral credit facilities similar to the facility under this Agreement and (b) the Benchmark Replacement Adjustment; provided, that if the Benchmark Replacement would be less than zero, the Benchmark Replacement will be deemed to be zero for the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-1412240</wp:posOffset>
            </wp:positionV>
            <wp:extent cx="62128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12840" cy="8890"/>
                    </a:xfrm>
                    <a:prstGeom prst="rect">
                      <a:avLst/>
                    </a:prstGeom>
                    <a:noFill/>
                  </pic:spPr>
                </pic:pic>
              </a:graphicData>
            </a:graphic>
          </wp:anchor>
        </w:drawing>
      </w:r>
    </w:p>
    <w:p>
      <w:pPr>
        <w:spacing w:after="0" w:line="164" w:lineRule="exact"/>
        <w:rPr>
          <w:sz w:val="20"/>
          <w:szCs w:val="20"/>
          <w:color w:val="auto"/>
        </w:rPr>
      </w:pPr>
    </w:p>
    <w:p>
      <w:pPr>
        <w:jc w:val="both"/>
        <w:ind w:left="700" w:right="40" w:firstLine="648"/>
        <w:spacing w:after="0" w:line="248" w:lineRule="auto"/>
        <w:rPr>
          <w:sz w:val="20"/>
          <w:szCs w:val="20"/>
          <w:color w:val="auto"/>
        </w:rPr>
      </w:pPr>
      <w:r>
        <w:rPr>
          <w:rFonts w:ascii="Arial" w:cs="Arial" w:eastAsia="Arial" w:hAnsi="Arial"/>
          <w:sz w:val="22"/>
          <w:szCs w:val="22"/>
          <w:u w:val="single" w:color="auto"/>
          <w:color w:val="0000FF"/>
        </w:rPr>
        <w:t xml:space="preserve">Benchmark: Initially, USD LIBOR; provided that if a Benchmark Transition Event, a Term SOFR Transition Event, or an Early Opt-in Election, as applicable, </w:t>
      </w:r>
      <w:r>
        <w:rPr>
          <w:rFonts w:ascii="Arial" w:cs="Arial" w:eastAsia="Arial" w:hAnsi="Arial"/>
          <w:sz w:val="22"/>
          <w:szCs w:val="22"/>
          <w:u w:val="single" w:color="auto"/>
          <w:color w:val="007F00"/>
        </w:rPr>
        <w:t>and its related Benchmark Replacement Date have occurred with</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7F00"/>
        </w:rPr>
        <w:t xml:space="preserve">respect to </w:t>
      </w:r>
      <w:r>
        <w:rPr>
          <w:rFonts w:ascii="Arial" w:cs="Arial" w:eastAsia="Arial" w:hAnsi="Arial"/>
          <w:sz w:val="22"/>
          <w:szCs w:val="22"/>
          <w:u w:val="single" w:color="auto"/>
          <w:color w:val="0000FF"/>
        </w:rPr>
        <w:t>USD LIBOR or the then-current Benchmark, then “Benchmark” means the applicable Benchmark</w:t>
      </w:r>
      <w:r>
        <w:rPr>
          <w:rFonts w:ascii="Arial" w:cs="Arial" w:eastAsia="Arial" w:hAnsi="Arial"/>
          <w:sz w:val="22"/>
          <w:szCs w:val="22"/>
          <w:u w:val="single" w:color="auto"/>
          <w:color w:val="007F00"/>
        </w:rPr>
        <w:t xml:space="preserve"> </w:t>
      </w:r>
      <w:r>
        <w:rPr>
          <w:rFonts w:ascii="Arial" w:cs="Arial" w:eastAsia="Arial" w:hAnsi="Arial"/>
          <w:sz w:val="22"/>
          <w:szCs w:val="22"/>
          <w:u w:val="single" w:color="auto"/>
          <w:color w:val="0000FF"/>
        </w:rPr>
        <w:t>Replacement to the extent that such Benchmark Replacement has replaced such prior benchmark rate pursuant to Section 2.11(a).</w:t>
      </w:r>
    </w:p>
    <w:p>
      <w:pPr>
        <w:spacing w:after="0" w:line="313"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0000FF"/>
        </w:rPr>
        <w:t>Benchmark Replacement: For any Available Tenor,</w:t>
      </w:r>
    </w:p>
    <w:p>
      <w:pPr>
        <w:spacing w:after="0" w:line="11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(a) with respect to any Benchmark Transition Event or Early Opt-in Election, the first</w:t>
      </w:r>
    </w:p>
    <w:p>
      <w:pPr>
        <w:spacing w:after="0" w:line="21" w:lineRule="exact"/>
        <w:rPr>
          <w:sz w:val="20"/>
          <w:szCs w:val="20"/>
          <w:color w:val="auto"/>
        </w:rPr>
      </w:pPr>
    </w:p>
    <w:p>
      <w:pPr>
        <w:ind w:left="700" w:right="880"/>
        <w:spacing w:after="0" w:line="246" w:lineRule="auto"/>
        <w:rPr>
          <w:sz w:val="20"/>
          <w:szCs w:val="20"/>
          <w:color w:val="auto"/>
        </w:rPr>
      </w:pPr>
      <w:r>
        <w:rPr>
          <w:rFonts w:ascii="Arial" w:cs="Arial" w:eastAsia="Arial" w:hAnsi="Arial"/>
          <w:sz w:val="22"/>
          <w:szCs w:val="22"/>
          <w:u w:val="single" w:color="auto"/>
          <w:color w:val="0000FF"/>
        </w:rPr>
        <w:t>alternative set forth in the order below that can be determined by the Deal Agent for the applicable Benchmark Replacement Date:</w:t>
      </w:r>
    </w:p>
    <w:p>
      <w:pPr>
        <w:spacing w:after="0" w:line="233" w:lineRule="exact"/>
        <w:rPr>
          <w:sz w:val="20"/>
          <w:szCs w:val="20"/>
          <w:color w:val="auto"/>
        </w:rPr>
      </w:pPr>
    </w:p>
    <w:p>
      <w:pPr>
        <w:jc w:val="both"/>
        <w:ind w:left="1300" w:right="40" w:firstLine="490"/>
        <w:spacing w:after="0" w:line="260" w:lineRule="auto"/>
        <w:tabs>
          <w:tab w:leader="none" w:pos="2095" w:val="left"/>
        </w:tabs>
        <w:numPr>
          <w:ilvl w:val="0"/>
          <w:numId w:val="259"/>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sum of: (A) Term SOFR and (B) the related Benchmark Replacement Adjustment; provided, that, if the Borrower has provided a notification to the Deal Agent in writing on or prior to such Benchmark Replacement Date that the Borrower has an affected Hedging Agreement in place with respect to any of the Loans as of the date of such notice (which such notification the Deal Agent shall be entitled to rely upon and shall have no duty or obligation to ascertain the correctness or completeness of), then the Deal Agent, in its sole discretion, may decide not to determine the Benchmark Replacement pursuant to this clause (a)(1) for such Benchmark Transition Event or Early Opt-in Election, as applicable;</w:t>
      </w:r>
    </w:p>
    <w:p>
      <w:pPr>
        <w:spacing w:after="0" w:line="207" w:lineRule="exact"/>
        <w:rPr>
          <w:rFonts w:ascii="Arial" w:cs="Arial" w:eastAsia="Arial" w:hAnsi="Arial"/>
          <w:sz w:val="21"/>
          <w:szCs w:val="21"/>
          <w:u w:val="single" w:color="auto"/>
          <w:color w:val="0000FF"/>
        </w:rPr>
      </w:pPr>
    </w:p>
    <w:p>
      <w:pPr>
        <w:ind w:left="2100" w:hanging="310"/>
        <w:spacing w:after="0"/>
        <w:tabs>
          <w:tab w:leader="none" w:pos="2100" w:val="left"/>
        </w:tabs>
        <w:numPr>
          <w:ilvl w:val="0"/>
          <w:numId w:val="259"/>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the sum of: (A) Daily Simple SOFR and (B) the related Benchmark Replacement Adjustment;</w:t>
      </w:r>
    </w:p>
    <w:p>
      <w:pPr>
        <w:spacing w:after="0" w:line="246" w:lineRule="exact"/>
        <w:rPr>
          <w:rFonts w:ascii="Arial" w:cs="Arial" w:eastAsia="Arial" w:hAnsi="Arial"/>
          <w:sz w:val="22"/>
          <w:szCs w:val="22"/>
          <w:u w:val="single" w:color="auto"/>
          <w:color w:val="0000FF"/>
        </w:rPr>
      </w:pPr>
    </w:p>
    <w:p>
      <w:pPr>
        <w:jc w:val="both"/>
        <w:ind w:left="1300" w:firstLine="490"/>
        <w:spacing w:after="0" w:line="263" w:lineRule="auto"/>
        <w:tabs>
          <w:tab w:leader="none" w:pos="2096" w:val="left"/>
        </w:tabs>
        <w:numPr>
          <w:ilvl w:val="0"/>
          <w:numId w:val="259"/>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sum of: (A) the alternate benchmark rate that has been selected by the Deal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w:t>
      </w:r>
    </w:p>
    <w:p>
      <w:pPr>
        <w:sectPr>
          <w:pgSz w:w="11900" w:h="16838" w:orient="portrait"/>
          <w:cols w:equalWidth="0" w:num="1">
            <w:col w:w="11140"/>
          </w:cols>
          <w:pgMar w:left="320" w:top="1428" w:right="439" w:bottom="1440" w:gutter="0" w:footer="0" w:header="0"/>
        </w:sectPr>
      </w:pPr>
    </w:p>
    <w:bookmarkStart w:id="273" w:name="page274"/>
    <w:bookmarkEnd w:id="273"/>
    <w:p>
      <w:pPr>
        <w:ind w:left="1300" w:right="380"/>
        <w:spacing w:after="0" w:line="263" w:lineRule="auto"/>
        <w:rPr>
          <w:sz w:val="20"/>
          <w:szCs w:val="20"/>
          <w:color w:val="auto"/>
        </w:rPr>
      </w:pPr>
      <w:r>
        <w:rPr>
          <w:rFonts w:ascii="Arial" w:cs="Arial" w:eastAsia="Arial" w:hAnsi="Arial"/>
          <w:sz w:val="22"/>
          <w:szCs w:val="22"/>
          <w:u w:val="single" w:color="auto"/>
          <w:color w:val="0000FF"/>
        </w:rPr>
        <w:t xml:space="preserve">current benchmark for </w:t>
      </w:r>
      <w:r>
        <w:rPr>
          <w:rFonts w:ascii="Arial" w:cs="Arial" w:eastAsia="Arial" w:hAnsi="Arial"/>
          <w:sz w:val="22"/>
          <w:szCs w:val="22"/>
          <w:u w:val="single" w:color="auto"/>
          <w:color w:val="007F00"/>
        </w:rPr>
        <w:t>U.S. dollar-denominated syndicated or bilateral credit facilities</w:t>
      </w:r>
      <w:r>
        <w:rPr>
          <w:rFonts w:ascii="Arial" w:cs="Arial" w:eastAsia="Arial" w:hAnsi="Arial"/>
          <w:sz w:val="22"/>
          <w:szCs w:val="22"/>
          <w:u w:val="single" w:color="auto"/>
          <w:color w:val="0000FF"/>
        </w:rPr>
        <w:t xml:space="preserve"> at such time and (B) the related Benchmark Replacement Adjustment; or</w:t>
      </w:r>
    </w:p>
    <w:p>
      <w:pPr>
        <w:spacing w:after="0" w:line="202" w:lineRule="exact"/>
        <w:rPr>
          <w:sz w:val="20"/>
          <w:szCs w:val="20"/>
          <w:color w:val="auto"/>
        </w:rPr>
      </w:pPr>
    </w:p>
    <w:p>
      <w:pPr>
        <w:ind w:left="660" w:right="320" w:firstLine="644"/>
        <w:spacing w:after="0" w:line="263" w:lineRule="auto"/>
        <w:tabs>
          <w:tab w:leader="none" w:pos="1614" w:val="left"/>
        </w:tabs>
        <w:numPr>
          <w:ilvl w:val="0"/>
          <w:numId w:val="26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with respect to any Term SOFR Transition Event, the sum of (i) Term SOFR and (ii) the related Benchmark Replacement Adjustment;</w:t>
      </w:r>
    </w:p>
    <w:p>
      <w:pPr>
        <w:spacing w:after="0" w:line="215" w:lineRule="exact"/>
        <w:rPr>
          <w:sz w:val="20"/>
          <w:szCs w:val="20"/>
          <w:color w:val="auto"/>
        </w:rPr>
      </w:pPr>
    </w:p>
    <w:p>
      <w:pPr>
        <w:jc w:val="both"/>
        <w:ind w:left="660" w:right="140" w:firstLine="13"/>
        <w:spacing w:after="0" w:line="285" w:lineRule="auto"/>
        <w:rPr>
          <w:sz w:val="20"/>
          <w:szCs w:val="20"/>
          <w:color w:val="auto"/>
        </w:rPr>
      </w:pPr>
      <w:r>
        <w:rPr>
          <w:rFonts w:ascii="Arial" w:cs="Arial" w:eastAsia="Arial" w:hAnsi="Arial"/>
          <w:sz w:val="19"/>
          <w:szCs w:val="19"/>
          <w:u w:val="single" w:color="auto"/>
          <w:color w:val="0000FF"/>
        </w:rPr>
        <w:t>provided that, (i) in the case of clause (a)(1), if the Deal Agent decides that Term SOFR is not administratively feasible for the Deal Agent, then Term SOFR will be deemed unable to be determined for purposes of this definition and (ii) in the case of clause (a)(1) or clause (b) of this definition, the applicable Unadjusted Benchmark Replacement is displayed on a screen or other information service that publishes such rate from time to time as selected by the Deal Agent in its reasonable discretion. If the Benchmark Replacement as determined pursuant to clause (a)(1), (a)(2) or (a)(3) or clause</w:t>
      </w:r>
    </w:p>
    <w:p>
      <w:pPr>
        <w:spacing w:after="0" w:line="3" w:lineRule="exact"/>
        <w:rPr>
          <w:sz w:val="20"/>
          <w:szCs w:val="20"/>
          <w:color w:val="auto"/>
        </w:rPr>
      </w:pPr>
    </w:p>
    <w:p>
      <w:pPr>
        <w:ind w:left="660" w:right="140" w:hanging="4"/>
        <w:spacing w:after="0" w:line="246" w:lineRule="auto"/>
        <w:tabs>
          <w:tab w:leader="none" w:pos="979" w:val="left"/>
        </w:tabs>
        <w:numPr>
          <w:ilvl w:val="0"/>
          <w:numId w:val="261"/>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of this definition would be less than the Floor, the Benchmark Replacement will be deemed to be the Floor for the purposes of this Agreement and the other Transaction Documents.</w:t>
      </w:r>
    </w:p>
    <w:p>
      <w:pPr>
        <w:spacing w:after="0" w:line="219" w:lineRule="exact"/>
        <w:rPr>
          <w:sz w:val="20"/>
          <w:szCs w:val="20"/>
          <w:color w:val="auto"/>
        </w:rPr>
      </w:pPr>
    </w:p>
    <w:p>
      <w:pPr>
        <w:ind w:left="660" w:right="340" w:firstLine="648"/>
        <w:spacing w:after="0" w:line="253" w:lineRule="auto"/>
        <w:rPr>
          <w:sz w:val="20"/>
          <w:szCs w:val="20"/>
          <w:color w:val="auto"/>
        </w:rPr>
      </w:pPr>
      <w:r>
        <w:rPr>
          <w:rFonts w:ascii="Arial" w:cs="Arial" w:eastAsia="Arial" w:hAnsi="Arial"/>
          <w:sz w:val="22"/>
          <w:szCs w:val="22"/>
          <w:color w:val="0000FF"/>
        </w:rPr>
        <w:t xml:space="preserve">Benchmark Replacement </w:t>
      </w:r>
      <w:r>
        <w:rPr>
          <w:rFonts w:ascii="Arial" w:cs="Arial" w:eastAsia="Arial" w:hAnsi="Arial"/>
          <w:sz w:val="22"/>
          <w:szCs w:val="22"/>
          <w:color w:val="007F00"/>
        </w:rPr>
        <w:t>Adjustment: With respect to any replacement of the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then- current Benchmark</w:t>
      </w:r>
      <w:r>
        <w:rPr>
          <w:rFonts w:ascii="Arial" w:cs="Arial" w:eastAsia="Arial" w:hAnsi="Arial"/>
          <w:sz w:val="22"/>
          <w:szCs w:val="22"/>
          <w:color w:val="0000FF"/>
        </w:rPr>
        <w:t xml:space="preserve"> </w:t>
      </w:r>
      <w:r>
        <w:rPr>
          <w:rFonts w:ascii="Arial" w:cs="Arial" w:eastAsia="Arial" w:hAnsi="Arial"/>
          <w:sz w:val="22"/>
          <w:szCs w:val="22"/>
          <w:u w:val="single" w:color="auto"/>
          <w:color w:val="007F00"/>
        </w:rPr>
        <w:t>with an</w:t>
      </w:r>
      <w:r>
        <w:rPr>
          <w:rFonts w:ascii="Arial" w:cs="Arial" w:eastAsia="Arial" w:hAnsi="Arial"/>
          <w:sz w:val="22"/>
          <w:szCs w:val="22"/>
          <w:color w:val="0000FF"/>
        </w:rPr>
        <w:t xml:space="preserve"> </w:t>
      </w:r>
      <w:r>
        <w:rPr>
          <w:rFonts w:ascii="Arial" w:cs="Arial" w:eastAsia="Arial" w:hAnsi="Arial"/>
          <w:sz w:val="22"/>
          <w:szCs w:val="22"/>
          <w:u w:val="single" w:color="auto"/>
          <w:color w:val="007F00"/>
        </w:rPr>
        <w:t xml:space="preserve">Unadjusted Benchmark Replacement for </w:t>
      </w:r>
      <w:r>
        <w:rPr>
          <w:rFonts w:ascii="Arial" w:cs="Arial" w:eastAsia="Arial" w:hAnsi="Arial"/>
          <w:sz w:val="22"/>
          <w:szCs w:val="22"/>
          <w:u w:val="single" w:color="auto"/>
          <w:color w:val="0000FF"/>
        </w:rPr>
        <w:t>any applicable Accrual Period and Available Tenor for any setting of such</w:t>
      </w:r>
      <w:r>
        <w:rPr>
          <w:rFonts w:ascii="Arial" w:cs="Arial" w:eastAsia="Arial" w:hAnsi="Arial"/>
          <w:sz w:val="22"/>
          <w:szCs w:val="22"/>
          <w:u w:val="single" w:color="auto"/>
          <w:color w:val="007F00"/>
        </w:rPr>
        <w:t xml:space="preserve"> </w:t>
      </w:r>
      <w:r>
        <w:rPr>
          <w:rFonts w:ascii="Arial" w:cs="Arial" w:eastAsia="Arial" w:hAnsi="Arial"/>
          <w:sz w:val="22"/>
          <w:szCs w:val="22"/>
          <w:u w:val="single" w:color="auto"/>
          <w:color w:val="0000FF"/>
        </w:rPr>
        <w:t>Unadjusted Benchmark Replacement:</w:t>
      </w:r>
    </w:p>
    <w:p>
      <w:pPr>
        <w:spacing w:after="0" w:line="226" w:lineRule="exact"/>
        <w:rPr>
          <w:sz w:val="20"/>
          <w:szCs w:val="20"/>
          <w:color w:val="auto"/>
        </w:rPr>
      </w:pPr>
    </w:p>
    <w:p>
      <w:pPr>
        <w:ind w:left="660" w:right="20" w:firstLine="644"/>
        <w:spacing w:after="0" w:line="263" w:lineRule="auto"/>
        <w:tabs>
          <w:tab w:leader="none" w:pos="1616" w:val="left"/>
        </w:tabs>
        <w:numPr>
          <w:ilvl w:val="0"/>
          <w:numId w:val="262"/>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for purposes of clauses (a)(1) and (a)(2) of the definition of “Benchmark Replacement,” the first alternative set forth in the order below that can be determined by the Deal Agent:</w:t>
      </w:r>
    </w:p>
    <w:p>
      <w:pPr>
        <w:spacing w:after="0" w:line="201" w:lineRule="exact"/>
        <w:rPr>
          <w:rFonts w:ascii="Arial" w:cs="Arial" w:eastAsia="Arial" w:hAnsi="Arial"/>
          <w:sz w:val="22"/>
          <w:szCs w:val="22"/>
          <w:u w:val="single" w:color="auto"/>
          <w:color w:val="0000FF"/>
        </w:rPr>
      </w:pPr>
    </w:p>
    <w:p>
      <w:pPr>
        <w:jc w:val="both"/>
        <w:ind w:left="1300" w:firstLine="652"/>
        <w:spacing w:after="0" w:line="302" w:lineRule="auto"/>
        <w:tabs>
          <w:tab w:leader="none" w:pos="2429" w:val="left"/>
        </w:tabs>
        <w:numPr>
          <w:ilvl w:val="1"/>
          <w:numId w:val="26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spread adjustment, or method for calculating or determining such spread adjustment, (which may be a positive or negative value or zero) as of the Reference Time such Benchmark Replacement is first set for such Accrual Period that has been selected or recommended by the Relevant Governmental Body for the replacement of such Available Tenor of such Benchmark with the applicable Unadjusted Benchmark Replacement;</w:t>
      </w:r>
    </w:p>
    <w:p>
      <w:pPr>
        <w:spacing w:after="0" w:line="182" w:lineRule="exact"/>
        <w:rPr>
          <w:rFonts w:ascii="Arial" w:cs="Arial" w:eastAsia="Arial" w:hAnsi="Arial"/>
          <w:sz w:val="19"/>
          <w:szCs w:val="19"/>
          <w:u w:val="single" w:color="auto"/>
          <w:color w:val="0000FF"/>
        </w:rPr>
      </w:pPr>
    </w:p>
    <w:p>
      <w:pPr>
        <w:jc w:val="both"/>
        <w:ind w:left="1300" w:firstLine="652"/>
        <w:spacing w:after="0" w:line="250" w:lineRule="auto"/>
        <w:tabs>
          <w:tab w:leader="none" w:pos="2457" w:val="left"/>
        </w:tabs>
        <w:numPr>
          <w:ilvl w:val="1"/>
          <w:numId w:val="262"/>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the spread adjustment (which may be a positive or negative value or zero) as of the Reference Time such Benchmark Replacement is first set for such Accrual Period that would apply to the fallback rate for a derivative transaction referencing the ISDA Definitions to be effective upon an index cessation event with respect to such Available Tenor of such Benchmark;</w:t>
      </w:r>
    </w:p>
    <w:p>
      <w:pPr>
        <w:spacing w:after="0" w:line="214" w:lineRule="exact"/>
        <w:rPr>
          <w:rFonts w:ascii="Arial" w:cs="Arial" w:eastAsia="Arial" w:hAnsi="Arial"/>
          <w:sz w:val="22"/>
          <w:szCs w:val="22"/>
          <w:u w:val="single" w:color="auto"/>
          <w:color w:val="0000FF"/>
        </w:rPr>
      </w:pPr>
    </w:p>
    <w:p>
      <w:pPr>
        <w:jc w:val="both"/>
        <w:ind w:left="660" w:firstLine="644"/>
        <w:spacing w:after="0" w:line="290" w:lineRule="auto"/>
        <w:tabs>
          <w:tab w:leader="none" w:pos="1809" w:val="left"/>
        </w:tabs>
        <w:numPr>
          <w:ilvl w:val="0"/>
          <w:numId w:val="262"/>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for purposes of clause (a)(3) of the definition of “</w:t>
      </w:r>
      <w:r>
        <w:rPr>
          <w:rFonts w:ascii="Arial" w:cs="Arial" w:eastAsia="Arial" w:hAnsi="Arial"/>
          <w:sz w:val="19"/>
          <w:szCs w:val="19"/>
          <w:color w:val="000000"/>
        </w:rPr>
        <w:t>Benchmark Replacement</w:t>
      </w:r>
      <w:r>
        <w:rPr>
          <w:rFonts w:ascii="Arial" w:cs="Arial" w:eastAsia="Arial" w:hAnsi="Arial"/>
          <w:sz w:val="19"/>
          <w:szCs w:val="19"/>
          <w:color w:val="0000FF"/>
        </w:rPr>
        <w:t xml:space="preserve"> </w:t>
      </w:r>
      <w:r>
        <w:rPr>
          <w:rFonts w:ascii="Arial" w:cs="Arial" w:eastAsia="Arial" w:hAnsi="Arial"/>
          <w:sz w:val="19"/>
          <w:szCs w:val="19"/>
          <w:u w:val="single" w:color="auto"/>
          <w:color w:val="007F00"/>
        </w:rPr>
        <w:t>Adjustment</w:t>
      </w:r>
      <w:r>
        <w:rPr>
          <w:rFonts w:ascii="Arial" w:cs="Arial" w:eastAsia="Arial" w:hAnsi="Arial"/>
          <w:sz w:val="19"/>
          <w:szCs w:val="19"/>
          <w:color w:val="007F00"/>
        </w:rPr>
        <w:t>: With respect to any</w:t>
      </w:r>
      <w:r>
        <w:rPr>
          <w:rFonts w:ascii="Arial" w:cs="Arial" w:eastAsia="Arial" w:hAnsi="Arial"/>
          <w:sz w:val="19"/>
          <w:szCs w:val="19"/>
          <w:color w:val="0000FF"/>
        </w:rPr>
        <w:t xml:space="preserve"> </w:t>
      </w:r>
      <w:r>
        <w:rPr>
          <w:rFonts w:ascii="Arial" w:cs="Arial" w:eastAsia="Arial" w:hAnsi="Arial"/>
          <w:sz w:val="19"/>
          <w:szCs w:val="19"/>
          <w:color w:val="007F00"/>
          <w:strike w:val="1"/>
        </w:rPr>
        <w:t>replacement of the</w:t>
      </w:r>
      <w:r>
        <w:rPr>
          <w:rFonts w:ascii="Arial" w:cs="Arial" w:eastAsia="Arial" w:hAnsi="Arial"/>
          <w:sz w:val="19"/>
          <w:szCs w:val="19"/>
          <w:color w:val="007F00"/>
        </w:rPr>
        <w:t xml:space="preserve"> </w:t>
      </w:r>
      <w:r>
        <w:rPr>
          <w:rFonts w:ascii="Arial" w:cs="Arial" w:eastAsia="Arial" w:hAnsi="Arial"/>
          <w:sz w:val="19"/>
          <w:szCs w:val="19"/>
          <w:color w:val="FF0000"/>
          <w:strike w:val="1"/>
        </w:rPr>
        <w:t>LIBOR Rate</w:t>
      </w:r>
      <w:r>
        <w:rPr>
          <w:rFonts w:ascii="Arial" w:cs="Arial" w:eastAsia="Arial" w:hAnsi="Arial"/>
          <w:sz w:val="19"/>
          <w:szCs w:val="19"/>
          <w:color w:val="007F00"/>
        </w:rPr>
        <w:t xml:space="preserve"> </w:t>
      </w:r>
      <w:r>
        <w:rPr>
          <w:rFonts w:ascii="Arial" w:cs="Arial" w:eastAsia="Arial" w:hAnsi="Arial"/>
          <w:sz w:val="19"/>
          <w:szCs w:val="19"/>
          <w:color w:val="007F00"/>
          <w:strike w:val="1"/>
        </w:rPr>
        <w:t>with an Unadjusted Benchmark Replacement for</w:t>
      </w:r>
      <w:r>
        <w:rPr>
          <w:rFonts w:ascii="Arial" w:cs="Arial" w:eastAsia="Arial" w:hAnsi="Arial"/>
          <w:sz w:val="19"/>
          <w:szCs w:val="19"/>
          <w:color w:val="007F00"/>
        </w:rPr>
        <w:t xml:space="preserve"> </w:t>
      </w:r>
      <w:r>
        <w:rPr>
          <w:rFonts w:ascii="Arial" w:cs="Arial" w:eastAsia="Arial" w:hAnsi="Arial"/>
          <w:sz w:val="19"/>
          <w:szCs w:val="19"/>
          <w:color w:val="FF0000"/>
          <w:strike w:val="1"/>
        </w:rPr>
        <w:t>each applicable Interest Period,</w:t>
      </w:r>
      <w:r>
        <w:rPr>
          <w:rFonts w:ascii="Arial" w:cs="Arial" w:eastAsia="Arial" w:hAnsi="Arial"/>
          <w:sz w:val="19"/>
          <w:szCs w:val="19"/>
          <w:u w:val="single" w:color="auto"/>
          <w:color w:val="0000FF"/>
        </w:rPr>
        <w:t>,”</w:t>
      </w:r>
      <w:r>
        <w:rPr>
          <w:rFonts w:ascii="Arial" w:cs="Arial" w:eastAsia="Arial" w:hAnsi="Arial"/>
          <w:sz w:val="19"/>
          <w:szCs w:val="19"/>
          <w:color w:val="007F00"/>
        </w:rPr>
        <w:t xml:space="preserve"> </w:t>
      </w:r>
      <w:r>
        <w:rPr>
          <w:rFonts w:ascii="Arial" w:cs="Arial" w:eastAsia="Arial" w:hAnsi="Arial"/>
          <w:sz w:val="19"/>
          <w:szCs w:val="19"/>
          <w:color w:val="000000"/>
        </w:rPr>
        <w:t>the</w:t>
      </w:r>
      <w:r>
        <w:rPr>
          <w:rFonts w:ascii="Arial" w:cs="Arial" w:eastAsia="Arial" w:hAnsi="Arial"/>
          <w:sz w:val="19"/>
          <w:szCs w:val="19"/>
          <w:color w:val="007F00"/>
        </w:rPr>
        <w:t xml:space="preserve"> </w:t>
      </w:r>
      <w:r>
        <w:rPr>
          <w:rFonts w:ascii="Arial" w:cs="Arial" w:eastAsia="Arial" w:hAnsi="Arial"/>
          <w:sz w:val="19"/>
          <w:szCs w:val="19"/>
          <w:color w:val="000000"/>
        </w:rPr>
        <w:t xml:space="preserve">spread adjustment, or method for calculating or determining such spread adjustment, (which may be a positive or negative value or zero) that has been selected by the Deal Agent </w:t>
      </w:r>
      <w:r>
        <w:rPr>
          <w:rFonts w:ascii="Arial" w:cs="Arial" w:eastAsia="Arial" w:hAnsi="Arial"/>
          <w:sz w:val="19"/>
          <w:szCs w:val="19"/>
          <w:u w:val="single" w:color="auto"/>
          <w:color w:val="0000FF"/>
        </w:rPr>
        <w:t>and the Borrower</w:t>
      </w:r>
      <w:r>
        <w:rPr>
          <w:rFonts w:ascii="Arial" w:cs="Arial" w:eastAsia="Arial" w:hAnsi="Arial"/>
          <w:sz w:val="19"/>
          <w:szCs w:val="19"/>
          <w:color w:val="000000"/>
        </w:rPr>
        <w:t xml:space="preserve"> giving due consideration to (i) any selection or recommendation of a spread adjustment, or method for calculating or determining such spread adjustment, for the replacement of </w:t>
      </w:r>
      <w:r>
        <w:rPr>
          <w:rFonts w:ascii="Arial" w:cs="Arial" w:eastAsia="Arial" w:hAnsi="Arial"/>
          <w:sz w:val="19"/>
          <w:szCs w:val="19"/>
          <w:color w:val="FF0000"/>
          <w:strike w:val="1"/>
        </w:rPr>
        <w:t>the LIBOR Rate</w:t>
      </w:r>
      <w:r>
        <w:rPr>
          <w:rFonts w:ascii="Arial" w:cs="Arial" w:eastAsia="Arial" w:hAnsi="Arial"/>
          <w:sz w:val="19"/>
          <w:szCs w:val="19"/>
          <w:u w:val="single" w:color="auto"/>
          <w:color w:val="0000FF"/>
        </w:rPr>
        <w:t>such Available Tenor of such Benchmark</w:t>
      </w:r>
      <w:r>
        <w:rPr>
          <w:rFonts w:ascii="Arial" w:cs="Arial" w:eastAsia="Arial" w:hAnsi="Arial"/>
          <w:sz w:val="19"/>
          <w:szCs w:val="19"/>
          <w:color w:val="000000"/>
        </w:rPr>
        <w:t xml:space="preserve"> with the applicable Unadjusted Benchmark Replacement </w:t>
      </w:r>
      <w:r>
        <w:rPr>
          <w:rFonts w:ascii="Arial" w:cs="Arial" w:eastAsia="Arial" w:hAnsi="Arial"/>
          <w:sz w:val="19"/>
          <w:szCs w:val="19"/>
          <w:color w:val="007F00"/>
          <w:strike w:val="1"/>
        </w:rPr>
        <w:t>for U.S. dollar-denominated syndicated or bilateral credit facilities</w:t>
      </w:r>
      <w:r>
        <w:rPr>
          <w:rFonts w:ascii="Arial" w:cs="Arial" w:eastAsia="Arial" w:hAnsi="Arial"/>
          <w:sz w:val="19"/>
          <w:szCs w:val="19"/>
          <w:color w:val="000000"/>
        </w:rPr>
        <w:t xml:space="preserve"> </w:t>
      </w:r>
      <w:r>
        <w:rPr>
          <w:rFonts w:ascii="Arial" w:cs="Arial" w:eastAsia="Arial" w:hAnsi="Arial"/>
          <w:sz w:val="19"/>
          <w:szCs w:val="19"/>
          <w:color w:val="FF0000"/>
          <w:strike w:val="1"/>
        </w:rPr>
        <w:t>similar to the facility under this</w:t>
      </w:r>
      <w:r>
        <w:rPr>
          <w:rFonts w:ascii="Arial" w:cs="Arial" w:eastAsia="Arial" w:hAnsi="Arial"/>
          <w:sz w:val="19"/>
          <w:szCs w:val="19"/>
          <w:color w:val="000000"/>
        </w:rPr>
        <w:t xml:space="preserve"> </w:t>
      </w:r>
      <w:r>
        <w:rPr>
          <w:rFonts w:ascii="Arial" w:cs="Arial" w:eastAsia="Arial" w:hAnsi="Arial"/>
          <w:sz w:val="19"/>
          <w:szCs w:val="19"/>
          <w:color w:val="FF0000"/>
          <w:strike w:val="1"/>
        </w:rPr>
        <w:t>Agreement</w:t>
      </w:r>
      <w:r>
        <w:rPr>
          <w:rFonts w:ascii="Arial" w:cs="Arial" w:eastAsia="Arial" w:hAnsi="Arial"/>
          <w:sz w:val="19"/>
          <w:szCs w:val="19"/>
          <w:color w:val="FF0000"/>
        </w:rPr>
        <w:t xml:space="preserve"> </w:t>
      </w:r>
      <w:r>
        <w:rPr>
          <w:rFonts w:ascii="Arial" w:cs="Arial" w:eastAsia="Arial" w:hAnsi="Arial"/>
          <w:sz w:val="19"/>
          <w:szCs w:val="19"/>
          <w:color w:val="000000"/>
        </w:rPr>
        <w:t>by the Relevant Governmental Body</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on the applicable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-1249680</wp:posOffset>
            </wp:positionV>
            <wp:extent cx="1802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02765"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w:t>
      </w:r>
    </w:p>
    <w:p>
      <w:pPr>
        <w:sectPr>
          <w:pgSz w:w="11900" w:h="16838" w:orient="portrait"/>
          <w:cols w:equalWidth="0" w:num="1">
            <w:col w:w="11240"/>
          </w:cols>
          <w:pgMar w:left="320" w:top="1374" w:right="339" w:bottom="1440" w:gutter="0" w:footer="0" w:header="0"/>
        </w:sectPr>
      </w:pPr>
    </w:p>
    <w:bookmarkStart w:id="274" w:name="page275"/>
    <w:bookmarkEnd w:id="274"/>
    <w:p>
      <w:pPr>
        <w:jc w:val="both"/>
        <w:ind w:left="700" w:right="140"/>
        <w:spacing w:after="0" w:line="265" w:lineRule="auto"/>
        <w:rPr>
          <w:sz w:val="20"/>
          <w:szCs w:val="20"/>
          <w:color w:val="auto"/>
        </w:rPr>
      </w:pPr>
      <w:r>
        <w:rPr>
          <w:rFonts w:ascii="Arial" w:cs="Arial" w:eastAsia="Arial" w:hAnsi="Arial"/>
          <w:sz w:val="21"/>
          <w:szCs w:val="21"/>
          <w:u w:val="single" w:color="auto"/>
          <w:color w:val="0000FF"/>
        </w:rPr>
        <w:t>Date</w:t>
      </w:r>
      <w:r>
        <w:rPr>
          <w:rFonts w:ascii="Arial" w:cs="Arial" w:eastAsia="Arial" w:hAnsi="Arial"/>
          <w:sz w:val="21"/>
          <w:szCs w:val="21"/>
          <w:color w:val="0000FF"/>
        </w:rPr>
        <w:t xml:space="preserve"> </w:t>
      </w:r>
      <w:r>
        <w:rPr>
          <w:rFonts w:ascii="Arial" w:cs="Arial" w:eastAsia="Arial" w:hAnsi="Arial"/>
          <w:sz w:val="21"/>
          <w:szCs w:val="21"/>
          <w:color w:val="000000"/>
        </w:rPr>
        <w:t>or (ii) any evolving or then-prevailing market convention for determining a spread adjustment, or method for</w:t>
      </w:r>
      <w:r>
        <w:rPr>
          <w:rFonts w:ascii="Arial" w:cs="Arial" w:eastAsia="Arial" w:hAnsi="Arial"/>
          <w:sz w:val="21"/>
          <w:szCs w:val="21"/>
          <w:color w:val="0000FF"/>
        </w:rPr>
        <w:t xml:space="preserve"> </w:t>
      </w:r>
      <w:r>
        <w:rPr>
          <w:rFonts w:ascii="Arial" w:cs="Arial" w:eastAsia="Arial" w:hAnsi="Arial"/>
          <w:sz w:val="21"/>
          <w:szCs w:val="21"/>
          <w:color w:val="000000"/>
        </w:rPr>
        <w:t xml:space="preserve">calculating or determining such spread adjustment, for the replacement of </w:t>
      </w:r>
      <w:r>
        <w:rPr>
          <w:rFonts w:ascii="Arial" w:cs="Arial" w:eastAsia="Arial" w:hAnsi="Arial"/>
          <w:sz w:val="21"/>
          <w:szCs w:val="21"/>
          <w:color w:val="FF0000"/>
          <w:strike w:val="1"/>
        </w:rPr>
        <w:t>the LIBOR Rate</w:t>
      </w:r>
      <w:r>
        <w:rPr>
          <w:rFonts w:ascii="Arial" w:cs="Arial" w:eastAsia="Arial" w:hAnsi="Arial"/>
          <w:sz w:val="21"/>
          <w:szCs w:val="21"/>
          <w:u w:val="single" w:color="auto"/>
          <w:color w:val="0000FF"/>
        </w:rPr>
        <w:t>such Available Tenor of such</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Benchmark</w:t>
      </w:r>
      <w:r>
        <w:rPr>
          <w:rFonts w:ascii="Arial" w:cs="Arial" w:eastAsia="Arial" w:hAnsi="Arial"/>
          <w:sz w:val="21"/>
          <w:szCs w:val="21"/>
          <w:color w:val="0000FF"/>
        </w:rPr>
        <w:t xml:space="preserve"> </w:t>
      </w:r>
      <w:r>
        <w:rPr>
          <w:rFonts w:ascii="Arial" w:cs="Arial" w:eastAsia="Arial" w:hAnsi="Arial"/>
          <w:sz w:val="21"/>
          <w:szCs w:val="21"/>
          <w:color w:val="000000"/>
        </w:rPr>
        <w:t>with the applicable Unadjusted Benchmark Replacement for U.S. dollar-denominated syndicated or</w:t>
      </w:r>
      <w:r>
        <w:rPr>
          <w:rFonts w:ascii="Arial" w:cs="Arial" w:eastAsia="Arial" w:hAnsi="Arial"/>
          <w:sz w:val="21"/>
          <w:szCs w:val="21"/>
          <w:color w:val="0000FF"/>
        </w:rPr>
        <w:t xml:space="preserve"> </w:t>
      </w:r>
      <w:r>
        <w:rPr>
          <w:rFonts w:ascii="Arial" w:cs="Arial" w:eastAsia="Arial" w:hAnsi="Arial"/>
          <w:sz w:val="21"/>
          <w:szCs w:val="21"/>
          <w:color w:val="000000"/>
        </w:rPr>
        <w:t xml:space="preserve">bilateral credit facilities </w:t>
      </w:r>
      <w:r>
        <w:rPr>
          <w:rFonts w:ascii="Arial" w:cs="Arial" w:eastAsia="Arial" w:hAnsi="Arial"/>
          <w:sz w:val="21"/>
          <w:szCs w:val="21"/>
          <w:color w:val="FF0000"/>
          <w:strike w:val="1"/>
        </w:rPr>
        <w:t>similar to the facility under this Agreement at such time.</w:t>
      </w:r>
      <w:r>
        <w:rPr>
          <w:rFonts w:ascii="Arial" w:cs="Arial" w:eastAsia="Arial" w:hAnsi="Arial"/>
          <w:sz w:val="21"/>
          <w:szCs w:val="21"/>
          <w:u w:val="single" w:color="auto"/>
          <w:color w:val="0000FF"/>
        </w:rPr>
        <w:t>; and</w:t>
      </w:r>
    </w:p>
    <w:p>
      <w:pPr>
        <w:spacing w:after="0" w:line="216" w:lineRule="exact"/>
        <w:rPr>
          <w:sz w:val="20"/>
          <w:szCs w:val="20"/>
          <w:color w:val="auto"/>
        </w:rPr>
      </w:pPr>
    </w:p>
    <w:p>
      <w:pPr>
        <w:jc w:val="both"/>
        <w:ind w:left="660" w:firstLine="644"/>
        <w:spacing w:after="0" w:line="248" w:lineRule="auto"/>
        <w:tabs>
          <w:tab w:leader="none" w:pos="1615" w:val="left"/>
        </w:tabs>
        <w:numPr>
          <w:ilvl w:val="0"/>
          <w:numId w:val="263"/>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for purposes of clause (b) of the definition of “Benchmark Replacement,” the spread adjustment, or method for calculating or determining such spread adjustment, (which may be a positive or negative value or zero) as of the Reference Time such Benchmark Replacement is first set for such Accrual Period that has been selected or recommended by the Relevant Governmental Body for the replacement of such Available Tenor of USD LIBOR with a SOFR- based rate;</w:t>
      </w:r>
    </w:p>
    <w:p>
      <w:pPr>
        <w:spacing w:after="0" w:line="219" w:lineRule="exact"/>
        <w:rPr>
          <w:sz w:val="20"/>
          <w:szCs w:val="20"/>
          <w:color w:val="auto"/>
        </w:rPr>
      </w:pPr>
    </w:p>
    <w:p>
      <w:pPr>
        <w:jc w:val="both"/>
        <w:ind w:left="660" w:right="140" w:firstLine="13"/>
        <w:spacing w:after="0" w:line="259" w:lineRule="auto"/>
        <w:rPr>
          <w:sz w:val="20"/>
          <w:szCs w:val="20"/>
          <w:color w:val="auto"/>
        </w:rPr>
      </w:pPr>
      <w:r>
        <w:rPr>
          <w:rFonts w:ascii="Arial" w:cs="Arial" w:eastAsia="Arial" w:hAnsi="Arial"/>
          <w:sz w:val="21"/>
          <w:szCs w:val="21"/>
          <w:u w:val="single" w:color="auto"/>
          <w:color w:val="0000FF"/>
        </w:rPr>
        <w:t>provided that, (x) in the case of clause (1) above, such adjustment is displayed on a screen or other information service that publishes such Benchmark Replacement Adjustment from time to time as selected by the Deal Agent in its reasonable discretion and (y) if the then-current Benchmark is a term rate, more than one tenor of such Benchmark is available as of the applicable Benchmark Replacement Date and the applicable Unadjusted Benchmark Replacement that will replace such Benchmark in accordance with Section 2.11(a) will not be a term rate, the Available Tenor of such Benchmark for purposes of this definition of “Benchmark Replacement Adjustment” shall be deemed to be, with respect to each Unadjusted Benchmark Replacement having a payment period for interest calculated with reference thereto, the Available Tenor that has approximately the same length (disregarding business day adjustments) as such payment period.</w:t>
      </w:r>
    </w:p>
    <w:p>
      <w:pPr>
        <w:spacing w:after="0" w:line="220" w:lineRule="exact"/>
        <w:rPr>
          <w:sz w:val="20"/>
          <w:szCs w:val="20"/>
          <w:color w:val="auto"/>
        </w:rPr>
      </w:pPr>
    </w:p>
    <w:p>
      <w:pPr>
        <w:ind w:left="660" w:right="20" w:firstLine="648"/>
        <w:spacing w:after="0" w:line="287" w:lineRule="auto"/>
        <w:rPr>
          <w:sz w:val="20"/>
          <w:szCs w:val="20"/>
          <w:color w:val="auto"/>
        </w:rPr>
      </w:pP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xml:space="preserve">: With respect to any Benchmark Replacement, any technical, administrative or operational changes </w:t>
      </w:r>
      <w:r>
        <w:rPr>
          <w:rFonts w:ascii="Arial" w:cs="Arial" w:eastAsia="Arial" w:hAnsi="Arial"/>
          <w:sz w:val="19"/>
          <w:szCs w:val="19"/>
          <w:u w:val="single" w:color="auto"/>
          <w:color w:val="0000FF"/>
        </w:rPr>
        <w:t>(including changes to the definition of “Base Rate,” the definition of “Business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Day,” the definition of “Accrual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w:t>
      </w:r>
      <w:r>
        <w:rPr>
          <w:rFonts w:ascii="Arial" w:cs="Arial" w:eastAsia="Arial" w:hAnsi="Arial"/>
          <w:sz w:val="19"/>
          <w:szCs w:val="19"/>
          <w:color w:val="0000FF"/>
        </w:rPr>
        <w:t xml:space="preserve"> </w:t>
      </w:r>
      <w:r>
        <w:rPr>
          <w:rFonts w:ascii="Arial" w:cs="Arial" w:eastAsia="Arial" w:hAnsi="Arial"/>
          <w:sz w:val="19"/>
          <w:szCs w:val="19"/>
          <w:color w:val="000000"/>
        </w:rPr>
        <w:t>that the Deal Agent</w:t>
      </w:r>
      <w:r>
        <w:rPr>
          <w:rFonts w:ascii="Arial" w:cs="Arial" w:eastAsia="Arial" w:hAnsi="Arial"/>
          <w:sz w:val="19"/>
          <w:szCs w:val="19"/>
          <w:color w:val="0000FF"/>
        </w:rPr>
        <w:t xml:space="preserve"> </w:t>
      </w:r>
      <w:r>
        <w:rPr>
          <w:rFonts w:ascii="Arial" w:cs="Arial" w:eastAsia="Arial" w:hAnsi="Arial"/>
          <w:sz w:val="19"/>
          <w:szCs w:val="19"/>
          <w:color w:val="000000"/>
        </w:rPr>
        <w:t>decides</w:t>
      </w:r>
      <w:r>
        <w:rPr>
          <w:rFonts w:ascii="Arial" w:cs="Arial" w:eastAsia="Arial" w:hAnsi="Arial"/>
          <w:sz w:val="19"/>
          <w:szCs w:val="19"/>
          <w:color w:val="FF0000"/>
          <w:strike w:val="1"/>
        </w:rPr>
        <w:t>, in its commercially reasonable judgment, are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may be</w:t>
      </w:r>
      <w:r>
        <w:rPr>
          <w:rFonts w:ascii="Arial" w:cs="Arial" w:eastAsia="Arial" w:hAnsi="Arial"/>
          <w:sz w:val="19"/>
          <w:szCs w:val="19"/>
          <w:color w:val="000000"/>
        </w:rPr>
        <w:t xml:space="preserve"> appropriate to reflect the adoption and implementation of such Benchmark Replacement and to permit the administration thereof by the Deal Agent in a manner substantially consistent with market practice (or, if the Deal Agent decides that adoption of any portion of such market practice is not administratively feasible or if the Deal Agent determines that no market practice for the administration of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such</w:t>
      </w:r>
      <w:r>
        <w:rPr>
          <w:rFonts w:ascii="Arial" w:cs="Arial" w:eastAsia="Arial" w:hAnsi="Arial"/>
          <w:sz w:val="19"/>
          <w:szCs w:val="19"/>
          <w:color w:val="000000"/>
        </w:rPr>
        <w:t xml:space="preserve"> Benchmark Replacement exists, in such other manner of administration as the Deal Agent decides is reasonably necessary in connection with the administration of this Agreement </w:t>
      </w:r>
      <w:r>
        <w:rPr>
          <w:rFonts w:ascii="Arial" w:cs="Arial" w:eastAsia="Arial" w:hAnsi="Arial"/>
          <w:sz w:val="19"/>
          <w:szCs w:val="19"/>
          <w:u w:val="single" w:color="auto"/>
          <w:color w:val="0000FF"/>
        </w:rPr>
        <w:t>and the other Transaction Documents</w:t>
      </w:r>
      <w:r>
        <w:rPr>
          <w:rFonts w:ascii="Arial" w:cs="Arial" w:eastAsia="Arial" w:hAnsi="Arial"/>
          <w:sz w:val="19"/>
          <w:szCs w:val="19"/>
          <w:color w:val="000000"/>
        </w:rPr>
        <w:t>).</w:t>
      </w:r>
    </w:p>
    <w:p>
      <w:pPr>
        <w:spacing w:after="0" w:line="190" w:lineRule="exact"/>
        <w:rPr>
          <w:sz w:val="20"/>
          <w:szCs w:val="20"/>
          <w:color w:val="auto"/>
        </w:rPr>
      </w:pPr>
    </w:p>
    <w:p>
      <w:pPr>
        <w:ind w:left="660" w:right="460" w:firstLine="648"/>
        <w:spacing w:after="0" w:line="263" w:lineRule="auto"/>
        <w:rPr>
          <w:sz w:val="20"/>
          <w:szCs w:val="20"/>
          <w:color w:val="auto"/>
        </w:rPr>
      </w:pP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xml:space="preserve">: The </w:t>
      </w:r>
      <w:r>
        <w:rPr>
          <w:rFonts w:ascii="Arial" w:cs="Arial" w:eastAsia="Arial" w:hAnsi="Arial"/>
          <w:sz w:val="22"/>
          <w:szCs w:val="22"/>
          <w:color w:val="FF0000"/>
          <w:strike w:val="1"/>
        </w:rPr>
        <w:t>earlier</w:t>
      </w:r>
      <w:r>
        <w:rPr>
          <w:rFonts w:ascii="Arial" w:cs="Arial" w:eastAsia="Arial" w:hAnsi="Arial"/>
          <w:sz w:val="22"/>
          <w:szCs w:val="22"/>
          <w:u w:val="single" w:color="auto"/>
          <w:color w:val="0000FF"/>
        </w:rPr>
        <w:t>earliest</w:t>
      </w:r>
      <w:r>
        <w:rPr>
          <w:rFonts w:ascii="Arial" w:cs="Arial" w:eastAsia="Arial" w:hAnsi="Arial"/>
          <w:sz w:val="22"/>
          <w:szCs w:val="22"/>
          <w:color w:val="auto"/>
        </w:rPr>
        <w:t xml:space="preserve"> to occur of the following events with respect to the </w:t>
      </w:r>
      <w:r>
        <w:rPr>
          <w:rFonts w:ascii="Arial" w:cs="Arial" w:eastAsia="Arial" w:hAnsi="Arial"/>
          <w:sz w:val="22"/>
          <w:szCs w:val="22"/>
          <w:color w:val="FF0000"/>
          <w:strike w:val="1"/>
        </w:rPr>
        <w:t>LIBOR</w:t>
      </w:r>
      <w:r>
        <w:rPr>
          <w:rFonts w:ascii="Arial" w:cs="Arial" w:eastAsia="Arial" w:hAnsi="Arial"/>
          <w:sz w:val="22"/>
          <w:szCs w:val="22"/>
          <w:color w:val="auto"/>
        </w:rPr>
        <w:t xml:space="preserve"> </w:t>
      </w:r>
      <w:r>
        <w:rPr>
          <w:rFonts w:ascii="Arial" w:cs="Arial" w:eastAsia="Arial" w:hAnsi="Arial"/>
          <w:sz w:val="22"/>
          <w:szCs w:val="22"/>
          <w:color w:val="FF0000"/>
          <w:strike w:val="1"/>
        </w:rPr>
        <w:t>Rate</w:t>
      </w:r>
      <w:r>
        <w:rPr>
          <w:rFonts w:ascii="Arial" w:cs="Arial" w:eastAsia="Arial" w:hAnsi="Arial"/>
          <w:sz w:val="22"/>
          <w:szCs w:val="22"/>
          <w:u w:val="single" w:color="auto"/>
          <w:color w:val="0000FF"/>
        </w:rPr>
        <w:t>then-current Benchmark</w:t>
      </w:r>
      <w:r>
        <w:rPr>
          <w:rFonts w:ascii="Arial" w:cs="Arial" w:eastAsia="Arial" w:hAnsi="Arial"/>
          <w:sz w:val="22"/>
          <w:szCs w:val="22"/>
          <w:color w:val="000000"/>
        </w:rPr>
        <w:t>:</w:t>
      </w:r>
    </w:p>
    <w:p>
      <w:pPr>
        <w:spacing w:after="0" w:line="215" w:lineRule="exact"/>
        <w:rPr>
          <w:sz w:val="20"/>
          <w:szCs w:val="20"/>
          <w:color w:val="auto"/>
        </w:rPr>
      </w:pPr>
    </w:p>
    <w:p>
      <w:pPr>
        <w:jc w:val="both"/>
        <w:ind w:left="1300" w:firstLine="490"/>
        <w:spacing w:after="0" w:line="250" w:lineRule="auto"/>
        <w:tabs>
          <w:tab w:leader="none" w:pos="2095" w:val="left"/>
        </w:tabs>
        <w:numPr>
          <w:ilvl w:val="0"/>
          <w:numId w:val="264"/>
        </w:numPr>
        <w:rPr>
          <w:rFonts w:ascii="Arial" w:cs="Arial" w:eastAsia="Arial" w:hAnsi="Arial"/>
          <w:sz w:val="22"/>
          <w:szCs w:val="22"/>
          <w:color w:val="auto"/>
        </w:rPr>
      </w:pPr>
      <w:r>
        <w:rPr>
          <w:rFonts w:ascii="Arial" w:cs="Arial" w:eastAsia="Arial" w:hAnsi="Arial"/>
          <w:sz w:val="22"/>
          <w:szCs w:val="22"/>
          <w:color w:val="auto"/>
        </w:rPr>
        <w:t xml:space="preserve">in the case of clause (1) or (2) of the definition of “Benchmark Transition Event,” the later of (a) the date of the public statement or publication of information referenced therein and (b) the date on which the administrator of </w:t>
      </w:r>
      <w:r>
        <w:rPr>
          <w:rFonts w:ascii="Arial" w:cs="Arial" w:eastAsia="Arial" w:hAnsi="Arial"/>
          <w:sz w:val="22"/>
          <w:szCs w:val="22"/>
          <w:color w:val="FF0000"/>
          <w:strike w:val="1"/>
        </w:rPr>
        <w:t>the LIBOR Rate</w:t>
      </w:r>
      <w:r>
        <w:rPr>
          <w:rFonts w:ascii="Arial" w:cs="Arial" w:eastAsia="Arial" w:hAnsi="Arial"/>
          <w:sz w:val="22"/>
          <w:szCs w:val="22"/>
          <w:u w:val="single" w:color="auto"/>
          <w:color w:val="0000FF"/>
        </w:rPr>
        <w:t>such Benchmark (or the published component used in the calculation thereof)</w:t>
      </w:r>
      <w:r>
        <w:rPr>
          <w:rFonts w:ascii="Arial" w:cs="Arial" w:eastAsia="Arial" w:hAnsi="Arial"/>
          <w:sz w:val="22"/>
          <w:szCs w:val="22"/>
          <w:color w:val="auto"/>
        </w:rPr>
        <w:t xml:space="preserve"> permanently 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w:t>
      </w:r>
    </w:p>
    <w:p>
      <w:pPr>
        <w:sectPr>
          <w:pgSz w:w="11900" w:h="16838" w:orient="portrait"/>
          <w:cols w:equalWidth="0" w:num="1">
            <w:col w:w="11240"/>
          </w:cols>
          <w:pgMar w:left="320" w:top="1428" w:right="339" w:bottom="1440" w:gutter="0" w:footer="0" w:header="0"/>
        </w:sectPr>
      </w:pPr>
    </w:p>
    <w:bookmarkStart w:id="275" w:name="page276"/>
    <w:bookmarkEnd w:id="275"/>
    <w:p>
      <w:pPr>
        <w:spacing w:after="0"/>
        <w:rPr>
          <w:sz w:val="20"/>
          <w:szCs w:val="20"/>
          <w:color w:val="auto"/>
        </w:rPr>
      </w:pPr>
      <w:r>
        <w:rPr>
          <w:rFonts w:ascii="Arial" w:cs="Arial" w:eastAsia="Arial" w:hAnsi="Arial"/>
          <w:sz w:val="21"/>
          <w:szCs w:val="21"/>
          <w:color w:val="auto"/>
        </w:rPr>
        <w:t xml:space="preserve">indefinitely ceases to provide </w:t>
      </w:r>
      <w:r>
        <w:rPr>
          <w:rFonts w:ascii="Arial" w:cs="Arial" w:eastAsia="Arial" w:hAnsi="Arial"/>
          <w:sz w:val="21"/>
          <w:szCs w:val="21"/>
          <w:color w:val="FF0000"/>
          <w:strike w:val="1"/>
        </w:rPr>
        <w:t>the LIBOR Rate; or</w:t>
      </w:r>
      <w:r>
        <w:rPr>
          <w:rFonts w:ascii="Arial" w:cs="Arial" w:eastAsia="Arial" w:hAnsi="Arial"/>
          <w:sz w:val="21"/>
          <w:szCs w:val="21"/>
          <w:u w:val="single" w:color="auto"/>
          <w:color w:val="0000FF"/>
        </w:rPr>
        <w:t>all Available Tenors of such Benchmark (or such component thereof);</w:t>
      </w:r>
    </w:p>
    <w:p>
      <w:pPr>
        <w:spacing w:after="0" w:line="272" w:lineRule="exact"/>
        <w:rPr>
          <w:sz w:val="20"/>
          <w:szCs w:val="20"/>
          <w:color w:val="auto"/>
        </w:rPr>
      </w:pPr>
    </w:p>
    <w:p>
      <w:pPr>
        <w:ind w:left="1340" w:right="160" w:firstLine="648"/>
        <w:spacing w:after="0" w:line="263" w:lineRule="auto"/>
        <w:tabs>
          <w:tab w:leader="none" w:pos="2591" w:val="left"/>
        </w:tabs>
        <w:numPr>
          <w:ilvl w:val="1"/>
          <w:numId w:val="265"/>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r>
        <w:rPr>
          <w:rFonts w:ascii="Arial" w:cs="Arial" w:eastAsia="Arial" w:hAnsi="Arial"/>
          <w:sz w:val="22"/>
          <w:szCs w:val="22"/>
          <w:color w:val="FF0000"/>
        </w:rPr>
        <w:t>.</w:t>
      </w:r>
      <w:r>
        <w:rPr>
          <w:rFonts w:ascii="Arial" w:cs="Arial" w:eastAsia="Arial" w:hAnsi="Arial"/>
          <w:sz w:val="22"/>
          <w:szCs w:val="22"/>
          <w:color w:val="0000FF"/>
        </w:rPr>
        <w:t>;</w:t>
      </w:r>
    </w:p>
    <w:p>
      <w:pPr>
        <w:spacing w:after="0" w:line="201" w:lineRule="exact"/>
        <w:rPr>
          <w:rFonts w:ascii="Arial" w:cs="Arial" w:eastAsia="Arial" w:hAnsi="Arial"/>
          <w:sz w:val="22"/>
          <w:szCs w:val="22"/>
          <w:color w:val="auto"/>
        </w:rPr>
      </w:pPr>
    </w:p>
    <w:p>
      <w:pPr>
        <w:ind w:left="1300" w:firstLine="652"/>
        <w:spacing w:after="0" w:line="263" w:lineRule="auto"/>
        <w:tabs>
          <w:tab w:leader="none" w:pos="2263" w:val="left"/>
        </w:tabs>
        <w:numPr>
          <w:ilvl w:val="0"/>
          <w:numId w:val="26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in the case of a Term SOFR Transition Event, the date that is thirty (30) days after the Deal Agent has rovided the Term SOFR Notice to the Borrower pursuant to Section 2.11(a)(ii); or</w:t>
      </w:r>
    </w:p>
    <w:p>
      <w:pPr>
        <w:spacing w:after="0" w:line="201" w:lineRule="exact"/>
        <w:rPr>
          <w:rFonts w:ascii="Arial" w:cs="Arial" w:eastAsia="Arial" w:hAnsi="Arial"/>
          <w:sz w:val="22"/>
          <w:szCs w:val="22"/>
          <w:u w:val="single" w:color="auto"/>
          <w:color w:val="0000FF"/>
        </w:rPr>
      </w:pPr>
    </w:p>
    <w:p>
      <w:pPr>
        <w:ind w:left="2540" w:hanging="588"/>
        <w:spacing w:after="0"/>
        <w:tabs>
          <w:tab w:leader="none" w:pos="2540" w:val="left"/>
        </w:tabs>
        <w:numPr>
          <w:ilvl w:val="0"/>
          <w:numId w:val="266"/>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in the case of an Early Opt-in Election, the date agreed to in writing by the Deal Agent and the</w:t>
      </w:r>
    </w:p>
    <w:p>
      <w:pPr>
        <w:spacing w:after="0" w:line="55" w:lineRule="exact"/>
        <w:rPr>
          <w:rFonts w:ascii="Arial" w:cs="Arial" w:eastAsia="Arial" w:hAnsi="Arial"/>
          <w:sz w:val="19"/>
          <w:szCs w:val="19"/>
          <w:u w:val="single" w:color="auto"/>
          <w:color w:val="0000FF"/>
        </w:rPr>
      </w:pPr>
    </w:p>
    <w:p>
      <w:pPr>
        <w:ind w:left="1300"/>
        <w:spacing w:after="0"/>
        <w:rPr>
          <w:rFonts w:ascii="Arial" w:cs="Arial" w:eastAsia="Arial" w:hAnsi="Arial"/>
          <w:sz w:val="19"/>
          <w:szCs w:val="19"/>
          <w:u w:val="single" w:color="auto"/>
          <w:color w:val="0000FF"/>
        </w:rPr>
      </w:pPr>
      <w:r>
        <w:rPr>
          <w:rFonts w:ascii="Arial" w:cs="Arial" w:eastAsia="Arial" w:hAnsi="Arial"/>
          <w:sz w:val="22"/>
          <w:szCs w:val="22"/>
          <w:u w:val="single" w:color="auto"/>
          <w:color w:val="0000FF"/>
        </w:rPr>
        <w:t>Borrower.</w:t>
      </w:r>
    </w:p>
    <w:p>
      <w:pPr>
        <w:spacing w:after="0" w:line="242" w:lineRule="exact"/>
        <w:rPr>
          <w:sz w:val="20"/>
          <w:szCs w:val="20"/>
          <w:color w:val="auto"/>
        </w:rPr>
      </w:pPr>
    </w:p>
    <w:p>
      <w:pPr>
        <w:jc w:val="both"/>
        <w:ind w:left="700" w:right="140" w:firstLine="14"/>
        <w:spacing w:after="0" w:line="261" w:lineRule="auto"/>
        <w:rPr>
          <w:sz w:val="20"/>
          <w:szCs w:val="20"/>
          <w:color w:val="auto"/>
        </w:rPr>
      </w:pPr>
      <w:r>
        <w:rPr>
          <w:rFonts w:ascii="Arial" w:cs="Arial" w:eastAsia="Arial" w:hAnsi="Arial"/>
          <w:sz w:val="21"/>
          <w:szCs w:val="21"/>
          <w:u w:val="single" w:color="auto"/>
          <w:color w:val="0000FF"/>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06" w:lineRule="exact"/>
        <w:rPr>
          <w:sz w:val="20"/>
          <w:szCs w:val="20"/>
          <w:color w:val="auto"/>
        </w:rPr>
      </w:pPr>
    </w:p>
    <w:p>
      <w:pPr>
        <w:ind w:left="700" w:right="240" w:firstLine="648"/>
        <w:spacing w:after="0" w:line="263" w:lineRule="auto"/>
        <w:rPr>
          <w:sz w:val="20"/>
          <w:szCs w:val="20"/>
          <w:color w:val="auto"/>
        </w:rPr>
      </w:pP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xml:space="preserve">: The occurrence of one or more of the following events with respect to the </w:t>
      </w:r>
      <w:r>
        <w:rPr>
          <w:rFonts w:ascii="Arial" w:cs="Arial" w:eastAsia="Arial" w:hAnsi="Arial"/>
          <w:sz w:val="22"/>
          <w:szCs w:val="22"/>
          <w:color w:val="FF0000"/>
          <w:strike w:val="1"/>
        </w:rPr>
        <w:t>LIBOR</w:t>
      </w:r>
      <w:r>
        <w:rPr>
          <w:rFonts w:ascii="Arial" w:cs="Arial" w:eastAsia="Arial" w:hAnsi="Arial"/>
          <w:sz w:val="22"/>
          <w:szCs w:val="22"/>
          <w:color w:val="auto"/>
        </w:rPr>
        <w:t xml:space="preserve"> </w:t>
      </w:r>
      <w:r>
        <w:rPr>
          <w:rFonts w:ascii="Arial" w:cs="Arial" w:eastAsia="Arial" w:hAnsi="Arial"/>
          <w:sz w:val="22"/>
          <w:szCs w:val="22"/>
          <w:color w:val="FF0000"/>
          <w:strike w:val="1"/>
        </w:rPr>
        <w:t>Rate</w:t>
      </w:r>
      <w:r>
        <w:rPr>
          <w:rFonts w:ascii="Arial" w:cs="Arial" w:eastAsia="Arial" w:hAnsi="Arial"/>
          <w:sz w:val="22"/>
          <w:szCs w:val="22"/>
          <w:u w:val="single" w:color="auto"/>
          <w:color w:val="0000FF"/>
        </w:rPr>
        <w:t>then-current Benchmark</w:t>
      </w:r>
      <w:r>
        <w:rPr>
          <w:rFonts w:ascii="Arial" w:cs="Arial" w:eastAsia="Arial" w:hAnsi="Arial"/>
          <w:sz w:val="22"/>
          <w:szCs w:val="22"/>
          <w:color w:val="000000"/>
        </w:rPr>
        <w:t>:</w:t>
      </w:r>
    </w:p>
    <w:p>
      <w:pPr>
        <w:spacing w:after="0" w:line="202" w:lineRule="exact"/>
        <w:rPr>
          <w:sz w:val="20"/>
          <w:szCs w:val="20"/>
          <w:color w:val="auto"/>
        </w:rPr>
      </w:pPr>
    </w:p>
    <w:p>
      <w:pPr>
        <w:jc w:val="both"/>
        <w:ind w:left="1300" w:right="160" w:firstLine="490"/>
        <w:spacing w:after="0" w:line="247" w:lineRule="auto"/>
        <w:tabs>
          <w:tab w:leader="none" w:pos="2314" w:val="left"/>
        </w:tabs>
        <w:numPr>
          <w:ilvl w:val="0"/>
          <w:numId w:val="267"/>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w:t>
      </w:r>
      <w:r>
        <w:rPr>
          <w:rFonts w:ascii="Arial" w:cs="Arial" w:eastAsia="Arial" w:hAnsi="Arial"/>
          <w:sz w:val="22"/>
          <w:szCs w:val="22"/>
          <w:color w:val="FF0000"/>
          <w:strike w:val="1"/>
        </w:rPr>
        <w:t>the LIBOR</w:t>
      </w:r>
      <w:r>
        <w:rPr>
          <w:rFonts w:ascii="Arial" w:cs="Arial" w:eastAsia="Arial" w:hAnsi="Arial"/>
          <w:sz w:val="22"/>
          <w:szCs w:val="22"/>
          <w:color w:val="auto"/>
        </w:rPr>
        <w:t xml:space="preserve"> </w:t>
      </w:r>
      <w:r>
        <w:rPr>
          <w:rFonts w:ascii="Arial" w:cs="Arial" w:eastAsia="Arial" w:hAnsi="Arial"/>
          <w:sz w:val="22"/>
          <w:szCs w:val="22"/>
          <w:color w:val="FF0000"/>
          <w:strike w:val="1"/>
        </w:rPr>
        <w:t>Rate</w:t>
      </w:r>
      <w:r>
        <w:rPr>
          <w:rFonts w:ascii="Arial" w:cs="Arial" w:eastAsia="Arial" w:hAnsi="Arial"/>
          <w:sz w:val="22"/>
          <w:szCs w:val="22"/>
          <w:u w:val="single" w:color="auto"/>
          <w:color w:val="0000FF"/>
        </w:rPr>
        <w:t>such Benchmark (or the published component used in the calculation thereof)</w:t>
      </w:r>
      <w:r>
        <w:rPr>
          <w:rFonts w:ascii="Arial" w:cs="Arial" w:eastAsia="Arial" w:hAnsi="Arial"/>
          <w:sz w:val="22"/>
          <w:szCs w:val="22"/>
          <w:color w:val="FF0000"/>
        </w:rPr>
        <w:t xml:space="preserve"> </w:t>
      </w:r>
      <w:r>
        <w:rPr>
          <w:rFonts w:ascii="Arial" w:cs="Arial" w:eastAsia="Arial" w:hAnsi="Arial"/>
          <w:sz w:val="22"/>
          <w:szCs w:val="22"/>
          <w:color w:val="000000"/>
        </w:rPr>
        <w:t>announcing that such</w:t>
      </w:r>
      <w:r>
        <w:rPr>
          <w:rFonts w:ascii="Arial" w:cs="Arial" w:eastAsia="Arial" w:hAnsi="Arial"/>
          <w:sz w:val="22"/>
          <w:szCs w:val="22"/>
          <w:color w:val="FF0000"/>
        </w:rPr>
        <w:t xml:space="preserve"> </w:t>
      </w:r>
      <w:r>
        <w:rPr>
          <w:rFonts w:ascii="Arial" w:cs="Arial" w:eastAsia="Arial" w:hAnsi="Arial"/>
          <w:sz w:val="22"/>
          <w:szCs w:val="22"/>
          <w:color w:val="000000"/>
        </w:rPr>
        <w:t xml:space="preserve">administrator has ceased or will cease to provide </w:t>
      </w:r>
      <w:r>
        <w:rPr>
          <w:rFonts w:ascii="Arial" w:cs="Arial" w:eastAsia="Arial" w:hAnsi="Arial"/>
          <w:sz w:val="22"/>
          <w:szCs w:val="22"/>
          <w:color w:val="FF0000"/>
          <w:strike w:val="1"/>
        </w:rPr>
        <w:t>the LIBOR Rate</w:t>
      </w:r>
      <w:r>
        <w:rPr>
          <w:rFonts w:ascii="Arial" w:cs="Arial" w:eastAsia="Arial" w:hAnsi="Arial"/>
          <w:sz w:val="22"/>
          <w:szCs w:val="22"/>
          <w:u w:val="single" w:color="auto"/>
          <w:color w:val="0000FF"/>
        </w:rPr>
        <w:t>all Available Tenors of such Benchmark (or</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such component thereof)</w:t>
      </w:r>
      <w:r>
        <w:rPr>
          <w:rFonts w:ascii="Arial" w:cs="Arial" w:eastAsia="Arial" w:hAnsi="Arial"/>
          <w:sz w:val="22"/>
          <w:szCs w:val="22"/>
          <w:color w:val="000000"/>
        </w:rPr>
        <w:t>, permanently or indefinitely,</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0000FF"/>
        </w:rPr>
        <w:t xml:space="preserve"> </w:t>
      </w:r>
      <w:r>
        <w:rPr>
          <w:rFonts w:ascii="Arial" w:cs="Arial" w:eastAsia="Arial" w:hAnsi="Arial"/>
          <w:sz w:val="22"/>
          <w:szCs w:val="22"/>
          <w:color w:val="000000"/>
        </w:rPr>
        <w:t>that, at the time of such statement or publication,</w:t>
      </w:r>
      <w:r>
        <w:rPr>
          <w:rFonts w:ascii="Arial" w:cs="Arial" w:eastAsia="Arial" w:hAnsi="Arial"/>
          <w:sz w:val="22"/>
          <w:szCs w:val="22"/>
          <w:color w:val="0000FF"/>
        </w:rPr>
        <w:t xml:space="preserve"> </w:t>
      </w:r>
      <w:r>
        <w:rPr>
          <w:rFonts w:ascii="Arial" w:cs="Arial" w:eastAsia="Arial" w:hAnsi="Arial"/>
          <w:sz w:val="22"/>
          <w:szCs w:val="22"/>
          <w:color w:val="000000"/>
        </w:rPr>
        <w:t xml:space="preserve">there is no successor administrator that will continue to provide </w:t>
      </w:r>
      <w:r>
        <w:rPr>
          <w:rFonts w:ascii="Arial" w:cs="Arial" w:eastAsia="Arial" w:hAnsi="Arial"/>
          <w:sz w:val="22"/>
          <w:szCs w:val="22"/>
          <w:color w:val="FF0000"/>
          <w:strike w:val="1"/>
        </w:rPr>
        <w:t>the LIBOR Rate</w:t>
      </w:r>
      <w:r>
        <w:rPr>
          <w:rFonts w:ascii="Arial" w:cs="Arial" w:eastAsia="Arial" w:hAnsi="Arial"/>
          <w:sz w:val="22"/>
          <w:szCs w:val="22"/>
          <w:u w:val="single" w:color="auto"/>
          <w:color w:val="0000FF"/>
        </w:rPr>
        <w:t>any Available Tenor of such</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Benchmark (or such component thereof)</w:t>
      </w:r>
      <w:r>
        <w:rPr>
          <w:rFonts w:ascii="Arial" w:cs="Arial" w:eastAsia="Arial" w:hAnsi="Arial"/>
          <w:sz w:val="22"/>
          <w:szCs w:val="22"/>
          <w:color w:val="000000"/>
        </w:rPr>
        <w:t>;</w:t>
      </w:r>
    </w:p>
    <w:p>
      <w:pPr>
        <w:spacing w:after="0" w:line="219" w:lineRule="exact"/>
        <w:rPr>
          <w:rFonts w:ascii="Arial" w:cs="Arial" w:eastAsia="Arial" w:hAnsi="Arial"/>
          <w:sz w:val="22"/>
          <w:szCs w:val="22"/>
          <w:color w:val="auto"/>
        </w:rPr>
      </w:pPr>
    </w:p>
    <w:p>
      <w:pPr>
        <w:jc w:val="both"/>
        <w:ind w:left="1300" w:right="160" w:firstLine="490"/>
        <w:spacing w:after="0" w:line="287" w:lineRule="auto"/>
        <w:tabs>
          <w:tab w:leader="none" w:pos="2329"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w:t>
      </w:r>
      <w:r>
        <w:rPr>
          <w:rFonts w:ascii="Arial" w:cs="Arial" w:eastAsia="Arial" w:hAnsi="Arial"/>
          <w:sz w:val="19"/>
          <w:szCs w:val="19"/>
          <w:color w:val="FF0000"/>
          <w:strike w:val="1"/>
        </w:rPr>
        <w:t xml:space="preserve">the LIBOR Rate, the U.S. </w:t>
      </w:r>
      <w:r>
        <w:rPr>
          <w:rFonts w:ascii="Arial" w:cs="Arial" w:eastAsia="Arial" w:hAnsi="Arial"/>
          <w:sz w:val="19"/>
          <w:szCs w:val="19"/>
          <w:u w:val="single" w:color="auto"/>
          <w:color w:val="0000FF"/>
          <w:strike w:val="1"/>
        </w:rPr>
        <w:t>such Benchmark (or the published component used in the calculation thereof), the</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7F00"/>
          <w:strike w:val="1"/>
        </w:rPr>
        <w:t>Board of Governors of the</w:t>
      </w:r>
      <w:r>
        <w:rPr>
          <w:rFonts w:ascii="Arial" w:cs="Arial" w:eastAsia="Arial" w:hAnsi="Arial"/>
          <w:sz w:val="19"/>
          <w:szCs w:val="19"/>
          <w:color w:val="007F00"/>
          <w:strike w:val="1"/>
        </w:rPr>
        <w:t xml:space="preserve"> </w:t>
      </w:r>
      <w:r>
        <w:rPr>
          <w:rFonts w:ascii="Arial" w:cs="Arial" w:eastAsia="Arial" w:hAnsi="Arial"/>
          <w:sz w:val="19"/>
          <w:szCs w:val="19"/>
          <w:color w:val="000000"/>
          <w:strike w:val="1"/>
        </w:rPr>
        <w:t>Federal Reserve System,</w:t>
      </w:r>
      <w:r>
        <w:rPr>
          <w:rFonts w:ascii="Arial" w:cs="Arial" w:eastAsia="Arial" w:hAnsi="Arial"/>
          <w:sz w:val="19"/>
          <w:szCs w:val="19"/>
          <w:color w:val="007F00"/>
          <w:strike w:val="1"/>
        </w:rPr>
        <w:t xml:space="preserve"> </w:t>
      </w:r>
      <w:r>
        <w:rPr>
          <w:rFonts w:ascii="Arial" w:cs="Arial" w:eastAsia="Arial" w:hAnsi="Arial"/>
          <w:sz w:val="19"/>
          <w:szCs w:val="19"/>
          <w:u w:val="single" w:color="auto"/>
          <w:color w:val="007F00"/>
          <w:strike w:val="1"/>
        </w:rPr>
        <w:t>the Federal Reserve Bank of New York,</w:t>
      </w:r>
      <w:r>
        <w:rPr>
          <w:rFonts w:ascii="Arial" w:cs="Arial" w:eastAsia="Arial" w:hAnsi="Arial"/>
          <w:sz w:val="19"/>
          <w:szCs w:val="19"/>
          <w:color w:val="007F00"/>
          <w:strike w:val="1"/>
        </w:rPr>
        <w:t xml:space="preserve"> </w:t>
      </w:r>
      <w:r>
        <w:rPr>
          <w:rFonts w:ascii="Arial" w:cs="Arial" w:eastAsia="Arial" w:hAnsi="Arial"/>
          <w:sz w:val="19"/>
          <w:szCs w:val="19"/>
          <w:color w:val="000000"/>
          <w:strike w:val="1"/>
        </w:rPr>
        <w:t>an insolvency</w:t>
      </w:r>
      <w:r>
        <w:rPr>
          <w:rFonts w:ascii="Arial" w:cs="Arial" w:eastAsia="Arial" w:hAnsi="Arial"/>
          <w:sz w:val="19"/>
          <w:szCs w:val="19"/>
          <w:color w:val="007F00"/>
          <w:strike w:val="1"/>
        </w:rPr>
        <w:t xml:space="preserve"> </w:t>
      </w:r>
      <w:r>
        <w:rPr>
          <w:rFonts w:ascii="Arial" w:cs="Arial" w:eastAsia="Arial" w:hAnsi="Arial"/>
          <w:sz w:val="19"/>
          <w:szCs w:val="19"/>
          <w:color w:val="000000"/>
          <w:strike w:val="1"/>
        </w:rPr>
        <w:t xml:space="preserve">official with jurisdiction over the administrator for </w:t>
      </w:r>
      <w:r>
        <w:rPr>
          <w:rFonts w:ascii="Arial" w:cs="Arial" w:eastAsia="Arial" w:hAnsi="Arial"/>
          <w:sz w:val="19"/>
          <w:szCs w:val="19"/>
          <w:color w:val="FF0000"/>
          <w:strike w:val="1"/>
        </w:rPr>
        <w:t>the LIBOR Rate</w:t>
      </w:r>
      <w:r>
        <w:rPr>
          <w:rFonts w:ascii="Arial" w:cs="Arial" w:eastAsia="Arial" w:hAnsi="Arial"/>
          <w:sz w:val="19"/>
          <w:szCs w:val="19"/>
          <w:u w:val="single" w:color="auto"/>
          <w:color w:val="0000FF"/>
          <w:strike w:val="1"/>
        </w:rPr>
        <w:t>such Benchmark (or such component)</w:t>
      </w:r>
      <w:r>
        <w:rPr>
          <w:rFonts w:ascii="Arial" w:cs="Arial" w:eastAsia="Arial" w:hAnsi="Arial"/>
          <w:sz w:val="19"/>
          <w:szCs w:val="19"/>
          <w:color w:val="000000"/>
          <w:strike w:val="1"/>
        </w:rPr>
        <w:t xml:space="preserve">, a resolution authority with jurisdiction over the administrator for </w:t>
      </w:r>
      <w:r>
        <w:rPr>
          <w:rFonts w:ascii="Arial" w:cs="Arial" w:eastAsia="Arial" w:hAnsi="Arial"/>
          <w:sz w:val="19"/>
          <w:szCs w:val="19"/>
          <w:color w:val="FF0000"/>
          <w:strike w:val="1"/>
        </w:rPr>
        <w:t>the LIBOR Rate</w:t>
      </w:r>
      <w:r>
        <w:rPr>
          <w:rFonts w:ascii="Arial" w:cs="Arial" w:eastAsia="Arial" w:hAnsi="Arial"/>
          <w:sz w:val="19"/>
          <w:szCs w:val="19"/>
          <w:u w:val="single" w:color="auto"/>
          <w:color w:val="0000FF"/>
          <w:strike w:val="1"/>
        </w:rPr>
        <w:t>such Benchmark (or such</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component)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or a court or an entity with similar insolvency or resolution authority over the administrator for</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the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strike w:val="1"/>
        </w:rPr>
        <w:t>such Benchmark (or such component)</w:t>
      </w:r>
      <w:r>
        <w:rPr>
          <w:rFonts w:ascii="Arial" w:cs="Arial" w:eastAsia="Arial" w:hAnsi="Arial"/>
          <w:sz w:val="19"/>
          <w:szCs w:val="19"/>
          <w:color w:val="000000"/>
          <w:strike w:val="1"/>
        </w:rPr>
        <w:t>, which states that the administrator of</w:t>
      </w:r>
      <w:r>
        <w:rPr>
          <w:rFonts w:ascii="Arial" w:cs="Arial" w:eastAsia="Arial" w:hAnsi="Arial"/>
          <w:sz w:val="19"/>
          <w:szCs w:val="19"/>
          <w:color w:val="FF0000"/>
          <w:strike w:val="1"/>
        </w:rPr>
        <w:t xml:space="preserve"> the LIBOR Rate</w:t>
      </w:r>
      <w:r>
        <w:rPr>
          <w:rFonts w:ascii="Arial" w:cs="Arial" w:eastAsia="Arial" w:hAnsi="Arial"/>
          <w:sz w:val="19"/>
          <w:szCs w:val="19"/>
          <w:u w:val="single" w:color="auto"/>
          <w:color w:val="0000FF"/>
          <w:strike w:val="1"/>
        </w:rPr>
        <w:t>such</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Benchmark (or such component)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has ceased or will cease to provide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LIBOR</w:t>
      </w:r>
      <w:r>
        <w:rPr>
          <w:rFonts w:ascii="Arial" w:cs="Arial" w:eastAsia="Arial" w:hAnsi="Arial"/>
          <w:sz w:val="19"/>
          <w:szCs w:val="19"/>
          <w:u w:val="single" w:color="auto"/>
          <w:color w:val="0000FF"/>
          <w:strike w:val="1"/>
        </w:rPr>
        <w:t>all Available Tenors of such</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Benchmark (or such component thereof)</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permanently or indefinitely,</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00"/>
          <w:strike w:val="1"/>
        </w:rPr>
        <w:t>provided</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that, at the time of such statement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 xml:space="preserve">or publication, there is no successor administrator that will continue to provide </w:t>
      </w:r>
      <w:r>
        <w:rPr>
          <w:rFonts w:ascii="Arial" w:cs="Arial" w:eastAsia="Arial" w:hAnsi="Arial"/>
          <w:sz w:val="19"/>
          <w:szCs w:val="19"/>
          <w:color w:val="FF0000"/>
          <w:strike w:val="1"/>
        </w:rPr>
        <w:t>the LIBOR Rate</w:t>
      </w:r>
      <w:r>
        <w:rPr>
          <w:rFonts w:ascii="Arial" w:cs="Arial" w:eastAsia="Arial" w:hAnsi="Arial"/>
          <w:sz w:val="19"/>
          <w:szCs w:val="19"/>
          <w:u w:val="single" w:color="auto"/>
          <w:color w:val="0000FF"/>
          <w:strike w:val="1"/>
        </w:rPr>
        <w:t>any Available</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Tenor of such Benchmark (or such component thereof)</w:t>
      </w:r>
      <w:r>
        <w:rPr>
          <w:rFonts w:ascii="Arial" w:cs="Arial" w:eastAsia="Arial" w:hAnsi="Arial"/>
          <w:sz w:val="19"/>
          <w:szCs w:val="19"/>
          <w:color w:val="000000"/>
          <w:strike w:val="1"/>
        </w:rPr>
        <w:t>; or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w:t>
      </w:r>
    </w:p>
    <w:p>
      <w:pPr>
        <w:sectPr>
          <w:pgSz w:w="11900" w:h="16838" w:orient="portrait"/>
          <w:cols w:equalWidth="0" w:num="1">
            <w:col w:w="11240"/>
          </w:cols>
          <w:pgMar w:left="320" w:top="1428" w:right="339" w:bottom="1440" w:gutter="0" w:footer="0" w:header="0"/>
        </w:sectPr>
      </w:pPr>
    </w:p>
    <w:bookmarkStart w:id="276" w:name="page277"/>
    <w:bookmarkEnd w:id="276"/>
    <w:p>
      <w:pPr>
        <w:jc w:val="both"/>
        <w:ind w:right="40" w:firstLine="28"/>
        <w:spacing w:after="0" w:line="253" w:lineRule="auto"/>
        <w:tabs>
          <w:tab w:leader="none" w:pos="496" w:val="left"/>
        </w:tabs>
        <w:numPr>
          <w:ilvl w:val="0"/>
          <w:numId w:val="268"/>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the regulatory supervisor for the administrator of </w:t>
      </w:r>
      <w:r>
        <w:rPr>
          <w:rFonts w:ascii="Arial" w:cs="Arial" w:eastAsia="Arial" w:hAnsi="Arial"/>
          <w:sz w:val="22"/>
          <w:szCs w:val="22"/>
          <w:color w:val="FF0000"/>
          <w:strike w:val="1"/>
        </w:rPr>
        <w:t>the LIBOR Rate</w:t>
      </w:r>
      <w:r>
        <w:rPr>
          <w:rFonts w:ascii="Arial" w:cs="Arial" w:eastAsia="Arial" w:hAnsi="Arial"/>
          <w:sz w:val="22"/>
          <w:szCs w:val="22"/>
          <w:u w:val="single" w:color="auto"/>
          <w:color w:val="0000FF"/>
        </w:rPr>
        <w:t>such</w:t>
      </w:r>
      <w:r>
        <w:rPr>
          <w:rFonts w:ascii="Arial" w:cs="Arial" w:eastAsia="Arial" w:hAnsi="Arial"/>
          <w:sz w:val="22"/>
          <w:szCs w:val="22"/>
          <w:color w:val="auto"/>
        </w:rPr>
        <w:t xml:space="preserve"> </w:t>
      </w:r>
      <w:r>
        <w:rPr>
          <w:rFonts w:ascii="Arial" w:cs="Arial" w:eastAsia="Arial" w:hAnsi="Arial"/>
          <w:sz w:val="22"/>
          <w:szCs w:val="22"/>
          <w:u w:val="single" w:color="auto"/>
          <w:color w:val="0000FF"/>
        </w:rPr>
        <w:t>Benchmark (or the published component used in the calculation thereof)</w:t>
      </w:r>
      <w:r>
        <w:rPr>
          <w:rFonts w:ascii="Arial" w:cs="Arial" w:eastAsia="Arial" w:hAnsi="Arial"/>
          <w:sz w:val="22"/>
          <w:szCs w:val="22"/>
          <w:color w:val="0000FF"/>
        </w:rPr>
        <w:t xml:space="preserve"> </w:t>
      </w:r>
      <w:r>
        <w:rPr>
          <w:rFonts w:ascii="Arial" w:cs="Arial" w:eastAsia="Arial" w:hAnsi="Arial"/>
          <w:sz w:val="22"/>
          <w:szCs w:val="22"/>
          <w:color w:val="000000"/>
        </w:rPr>
        <w:t>announcing that</w:t>
      </w:r>
      <w:r>
        <w:rPr>
          <w:rFonts w:ascii="Arial" w:cs="Arial" w:eastAsia="Arial" w:hAnsi="Arial"/>
          <w:sz w:val="22"/>
          <w:szCs w:val="22"/>
          <w:color w:val="0000FF"/>
        </w:rPr>
        <w:t xml:space="preserve"> </w:t>
      </w:r>
      <w:r>
        <w:rPr>
          <w:rFonts w:ascii="Arial" w:cs="Arial" w:eastAsia="Arial" w:hAnsi="Arial"/>
          <w:sz w:val="22"/>
          <w:szCs w:val="22"/>
          <w:color w:val="FF0000"/>
          <w:strike w:val="1"/>
        </w:rPr>
        <w:t>the LIBOR Rate is</w:t>
      </w:r>
      <w:r>
        <w:rPr>
          <w:rFonts w:ascii="Arial" w:cs="Arial" w:eastAsia="Arial" w:hAnsi="Arial"/>
          <w:sz w:val="22"/>
          <w:szCs w:val="22"/>
          <w:u w:val="single" w:color="auto"/>
          <w:color w:val="0000FF"/>
        </w:rPr>
        <w:t>all Available</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Tenors of such Benchmark (or such component thereof) are</w:t>
      </w:r>
      <w:r>
        <w:rPr>
          <w:rFonts w:ascii="Arial" w:cs="Arial" w:eastAsia="Arial" w:hAnsi="Arial"/>
          <w:sz w:val="22"/>
          <w:szCs w:val="22"/>
          <w:color w:val="0000FF"/>
        </w:rPr>
        <w:t xml:space="preserve"> </w:t>
      </w:r>
      <w:r>
        <w:rPr>
          <w:rFonts w:ascii="Arial" w:cs="Arial" w:eastAsia="Arial" w:hAnsi="Arial"/>
          <w:sz w:val="22"/>
          <w:szCs w:val="22"/>
          <w:color w:val="000000"/>
        </w:rPr>
        <w:t>no longer representative.</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u w:val="single" w:color="auto"/>
          <w:color w:val="0000FF"/>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226" w:lineRule="exact"/>
        <w:rPr>
          <w:sz w:val="20"/>
          <w:szCs w:val="20"/>
          <w:color w:val="auto"/>
        </w:rPr>
      </w:pPr>
    </w:p>
    <w:p>
      <w:pPr>
        <w:jc w:val="right"/>
        <w:ind w:left="800" w:right="20"/>
        <w:spacing w:after="0" w:line="259" w:lineRule="auto"/>
        <w:rPr>
          <w:sz w:val="20"/>
          <w:szCs w:val="20"/>
          <w:color w:val="auto"/>
        </w:rPr>
      </w:pP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xml:space="preserve">: </w:t>
      </w:r>
      <w:r>
        <w:rPr>
          <w:rFonts w:ascii="Arial" w:cs="Arial" w:eastAsia="Arial" w:hAnsi="Arial"/>
          <w:sz w:val="21"/>
          <w:szCs w:val="21"/>
          <w:color w:val="FF0000"/>
          <w:strike w:val="1"/>
        </w:rPr>
        <w:t>If a Benchmark Transition Event</w:t>
      </w:r>
      <w:r>
        <w:rPr>
          <w:rFonts w:ascii="Arial" w:cs="Arial" w:eastAsia="Arial" w:hAnsi="Arial"/>
          <w:sz w:val="21"/>
          <w:szCs w:val="21"/>
          <w:color w:val="auto"/>
        </w:rPr>
        <w:t xml:space="preserve"> </w:t>
      </w:r>
      <w:r>
        <w:rPr>
          <w:rFonts w:ascii="Arial" w:cs="Arial" w:eastAsia="Arial" w:hAnsi="Arial"/>
          <w:sz w:val="21"/>
          <w:szCs w:val="21"/>
          <w:color w:val="007F00"/>
          <w:strike w:val="1"/>
        </w:rPr>
        <w:t>and its related Benchmark Replacement</w:t>
      </w:r>
      <w:r>
        <w:rPr>
          <w:rFonts w:ascii="Arial" w:cs="Arial" w:eastAsia="Arial" w:hAnsi="Arial"/>
          <w:sz w:val="21"/>
          <w:szCs w:val="21"/>
          <w:color w:val="auto"/>
        </w:rPr>
        <w:t xml:space="preserve"> </w:t>
      </w:r>
      <w:r>
        <w:rPr>
          <w:rFonts w:ascii="Arial" w:cs="Arial" w:eastAsia="Arial" w:hAnsi="Arial"/>
          <w:sz w:val="21"/>
          <w:szCs w:val="21"/>
          <w:color w:val="007F00"/>
          <w:strike w:val="1"/>
        </w:rPr>
        <w:t xml:space="preserve">Date have occurred with respect to </w:t>
      </w:r>
      <w:r>
        <w:rPr>
          <w:rFonts w:ascii="Arial" w:cs="Arial" w:eastAsia="Arial" w:hAnsi="Arial"/>
          <w:sz w:val="21"/>
          <w:szCs w:val="21"/>
          <w:color w:val="FF0000"/>
          <w:strike w:val="1"/>
        </w:rPr>
        <w:t>the LIBOR Rate and solely to the extent that the LIBOR Rate has not been replaced</w:t>
      </w:r>
      <w:r>
        <w:rPr>
          <w:rFonts w:ascii="Arial" w:cs="Arial" w:eastAsia="Arial" w:hAnsi="Arial"/>
          <w:sz w:val="21"/>
          <w:szCs w:val="21"/>
          <w:color w:val="007F00"/>
          <w:strike w:val="1"/>
        </w:rPr>
        <w:t xml:space="preserve"> </w:t>
      </w:r>
      <w:r>
        <w:rPr>
          <w:rFonts w:ascii="Arial" w:cs="Arial" w:eastAsia="Arial" w:hAnsi="Arial"/>
          <w:sz w:val="21"/>
          <w:szCs w:val="21"/>
          <w:color w:val="FF0000"/>
          <w:strike w:val="1"/>
        </w:rPr>
        <w:t>with a Benchmark Replacement, the</w:t>
      </w:r>
      <w:r>
        <w:rPr>
          <w:rFonts w:ascii="Arial" w:cs="Arial" w:eastAsia="Arial" w:hAnsi="Arial"/>
          <w:sz w:val="21"/>
          <w:szCs w:val="21"/>
          <w:u w:val="single" w:color="auto"/>
          <w:color w:val="0000FF"/>
          <w:strike w:val="1"/>
        </w:rPr>
        <w:t>The</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period</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(if any)</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(x) beginning at the time that</w:t>
      </w:r>
      <w:r>
        <w:rPr>
          <w:rFonts w:ascii="Arial" w:cs="Arial" w:eastAsia="Arial" w:hAnsi="Arial"/>
          <w:sz w:val="21"/>
          <w:szCs w:val="21"/>
          <w:color w:val="FF0000"/>
          <w:strike w:val="1"/>
        </w:rPr>
        <w:t xml:space="preserve"> such</w:t>
      </w:r>
      <w:r>
        <w:rPr>
          <w:rFonts w:ascii="Arial" w:cs="Arial" w:eastAsia="Arial" w:hAnsi="Arial"/>
          <w:sz w:val="21"/>
          <w:szCs w:val="21"/>
          <w:u w:val="single" w:color="auto"/>
          <w:color w:val="0000FF"/>
          <w:strike w:val="1"/>
        </w:rPr>
        <w:t>a</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Benchmark Replacement</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 xml:space="preserve">Date </w:t>
      </w:r>
      <w:r>
        <w:rPr>
          <w:rFonts w:ascii="Arial" w:cs="Arial" w:eastAsia="Arial" w:hAnsi="Arial"/>
          <w:sz w:val="21"/>
          <w:szCs w:val="21"/>
          <w:u w:val="single" w:color="auto"/>
          <w:color w:val="0000FF"/>
          <w:strike w:val="1"/>
        </w:rPr>
        <w:t>pursuant to clauses (1) or (2) of that definition</w:t>
      </w:r>
      <w:r>
        <w:rPr>
          <w:rFonts w:ascii="Arial" w:cs="Arial" w:eastAsia="Arial" w:hAnsi="Arial"/>
          <w:sz w:val="21"/>
          <w:szCs w:val="21"/>
          <w:color w:val="000000"/>
          <w:strike w:val="1"/>
        </w:rPr>
        <w:t xml:space="preserve"> has occurred if, at such time, no Benchmark Replacement has replaced the </w:t>
      </w:r>
      <w:r>
        <w:rPr>
          <w:rFonts w:ascii="Arial" w:cs="Arial" w:eastAsia="Arial" w:hAnsi="Arial"/>
          <w:sz w:val="21"/>
          <w:szCs w:val="21"/>
          <w:color w:val="FF0000"/>
          <w:strike w:val="1"/>
        </w:rPr>
        <w:t>LIBOR Rate</w:t>
      </w:r>
      <w:r>
        <w:rPr>
          <w:rFonts w:ascii="Arial" w:cs="Arial" w:eastAsia="Arial" w:hAnsi="Arial"/>
          <w:sz w:val="21"/>
          <w:szCs w:val="21"/>
          <w:u w:val="single" w:color="auto"/>
          <w:color w:val="0000FF"/>
          <w:strike w:val="1"/>
        </w:rPr>
        <w:t>then-current Benchmark</w:t>
      </w:r>
      <w:r>
        <w:rPr>
          <w:rFonts w:ascii="Arial" w:cs="Arial" w:eastAsia="Arial" w:hAnsi="Arial"/>
          <w:sz w:val="21"/>
          <w:szCs w:val="21"/>
          <w:color w:val="000000"/>
          <w:strike w:val="1"/>
        </w:rPr>
        <w:t xml:space="preserve"> for all purposes hereunder </w:t>
      </w:r>
      <w:r>
        <w:rPr>
          <w:rFonts w:ascii="Arial" w:cs="Arial" w:eastAsia="Arial" w:hAnsi="Arial"/>
          <w:sz w:val="21"/>
          <w:szCs w:val="21"/>
          <w:u w:val="single" w:color="auto"/>
          <w:color w:val="0000FF"/>
          <w:strike w:val="1"/>
        </w:rPr>
        <w:t>and under any Transaction Document</w:t>
      </w:r>
      <w:r>
        <w:rPr>
          <w:rFonts w:ascii="Arial" w:cs="Arial" w:eastAsia="Arial" w:hAnsi="Arial"/>
          <w:sz w:val="21"/>
          <w:szCs w:val="21"/>
          <w:color w:val="000000"/>
          <w:strike w:val="1"/>
        </w:rPr>
        <w:t xml:space="preserve"> in accordance with </w:t>
      </w:r>
      <w:r>
        <w:rPr>
          <w:rFonts w:ascii="Arial" w:cs="Arial" w:eastAsia="Arial" w:hAnsi="Arial"/>
          <w:sz w:val="21"/>
          <w:szCs w:val="21"/>
          <w:color w:val="FF0000"/>
          <w:strike w:val="1"/>
        </w:rPr>
        <w:t>the</w:t>
      </w:r>
      <w:r>
        <w:rPr>
          <w:rFonts w:ascii="Arial" w:cs="Arial" w:eastAsia="Arial" w:hAnsi="Arial"/>
          <w:sz w:val="21"/>
          <w:szCs w:val="21"/>
          <w:color w:val="000000"/>
          <w:strike w:val="1"/>
        </w:rPr>
        <w:t xml:space="preserve"> Section 2.11 and (y) ending at the time that a Benchmark Replacement has replaced the </w:t>
      </w:r>
      <w:r>
        <w:rPr>
          <w:rFonts w:ascii="Arial" w:cs="Arial" w:eastAsia="Arial" w:hAnsi="Arial"/>
          <w:sz w:val="21"/>
          <w:szCs w:val="21"/>
          <w:color w:val="FF0000"/>
          <w:strike w:val="1"/>
        </w:rPr>
        <w:t>LIBOR</w:t>
      </w:r>
      <w:r>
        <w:rPr>
          <w:rFonts w:ascii="Arial" w:cs="Arial" w:eastAsia="Arial" w:hAnsi="Arial"/>
          <w:sz w:val="21"/>
          <w:szCs w:val="21"/>
          <w:color w:val="000000"/>
          <w:strike w:val="1"/>
        </w:rPr>
        <w:t xml:space="preserve"> </w:t>
      </w:r>
      <w:r>
        <w:rPr>
          <w:rFonts w:ascii="Arial" w:cs="Arial" w:eastAsia="Arial" w:hAnsi="Arial"/>
          <w:sz w:val="21"/>
          <w:szCs w:val="21"/>
          <w:color w:val="FF0000"/>
          <w:strike w:val="1"/>
        </w:rPr>
        <w:t>Rate</w:t>
      </w:r>
      <w:r>
        <w:rPr>
          <w:rFonts w:ascii="Arial" w:cs="Arial" w:eastAsia="Arial" w:hAnsi="Arial"/>
          <w:sz w:val="21"/>
          <w:szCs w:val="21"/>
          <w:u w:val="single" w:color="auto"/>
          <w:color w:val="0000FF"/>
          <w:strike w:val="1"/>
        </w:rPr>
        <w:t>then-current Benchmark</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for all purposes hereunder</w:t>
      </w:r>
      <w:r>
        <w:rPr>
          <w:rFonts w:ascii="Arial" w:cs="Arial" w:eastAsia="Arial" w:hAnsi="Arial"/>
          <w:sz w:val="21"/>
          <w:szCs w:val="21"/>
          <w:color w:val="FF0000"/>
          <w:strike w:val="1"/>
        </w:rPr>
        <w:t xml:space="preserve"> pursuant to the</w:t>
      </w:r>
      <w:r>
        <w:rPr>
          <w:rFonts w:ascii="Arial" w:cs="Arial" w:eastAsia="Arial" w:hAnsi="Arial"/>
          <w:sz w:val="21"/>
          <w:szCs w:val="21"/>
          <w:u w:val="single" w:color="auto"/>
          <w:color w:val="0000FF"/>
          <w:strike w:val="1"/>
        </w:rPr>
        <w:t>and under any Transaction Document in</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accordance with</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Section 2.11.</w:t>
      </w:r>
    </w:p>
    <w:p>
      <w:pPr>
        <w:spacing w:after="0" w:line="210" w:lineRule="exact"/>
        <w:rPr>
          <w:sz w:val="20"/>
          <w:szCs w:val="20"/>
          <w:color w:val="auto"/>
        </w:rPr>
      </w:pPr>
    </w:p>
    <w:p>
      <w:pPr>
        <w:jc w:val="both"/>
        <w:ind w:left="700" w:right="40" w:firstLine="648"/>
        <w:spacing w:after="0" w:line="263" w:lineRule="auto"/>
        <w:rPr>
          <w:sz w:val="20"/>
          <w:szCs w:val="20"/>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beneficial ownership to the extent required by the Beneficial Ownership Regulation.</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31 C.F.R. § 1010.230.</w:t>
      </w:r>
    </w:p>
    <w:p>
      <w:pPr>
        <w:spacing w:after="0" w:line="247" w:lineRule="exact"/>
        <w:rPr>
          <w:sz w:val="20"/>
          <w:szCs w:val="20"/>
          <w:color w:val="auto"/>
        </w:rPr>
      </w:pPr>
    </w:p>
    <w:p>
      <w:pPr>
        <w:jc w:val="both"/>
        <w:ind w:left="700" w:right="40" w:firstLine="648"/>
        <w:spacing w:after="0" w:line="253" w:lineRule="auto"/>
        <w:rPr>
          <w:sz w:val="20"/>
          <w:szCs w:val="20"/>
          <w:color w:val="auto"/>
        </w:rPr>
      </w:pPr>
      <w:r>
        <w:rPr>
          <w:rFonts w:ascii="Arial" w:cs="Arial" w:eastAsia="Arial" w:hAnsi="Arial"/>
          <w:sz w:val="22"/>
          <w:szCs w:val="22"/>
          <w:u w:val="single" w:color="auto"/>
          <w:color w:val="auto"/>
        </w:rPr>
        <w:t>Benefit Plan</w:t>
      </w:r>
      <w:r>
        <w:rPr>
          <w:rFonts w:ascii="Arial" w:cs="Arial" w:eastAsia="Arial" w:hAnsi="Arial"/>
          <w:sz w:val="22"/>
          <w:szCs w:val="22"/>
          <w:color w:val="auto"/>
        </w:rPr>
        <w:t>: Any employee benefit plan as defined in Section 3(3) of ERISA in respect of which the Borrower or any ERISA Affiliate of the Borrower is, or at any time during the immediately preceding six years was, an “employer” as defined in Section 3(5) of ERISA.</w:t>
      </w:r>
    </w:p>
    <w:p>
      <w:pPr>
        <w:spacing w:after="0" w:line="226"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 CAC Warehouse Funding Corporation II, a Nevada corporation.</w:t>
      </w:r>
    </w:p>
    <w:p>
      <w:pPr>
        <w:spacing w:after="0" w:line="260" w:lineRule="exact"/>
        <w:rPr>
          <w:sz w:val="20"/>
          <w:szCs w:val="20"/>
          <w:color w:val="auto"/>
        </w:rPr>
      </w:pPr>
    </w:p>
    <w:p>
      <w:pPr>
        <w:jc w:val="both"/>
        <w:ind w:left="700" w:right="40" w:firstLine="648"/>
        <w:spacing w:after="0" w:line="263" w:lineRule="auto"/>
        <w:rPr>
          <w:sz w:val="20"/>
          <w:szCs w:val="20"/>
          <w:color w:val="auto"/>
        </w:rPr>
      </w:pP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On any date of determination, (a) the product of (i) the Aggregate Outstanding Eligible Loan Net Balance and (ii) the Net Advance Rate, </w:t>
      </w:r>
      <w:r>
        <w:rPr>
          <w:rFonts w:ascii="Arial" w:cs="Arial" w:eastAsia="Arial" w:hAnsi="Arial"/>
          <w:sz w:val="22"/>
          <w:szCs w:val="22"/>
          <w:i w:val="1"/>
          <w:iCs w:val="1"/>
          <w:color w:val="auto"/>
        </w:rPr>
        <w:t>minus</w:t>
      </w:r>
      <w:r>
        <w:rPr>
          <w:rFonts w:ascii="Arial" w:cs="Arial" w:eastAsia="Arial" w:hAnsi="Arial"/>
          <w:sz w:val="22"/>
          <w:szCs w:val="22"/>
          <w:color w:val="auto"/>
        </w:rPr>
        <w:t xml:space="preserve"> (b) the Overconcentration Loan Amount.</w:t>
      </w:r>
    </w:p>
    <w:p>
      <w:pPr>
        <w:spacing w:after="0" w:line="202" w:lineRule="exact"/>
        <w:rPr>
          <w:sz w:val="20"/>
          <w:szCs w:val="20"/>
          <w:color w:val="auto"/>
        </w:rPr>
      </w:pPr>
    </w:p>
    <w:p>
      <w:pPr>
        <w:jc w:val="both"/>
        <w:ind w:left="700" w:right="20" w:firstLine="648"/>
        <w:spacing w:after="0" w:line="250" w:lineRule="auto"/>
        <w:rPr>
          <w:sz w:val="20"/>
          <w:szCs w:val="20"/>
          <w:color w:val="auto"/>
        </w:rPr>
      </w:pPr>
      <w:r>
        <w:rPr>
          <w:rFonts w:ascii="Arial" w:cs="Arial" w:eastAsia="Arial" w:hAnsi="Arial"/>
          <w:sz w:val="22"/>
          <w:szCs w:val="22"/>
          <w:u w:val="single" w:color="auto"/>
          <w:color w:val="auto"/>
        </w:rPr>
        <w:t>Borrowing Group</w:t>
      </w:r>
      <w:r>
        <w:rPr>
          <w:rFonts w:ascii="Arial" w:cs="Arial" w:eastAsia="Arial" w:hAnsi="Arial"/>
          <w:sz w:val="22"/>
          <w:szCs w:val="22"/>
          <w:color w:val="auto"/>
        </w:rPr>
        <w:t>: (a) The Borrower, (b) the parent of the Borrower, (c) any affiliate or subsidiary of the Borrower, (d) the owner of any collateral securing any part of the credit or this Agreement and (e) any officer, director or agent acting on behalf of any of the parties referred to in items (a) through (c) with respect to the credit, this Agreement or any other Transaction Document.</w:t>
      </w:r>
    </w:p>
    <w:p>
      <w:pPr>
        <w:spacing w:after="0" w:line="228" w:lineRule="exact"/>
        <w:rPr>
          <w:sz w:val="20"/>
          <w:szCs w:val="20"/>
          <w:color w:val="auto"/>
        </w:rPr>
      </w:pPr>
    </w:p>
    <w:p>
      <w:pPr>
        <w:jc w:val="both"/>
        <w:ind w:left="700" w:right="40" w:firstLine="648"/>
        <w:spacing w:after="0" w:line="253" w:lineRule="auto"/>
        <w:rPr>
          <w:sz w:val="20"/>
          <w:szCs w:val="20"/>
          <w:color w:val="auto"/>
        </w:rPr>
      </w:pPr>
      <w:r>
        <w:rPr>
          <w:rFonts w:ascii="Arial" w:cs="Arial" w:eastAsia="Arial" w:hAnsi="Arial"/>
          <w:sz w:val="22"/>
          <w:szCs w:val="22"/>
          <w:u w:val="single" w:color="auto"/>
          <w:color w:val="auto"/>
        </w:rPr>
        <w:t>Breakage Costs</w:t>
      </w:r>
      <w:r>
        <w:rPr>
          <w:rFonts w:ascii="Arial" w:cs="Arial" w:eastAsia="Arial" w:hAnsi="Arial"/>
          <w:sz w:val="22"/>
          <w:szCs w:val="22"/>
          <w:color w:val="auto"/>
        </w:rPr>
        <w:t>: Any amount or amounts as shall compensate any Lender for any loss, cost or expense incurred by such Lender (as determined by such Lender in its sole discretion) as a result of a prepayment by the Borrower of Capital or Yield.</w:t>
      </w:r>
    </w:p>
    <w:p>
      <w:pPr>
        <w:spacing w:after="0" w:line="77" w:lineRule="exact"/>
        <w:rPr>
          <w:sz w:val="20"/>
          <w:szCs w:val="20"/>
          <w:color w:val="auto"/>
        </w:rPr>
      </w:pPr>
    </w:p>
    <w:p>
      <w:pPr>
        <w:jc w:val="both"/>
        <w:ind w:left="700" w:firstLine="648"/>
        <w:spacing w:after="0" w:line="253" w:lineRule="auto"/>
        <w:rPr>
          <w:sz w:val="20"/>
          <w:szCs w:val="20"/>
          <w:color w:val="auto"/>
        </w:rPr>
      </w:pPr>
      <w:r>
        <w:rPr>
          <w:rFonts w:ascii="Arial" w:cs="Arial" w:eastAsia="Arial" w:hAnsi="Arial"/>
          <w:sz w:val="22"/>
          <w:szCs w:val="22"/>
          <w:u w:val="single" w:color="auto"/>
          <w:color w:val="auto"/>
        </w:rPr>
        <w:t>Business Day</w:t>
      </w:r>
      <w:r>
        <w:rPr>
          <w:rFonts w:ascii="Arial" w:cs="Arial" w:eastAsia="Arial" w:hAnsi="Arial"/>
          <w:sz w:val="22"/>
          <w:szCs w:val="22"/>
          <w:color w:val="auto"/>
        </w:rPr>
        <w:t>: Any day other than a Saturday or a Sunday on which (a) banks are not required or authorized to be closed in New York City, New York, Charlotte, North Carolina, San Francisco, California, Detroit, Michigan, Minneapolis, Minnesota or Nevada, and (b) if the term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w:t>
      </w:r>
    </w:p>
    <w:p>
      <w:pPr>
        <w:sectPr>
          <w:pgSz w:w="11900" w:h="16838" w:orient="portrait"/>
          <w:cols w:equalWidth="0" w:num="1">
            <w:col w:w="11120"/>
          </w:cols>
          <w:pgMar w:left="320" w:top="1428" w:right="459" w:bottom="1440" w:gutter="0" w:footer="0" w:header="0"/>
        </w:sectPr>
      </w:pPr>
    </w:p>
    <w:bookmarkStart w:id="277" w:name="page278"/>
    <w:bookmarkEnd w:id="277"/>
    <w:p>
      <w:pPr>
        <w:ind w:right="200"/>
        <w:spacing w:after="0" w:line="263" w:lineRule="auto"/>
        <w:rPr>
          <w:sz w:val="20"/>
          <w:szCs w:val="20"/>
          <w:color w:val="auto"/>
        </w:rPr>
      </w:pPr>
      <w:r>
        <w:rPr>
          <w:rFonts w:ascii="Arial" w:cs="Arial" w:eastAsia="Arial" w:hAnsi="Arial"/>
          <w:sz w:val="22"/>
          <w:szCs w:val="22"/>
          <w:color w:val="auto"/>
        </w:rPr>
        <w:t xml:space="preserve">"Business Day" is used in connection with the determination of </w:t>
      </w:r>
      <w:r>
        <w:rPr>
          <w:rFonts w:ascii="Arial" w:cs="Arial" w:eastAsia="Arial" w:hAnsi="Arial"/>
          <w:sz w:val="22"/>
          <w:szCs w:val="22"/>
          <w:color w:val="FF0000"/>
          <w:strike w:val="1"/>
        </w:rPr>
        <w:t>the</w:t>
      </w:r>
      <w:r>
        <w:rPr>
          <w:rFonts w:ascii="Arial" w:cs="Arial" w:eastAsia="Arial" w:hAnsi="Arial"/>
          <w:sz w:val="22"/>
          <w:szCs w:val="22"/>
          <w:u w:val="single" w:color="auto"/>
          <w:color w:val="0000FF"/>
        </w:rPr>
        <w:t>USD</w:t>
      </w:r>
      <w:r>
        <w:rPr>
          <w:rFonts w:ascii="Arial" w:cs="Arial" w:eastAsia="Arial" w:hAnsi="Arial"/>
          <w:sz w:val="22"/>
          <w:szCs w:val="22"/>
          <w:color w:val="auto"/>
        </w:rPr>
        <w:t xml:space="preserve"> LIBOR </w:t>
      </w:r>
      <w:r>
        <w:rPr>
          <w:rFonts w:ascii="Arial" w:cs="Arial" w:eastAsia="Arial" w:hAnsi="Arial"/>
          <w:sz w:val="22"/>
          <w:szCs w:val="22"/>
          <w:color w:val="FF0000"/>
          <w:strike w:val="1"/>
        </w:rPr>
        <w:t>Rate</w:t>
      </w:r>
      <w:r>
        <w:rPr>
          <w:rFonts w:ascii="Arial" w:cs="Arial" w:eastAsia="Arial" w:hAnsi="Arial"/>
          <w:sz w:val="22"/>
          <w:szCs w:val="22"/>
          <w:color w:val="auto"/>
        </w:rPr>
        <w:t>, dealings in United States dollar deposits are carried on in the London interbank market.</w:t>
      </w:r>
    </w:p>
    <w:p>
      <w:pPr>
        <w:spacing w:after="0" w:line="215" w:lineRule="exact"/>
        <w:rPr>
          <w:sz w:val="20"/>
          <w:szCs w:val="20"/>
          <w:color w:val="auto"/>
        </w:rPr>
      </w:pPr>
    </w:p>
    <w:p>
      <w:pPr>
        <w:jc w:val="both"/>
        <w:ind w:left="700" w:right="40" w:firstLine="648"/>
        <w:spacing w:after="0" w:line="294" w:lineRule="auto"/>
        <w:rPr>
          <w:sz w:val="20"/>
          <w:szCs w:val="20"/>
          <w:color w:val="auto"/>
        </w:rPr>
      </w:pPr>
      <w:r>
        <w:rPr>
          <w:rFonts w:ascii="Arial" w:cs="Arial" w:eastAsia="Arial" w:hAnsi="Arial"/>
          <w:sz w:val="19"/>
          <w:szCs w:val="19"/>
          <w:u w:val="single" w:color="auto"/>
          <w:color w:val="auto"/>
        </w:rPr>
        <w:t>Capital</w:t>
      </w:r>
      <w:r>
        <w:rPr>
          <w:rFonts w:ascii="Arial" w:cs="Arial" w:eastAsia="Arial" w:hAnsi="Arial"/>
          <w:sz w:val="19"/>
          <w:szCs w:val="19"/>
          <w:color w:val="auto"/>
        </w:rPr>
        <w:t xml:space="preserve">: The amounts advanced to the Borrower by the Lenders pursuant to Section 2.1(a) and Section 2.3, reduced from time to time by Collections distributed on account of such Capital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aggregate amount of Capital may not, at any time, exceed the lesser of: (i) the Facility Limit and (ii) the Borrowing Base.</w:t>
      </w:r>
    </w:p>
    <w:p>
      <w:pPr>
        <w:spacing w:after="0" w:line="176" w:lineRule="exact"/>
        <w:rPr>
          <w:sz w:val="20"/>
          <w:szCs w:val="20"/>
          <w:color w:val="auto"/>
        </w:rPr>
      </w:pPr>
    </w:p>
    <w:p>
      <w:pPr>
        <w:jc w:val="both"/>
        <w:ind w:left="700" w:firstLine="648"/>
        <w:spacing w:after="0" w:line="292" w:lineRule="auto"/>
        <w:rPr>
          <w:sz w:val="20"/>
          <w:szCs w:val="20"/>
          <w:color w:val="auto"/>
        </w:rPr>
      </w:pPr>
      <w:r>
        <w:rPr>
          <w:rFonts w:ascii="Arial" w:cs="Arial" w:eastAsia="Arial" w:hAnsi="Arial"/>
          <w:sz w:val="19"/>
          <w:szCs w:val="19"/>
          <w:u w:val="single" w:color="auto"/>
          <w:color w:val="auto"/>
        </w:rPr>
        <w:t>Capitalized Lease</w:t>
      </w:r>
      <w:r>
        <w:rPr>
          <w:rFonts w:ascii="Arial" w:cs="Arial" w:eastAsia="Arial" w:hAnsi="Arial"/>
          <w:sz w:val="19"/>
          <w:szCs w:val="19"/>
          <w:color w:val="auto"/>
        </w:rPr>
        <w:t>: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provided, however, that all leases of such Person that are or would have been treated as operating leases for purposes of GAAP prior to the issuance on February 25, 2016 of the ASU 2016-02 (ASC 842, Leases) shall continue to be treated as operating leases (and any future lease that would have been treated as an operating lease for purposes of GAAP prior to the issuance of ASC 842 shall be treated as an operating lease), in each case for purposes of this Agreement.</w:t>
      </w:r>
    </w:p>
    <w:p>
      <w:pPr>
        <w:spacing w:after="0" w:line="191" w:lineRule="exact"/>
        <w:rPr>
          <w:sz w:val="20"/>
          <w:szCs w:val="20"/>
          <w:color w:val="auto"/>
        </w:rPr>
      </w:pPr>
    </w:p>
    <w:p>
      <w:pPr>
        <w:jc w:val="both"/>
        <w:ind w:left="700" w:right="40" w:firstLine="648"/>
        <w:spacing w:after="0" w:line="271" w:lineRule="auto"/>
        <w:rPr>
          <w:sz w:val="20"/>
          <w:szCs w:val="20"/>
          <w:color w:val="auto"/>
        </w:rPr>
      </w:pPr>
      <w:r>
        <w:rPr>
          <w:rFonts w:ascii="Arial" w:cs="Arial" w:eastAsia="Arial" w:hAnsi="Arial"/>
          <w:sz w:val="21"/>
          <w:szCs w:val="21"/>
          <w:u w:val="single" w:color="auto"/>
          <w:color w:val="auto"/>
        </w:rPr>
        <w:t>Capped Servicing Fee</w:t>
      </w:r>
      <w:r>
        <w:rPr>
          <w:rFonts w:ascii="Arial" w:cs="Arial" w:eastAsia="Arial" w:hAnsi="Arial"/>
          <w:sz w:val="21"/>
          <w:szCs w:val="21"/>
          <w:color w:val="auto"/>
        </w:rPr>
        <w:t xml:space="preserve">: With respect to any Collection Period when the Backup Servicer has become the Servicer, the greater of (x) an amount equal to the product of (i) </w:t>
      </w:r>
      <w:r>
        <w:rPr>
          <w:rFonts w:ascii="Arial" w:cs="Arial" w:eastAsia="Arial" w:hAnsi="Arial"/>
          <w:sz w:val="21"/>
          <w:szCs w:val="21"/>
          <w:color w:val="FF0000"/>
          <w:strike w:val="1"/>
        </w:rPr>
        <w:t>10.00</w:t>
      </w:r>
      <w:r>
        <w:rPr>
          <w:rFonts w:ascii="Arial" w:cs="Arial" w:eastAsia="Arial" w:hAnsi="Arial"/>
          <w:sz w:val="21"/>
          <w:szCs w:val="21"/>
          <w:u w:val="single" w:color="auto"/>
          <w:color w:val="0000FF"/>
        </w:rPr>
        <w:t>8.00</w:t>
      </w:r>
      <w:r>
        <w:rPr>
          <w:rFonts w:ascii="Arial" w:cs="Arial" w:eastAsia="Arial" w:hAnsi="Arial"/>
          <w:sz w:val="21"/>
          <w:szCs w:val="21"/>
          <w:color w:val="auto"/>
        </w:rPr>
        <w:t>% and (ii) Collections received during such Collection Period (exclusive of amounts received under any Hedging Agreement) and (y) $5,000.</w:t>
      </w:r>
    </w:p>
    <w:p>
      <w:pPr>
        <w:spacing w:after="0" w:line="208" w:lineRule="exact"/>
        <w:rPr>
          <w:sz w:val="20"/>
          <w:szCs w:val="20"/>
          <w:color w:val="auto"/>
        </w:rPr>
      </w:pPr>
    </w:p>
    <w:p>
      <w:pPr>
        <w:ind w:left="1340"/>
        <w:spacing w:after="0"/>
        <w:rPr>
          <w:sz w:val="20"/>
          <w:szCs w:val="20"/>
          <w:color w:val="auto"/>
        </w:rPr>
      </w:pPr>
      <w:r>
        <w:rPr>
          <w:rFonts w:ascii="Arial" w:cs="Arial" w:eastAsia="Arial" w:hAnsi="Arial"/>
          <w:sz w:val="19"/>
          <w:szCs w:val="19"/>
          <w:u w:val="single" w:color="auto"/>
          <w:color w:val="auto"/>
        </w:rPr>
        <w:t>Carrying Costs</w:t>
      </w:r>
      <w:r>
        <w:rPr>
          <w:rFonts w:ascii="Arial" w:cs="Arial" w:eastAsia="Arial" w:hAnsi="Arial"/>
          <w:sz w:val="19"/>
          <w:szCs w:val="19"/>
          <w:color w:val="auto"/>
        </w:rPr>
        <w:t>: With respect to any Payment Date, the sum of amounts payable under Section 2.7(a)(iv)(A)-(C).</w:t>
      </w:r>
    </w:p>
    <w:p>
      <w:pPr>
        <w:spacing w:after="0" w:line="281" w:lineRule="exact"/>
        <w:rPr>
          <w:sz w:val="20"/>
          <w:szCs w:val="20"/>
          <w:color w:val="auto"/>
        </w:rPr>
      </w:pPr>
    </w:p>
    <w:p>
      <w:pPr>
        <w:jc w:val="both"/>
        <w:ind w:left="700" w:right="60" w:firstLine="648"/>
        <w:spacing w:after="0" w:line="263" w:lineRule="auto"/>
        <w:rPr>
          <w:sz w:val="20"/>
          <w:szCs w:val="20"/>
          <w:color w:val="auto"/>
        </w:rPr>
      </w:pPr>
      <w:r>
        <w:rPr>
          <w:rFonts w:ascii="Arial" w:cs="Arial" w:eastAsia="Arial" w:hAnsi="Arial"/>
          <w:sz w:val="22"/>
          <w:szCs w:val="22"/>
          <w:u w:val="single" w:color="auto"/>
          <w:color w:val="auto"/>
        </w:rPr>
        <w:t>CECL Methodology</w:t>
      </w:r>
      <w:r>
        <w:rPr>
          <w:rFonts w:ascii="Arial" w:cs="Arial" w:eastAsia="Arial" w:hAnsi="Arial"/>
          <w:sz w:val="22"/>
          <w:szCs w:val="22"/>
          <w:color w:val="auto"/>
        </w:rPr>
        <w:t>: The current expected credit losses methodology for credit losses accounting under GAAP establish under ASU 2016-13.</w:t>
      </w:r>
    </w:p>
    <w:p>
      <w:pPr>
        <w:spacing w:after="0" w:line="215" w:lineRule="exact"/>
        <w:rPr>
          <w:sz w:val="20"/>
          <w:szCs w:val="20"/>
          <w:color w:val="auto"/>
        </w:rPr>
      </w:pPr>
    </w:p>
    <w:p>
      <w:pPr>
        <w:jc w:val="both"/>
        <w:ind w:left="700" w:right="20" w:firstLine="648"/>
        <w:spacing w:after="0" w:line="246" w:lineRule="auto"/>
        <w:rPr>
          <w:sz w:val="20"/>
          <w:szCs w:val="20"/>
          <w:color w:val="auto"/>
        </w:rPr>
      </w:pPr>
      <w:r>
        <w:rPr>
          <w:rFonts w:ascii="Arial" w:cs="Arial" w:eastAsia="Arial" w:hAnsi="Arial"/>
          <w:sz w:val="22"/>
          <w:szCs w:val="22"/>
          <w:u w:val="single" w:color="auto"/>
          <w:color w:val="auto"/>
        </w:rPr>
        <w:t>Certificate of Title</w:t>
      </w:r>
      <w:r>
        <w:rPr>
          <w:rFonts w:ascii="Arial" w:cs="Arial" w:eastAsia="Arial" w:hAnsi="Arial"/>
          <w:sz w:val="22"/>
          <w:szCs w:val="22"/>
          <w:color w:val="auto"/>
        </w:rPr>
        <w:t>: With regard to each Financed Vehicle (i) the original certificate of title relating thereto, or copies of correspondence and application made in accordance with applicable law to the appropriate state title registration agency, and all enclosures thereto, for issuance of its original certificate of title or (ii) if the appropriate state title registration agency issues a letter or other form of evidence of Lien (whether in paper or electronic) in lieu of a certificate of title, the original lien entry letter or form or copies of correspondence and application made in accordance with applicable law to such state title registration agency, and all enclosures thereto, for issuance of the original lien entry letter or form.</w:t>
      </w:r>
    </w:p>
    <w:p>
      <w:pPr>
        <w:spacing w:after="0" w:line="223"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Change-in-Control</w:t>
      </w:r>
      <w:r>
        <w:rPr>
          <w:rFonts w:ascii="Arial" w:cs="Arial" w:eastAsia="Arial" w:hAnsi="Arial"/>
          <w:sz w:val="22"/>
          <w:szCs w:val="22"/>
          <w:color w:val="auto"/>
        </w:rPr>
        <w:t>: Any of the following:</w:t>
      </w:r>
    </w:p>
    <w:p>
      <w:pPr>
        <w:spacing w:after="0" w:line="260" w:lineRule="exact"/>
        <w:rPr>
          <w:sz w:val="20"/>
          <w:szCs w:val="20"/>
          <w:color w:val="auto"/>
        </w:rPr>
      </w:pPr>
    </w:p>
    <w:p>
      <w:pPr>
        <w:ind w:left="1680" w:hanging="457"/>
        <w:spacing w:after="0"/>
        <w:tabs>
          <w:tab w:leader="none" w:pos="168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the creation or imposition of any Lien on any shares of capital stock of the Borrower; 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w:t>
      </w:r>
    </w:p>
    <w:p>
      <w:pPr>
        <w:sectPr>
          <w:pgSz w:w="11900" w:h="16838" w:orient="portrait"/>
          <w:cols w:equalWidth="0" w:num="1">
            <w:col w:w="11160"/>
          </w:cols>
          <w:pgMar w:left="320" w:top="1428" w:right="419" w:bottom="1440" w:gutter="0" w:footer="0" w:header="0"/>
        </w:sectPr>
      </w:pPr>
    </w:p>
    <w:bookmarkStart w:id="278" w:name="page279"/>
    <w:bookmarkEnd w:id="278"/>
    <w:p>
      <w:pPr>
        <w:ind w:left="1700" w:hanging="477"/>
        <w:spacing w:after="0"/>
        <w:tabs>
          <w:tab w:leader="none" w:pos="170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the failure by the Originator to own all of the issued and outstanding capital stock of the Borrower.</w:t>
      </w:r>
    </w:p>
    <w:p>
      <w:pPr>
        <w:spacing w:after="0" w:line="272" w:lineRule="exact"/>
        <w:rPr>
          <w:sz w:val="20"/>
          <w:szCs w:val="20"/>
          <w:color w:val="auto"/>
        </w:rPr>
      </w:pPr>
    </w:p>
    <w:p>
      <w:pPr>
        <w:ind w:left="700" w:right="60" w:firstLine="648"/>
        <w:spacing w:after="0" w:line="263" w:lineRule="auto"/>
        <w:rPr>
          <w:sz w:val="20"/>
          <w:szCs w:val="20"/>
          <w:color w:val="auto"/>
        </w:rPr>
      </w:pPr>
      <w:r>
        <w:rPr>
          <w:rFonts w:ascii="Arial" w:cs="Arial" w:eastAsia="Arial" w:hAnsi="Arial"/>
          <w:sz w:val="22"/>
          <w:szCs w:val="22"/>
          <w:u w:val="single" w:color="auto"/>
          <w:color w:val="auto"/>
        </w:rPr>
        <w:t>Closed Pool</w:t>
      </w:r>
      <w:r>
        <w:rPr>
          <w:rFonts w:ascii="Arial" w:cs="Arial" w:eastAsia="Arial" w:hAnsi="Arial"/>
          <w:sz w:val="22"/>
          <w:szCs w:val="22"/>
          <w:color w:val="auto"/>
        </w:rPr>
        <w:t>: With respect to any Dealer Loan, a Pool as to which, pursuant to the terms of the related Dealer Agreement, no additional Dealer Loan Contracts may be allocated.</w:t>
      </w:r>
    </w:p>
    <w:p>
      <w:pPr>
        <w:spacing w:after="0" w:line="202"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Closing Date</w:t>
      </w:r>
      <w:r>
        <w:rPr>
          <w:rFonts w:ascii="Arial" w:cs="Arial" w:eastAsia="Arial" w:hAnsi="Arial"/>
          <w:sz w:val="22"/>
          <w:szCs w:val="22"/>
          <w:color w:val="auto"/>
        </w:rPr>
        <w:t>: September 30, 2003.</w:t>
      </w:r>
    </w:p>
    <w:p>
      <w:pPr>
        <w:spacing w:after="0" w:line="355" w:lineRule="exact"/>
        <w:rPr>
          <w:sz w:val="20"/>
          <w:szCs w:val="20"/>
          <w:color w:val="auto"/>
        </w:rPr>
      </w:pPr>
    </w:p>
    <w:p>
      <w:pPr>
        <w:ind w:left="1340"/>
        <w:spacing w:after="0"/>
        <w:rPr>
          <w:sz w:val="20"/>
          <w:szCs w:val="20"/>
          <w:color w:val="auto"/>
        </w:rPr>
      </w:pPr>
      <w:r>
        <w:rPr>
          <w:rFonts w:ascii="Arial" w:cs="Arial" w:eastAsia="Arial" w:hAnsi="Arial"/>
          <w:sz w:val="19"/>
          <w:szCs w:val="19"/>
          <w:u w:val="single" w:color="auto"/>
          <w:color w:val="auto"/>
        </w:rPr>
        <w:t>Code</w:t>
      </w:r>
      <w:r>
        <w:rPr>
          <w:rFonts w:ascii="Arial" w:cs="Arial" w:eastAsia="Arial" w:hAnsi="Arial"/>
          <w:sz w:val="19"/>
          <w:szCs w:val="19"/>
          <w:color w:val="auto"/>
        </w:rPr>
        <w:t xml:space="preserve">: The United States Internal Revenue Code of 1986, as amended from time to time. </w:t>
      </w:r>
      <w:r>
        <w:rPr>
          <w:rFonts w:ascii="Arial" w:cs="Arial" w:eastAsia="Arial" w:hAnsi="Arial"/>
          <w:sz w:val="19"/>
          <w:szCs w:val="19"/>
          <w:u w:val="single" w:color="auto"/>
          <w:color w:val="auto"/>
        </w:rPr>
        <w:t>Collateral</w:t>
      </w:r>
      <w:r>
        <w:rPr>
          <w:rFonts w:ascii="Arial" w:cs="Arial" w:eastAsia="Arial" w:hAnsi="Arial"/>
          <w:sz w:val="19"/>
          <w:szCs w:val="19"/>
          <w:color w:val="auto"/>
        </w:rPr>
        <w:t>: Defined in</w:t>
      </w:r>
    </w:p>
    <w:p>
      <w:pPr>
        <w:spacing w:after="0" w:line="241"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Section 2.2(a).</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Wells Fargo, and its successors and assigns. </w:t>
      </w:r>
      <w:r>
        <w:rPr>
          <w:rFonts w:ascii="Arial" w:cs="Arial" w:eastAsia="Arial" w:hAnsi="Arial"/>
          <w:sz w:val="22"/>
          <w:szCs w:val="22"/>
          <w:u w:val="single" w:color="auto"/>
          <w:color w:val="auto"/>
        </w:rPr>
        <w:t>Collection Account</w:t>
      </w:r>
      <w:r>
        <w:rPr>
          <w:rFonts w:ascii="Arial" w:cs="Arial" w:eastAsia="Arial" w:hAnsi="Arial"/>
          <w:sz w:val="22"/>
          <w:szCs w:val="22"/>
          <w:color w:val="auto"/>
        </w:rPr>
        <w:t>: Defined in</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Section 6.7(a).</w:t>
      </w:r>
    </w:p>
    <w:p>
      <w:pPr>
        <w:spacing w:after="0" w:line="125" w:lineRule="exact"/>
        <w:rPr>
          <w:sz w:val="20"/>
          <w:szCs w:val="20"/>
          <w:color w:val="auto"/>
        </w:rPr>
      </w:pPr>
    </w:p>
    <w:p>
      <w:pPr>
        <w:ind w:left="700" w:right="40" w:firstLine="648"/>
        <w:spacing w:after="0" w:line="263" w:lineRule="auto"/>
        <w:rPr>
          <w:sz w:val="20"/>
          <w:szCs w:val="20"/>
          <w:color w:val="auto"/>
        </w:rPr>
      </w:pPr>
      <w:r>
        <w:rPr>
          <w:rFonts w:ascii="Arial" w:cs="Arial" w:eastAsia="Arial" w:hAnsi="Arial"/>
          <w:sz w:val="22"/>
          <w:szCs w:val="22"/>
          <w:u w:val="single" w:color="auto"/>
          <w:color w:val="auto"/>
        </w:rPr>
        <w:t>Collection Date</w:t>
      </w:r>
      <w:r>
        <w:rPr>
          <w:rFonts w:ascii="Arial" w:cs="Arial" w:eastAsia="Arial" w:hAnsi="Arial"/>
          <w:sz w:val="22"/>
          <w:szCs w:val="22"/>
          <w:color w:val="auto"/>
        </w:rPr>
        <w:t>: The date following the Termination Date on which the Aggregate Unpaids have been reduced to zero and indefeasibly paid in full.</w:t>
      </w:r>
    </w:p>
    <w:p>
      <w:pPr>
        <w:spacing w:after="0" w:line="215" w:lineRule="exact"/>
        <w:rPr>
          <w:sz w:val="20"/>
          <w:szCs w:val="20"/>
          <w:color w:val="auto"/>
        </w:rPr>
      </w:pPr>
    </w:p>
    <w:p>
      <w:pPr>
        <w:jc w:val="both"/>
        <w:ind w:left="700" w:firstLine="648"/>
        <w:spacing w:after="0" w:line="248" w:lineRule="auto"/>
        <w:rPr>
          <w:sz w:val="20"/>
          <w:szCs w:val="20"/>
          <w:color w:val="auto"/>
        </w:rPr>
      </w:pPr>
      <w:r>
        <w:rPr>
          <w:rFonts w:ascii="Arial" w:cs="Arial" w:eastAsia="Arial" w:hAnsi="Arial"/>
          <w:sz w:val="22"/>
          <w:szCs w:val="22"/>
          <w:u w:val="single" w:color="auto"/>
          <w:color w:val="auto"/>
        </w:rPr>
        <w:t>Collection Guidelines</w:t>
      </w:r>
      <w:r>
        <w:rPr>
          <w:rFonts w:ascii="Arial" w:cs="Arial" w:eastAsia="Arial" w:hAnsi="Arial"/>
          <w:sz w:val="22"/>
          <w:szCs w:val="22"/>
          <w:color w:val="auto"/>
        </w:rPr>
        <w:t>: With respect to Credit Acceptance, the policies of the Servicer, relating to the collection of amounts due on contracts for the sale of automobiles and/or light- duty trucks, as in effect on the Cut-Off Date and as amended from time to time in accordance herewith and with the other Transaction Documents or in accordance with Applicable Law, and with respect to the Backup Servicer, as Successor Servicer, the servicing policies set forth in the Backup Servicing Agreement.</w:t>
      </w:r>
    </w:p>
    <w:p>
      <w:pPr>
        <w:spacing w:after="0" w:line="219" w:lineRule="exact"/>
        <w:rPr>
          <w:sz w:val="20"/>
          <w:szCs w:val="20"/>
          <w:color w:val="auto"/>
        </w:rPr>
      </w:pPr>
    </w:p>
    <w:p>
      <w:pPr>
        <w:jc w:val="both"/>
        <w:ind w:left="700" w:right="40" w:firstLine="648"/>
        <w:spacing w:after="0" w:line="343" w:lineRule="auto"/>
        <w:rPr>
          <w:sz w:val="20"/>
          <w:szCs w:val="20"/>
          <w:color w:val="auto"/>
        </w:rPr>
      </w:pPr>
      <w:r>
        <w:rPr>
          <w:rFonts w:ascii="Arial" w:cs="Arial" w:eastAsia="Arial" w:hAnsi="Arial"/>
          <w:sz w:val="19"/>
          <w:szCs w:val="19"/>
          <w:u w:val="single" w:color="auto"/>
          <w:color w:val="auto"/>
        </w:rPr>
        <w:t>Collection Period</w:t>
      </w:r>
      <w:r>
        <w:rPr>
          <w:rFonts w:ascii="Arial" w:cs="Arial" w:eastAsia="Arial" w:hAnsi="Arial"/>
          <w:sz w:val="19"/>
          <w:szCs w:val="19"/>
          <w:color w:val="auto"/>
        </w:rPr>
        <w:t>: Each calendar month, except in the case of the first Collection Period, the period beginning on the Cut-Off Date to and including the last day of the calendar month in which the Funding Date occurs.</w:t>
      </w:r>
    </w:p>
    <w:p>
      <w:pPr>
        <w:spacing w:after="0" w:line="145" w:lineRule="exact"/>
        <w:rPr>
          <w:sz w:val="20"/>
          <w:szCs w:val="20"/>
          <w:color w:val="auto"/>
        </w:rPr>
      </w:pPr>
    </w:p>
    <w:p>
      <w:pPr>
        <w:jc w:val="both"/>
        <w:ind w:left="700" w:right="40" w:firstLine="648"/>
        <w:spacing w:after="0" w:line="247" w:lineRule="auto"/>
        <w:rPr>
          <w:sz w:val="20"/>
          <w:szCs w:val="20"/>
          <w:color w:val="auto"/>
        </w:rPr>
      </w:pPr>
      <w:r>
        <w:rPr>
          <w:rFonts w:ascii="Arial" w:cs="Arial" w:eastAsia="Arial" w:hAnsi="Arial"/>
          <w:sz w:val="22"/>
          <w:szCs w:val="22"/>
          <w:u w:val="single" w:color="auto"/>
          <w:color w:val="auto"/>
        </w:rPr>
        <w:t>Collections</w:t>
      </w:r>
      <w:r>
        <w:rPr>
          <w:rFonts w:ascii="Arial" w:cs="Arial" w:eastAsia="Arial" w:hAnsi="Arial"/>
          <w:sz w:val="22"/>
          <w:szCs w:val="22"/>
          <w:color w:val="auto"/>
        </w:rPr>
        <w:t>: All payments (including recoveries on defaulted Contracts, credit-related insurance proceeds and proceeds of Related Security and so long as Credit Acceptance is the Servicer, excluding certain recovery and repossession expenses, in accordance with the terms of the Dealer Agreements) received by the Servicer, Credit Acceptance or the Borrower on or after the Cut-Off Date in respect of the Loans in the form of cash, checks, wire transfers or other form of payment in accordance with the Loans and the Dealer Agreements and all net amounts received under any Hedging Agreement.</w:t>
      </w:r>
    </w:p>
    <w:p>
      <w:pPr>
        <w:spacing w:after="0" w:line="220" w:lineRule="exact"/>
        <w:rPr>
          <w:sz w:val="20"/>
          <w:szCs w:val="20"/>
          <w:color w:val="auto"/>
        </w:rPr>
      </w:pPr>
    </w:p>
    <w:p>
      <w:pPr>
        <w:jc w:val="both"/>
        <w:ind w:left="700" w:right="60" w:firstLine="648"/>
        <w:spacing w:after="0" w:line="287" w:lineRule="auto"/>
        <w:rPr>
          <w:sz w:val="20"/>
          <w:szCs w:val="20"/>
          <w:color w:val="auto"/>
        </w:rPr>
      </w:pPr>
      <w:r>
        <w:rPr>
          <w:rFonts w:ascii="Arial" w:cs="Arial" w:eastAsia="Arial" w:hAnsi="Arial"/>
          <w:sz w:val="21"/>
          <w:szCs w:val="21"/>
          <w:u w:val="single" w:color="auto"/>
          <w:color w:val="auto"/>
        </w:rPr>
        <w:t>Commitment</w:t>
      </w:r>
      <w:r>
        <w:rPr>
          <w:rFonts w:ascii="Arial" w:cs="Arial" w:eastAsia="Arial" w:hAnsi="Arial"/>
          <w:sz w:val="21"/>
          <w:szCs w:val="21"/>
          <w:color w:val="auto"/>
        </w:rPr>
        <w:t>: For each Lender, the commitment of such Lender to make Advances to the Borrower in an amount not to exceed the amount set forth opposite such Lender’s name on Schedule VI to this Agreement.</w:t>
      </w:r>
    </w:p>
    <w:p>
      <w:pPr>
        <w:spacing w:after="0" w:line="97" w:lineRule="exact"/>
        <w:rPr>
          <w:sz w:val="20"/>
          <w:szCs w:val="20"/>
          <w:color w:val="auto"/>
        </w:rPr>
      </w:pPr>
    </w:p>
    <w:p>
      <w:pPr>
        <w:jc w:val="both"/>
        <w:ind w:left="660" w:right="60" w:firstLine="648"/>
        <w:spacing w:after="0" w:line="253" w:lineRule="auto"/>
        <w:rPr>
          <w:sz w:val="20"/>
          <w:szCs w:val="20"/>
          <w:color w:val="auto"/>
        </w:rPr>
      </w:pP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xml:space="preserve">: With respect to each Lender, </w:t>
      </w:r>
      <w:r>
        <w:rPr>
          <w:rFonts w:ascii="Arial" w:cs="Arial" w:eastAsia="Arial" w:hAnsi="Arial"/>
          <w:sz w:val="22"/>
          <w:szCs w:val="22"/>
          <w:color w:val="FF0000"/>
          <w:strike w:val="1"/>
        </w:rPr>
        <w:t>July 12</w:t>
      </w:r>
      <w:r>
        <w:rPr>
          <w:rFonts w:ascii="Arial" w:cs="Arial" w:eastAsia="Arial" w:hAnsi="Arial"/>
          <w:sz w:val="22"/>
          <w:szCs w:val="22"/>
          <w:u w:val="single" w:color="auto"/>
          <w:color w:val="0000FF"/>
        </w:rPr>
        <w:t>April 30</w:t>
      </w:r>
      <w:r>
        <w:rPr>
          <w:rFonts w:ascii="Arial" w:cs="Arial" w:eastAsia="Arial" w:hAnsi="Arial"/>
          <w:sz w:val="22"/>
          <w:szCs w:val="22"/>
          <w:color w:val="auto"/>
        </w:rPr>
        <w:t xml:space="preserve">, </w:t>
      </w:r>
      <w:r>
        <w:rPr>
          <w:rFonts w:ascii="Arial" w:cs="Arial" w:eastAsia="Arial" w:hAnsi="Arial"/>
          <w:sz w:val="22"/>
          <w:szCs w:val="22"/>
          <w:color w:val="FF0000"/>
          <w:strike w:val="1"/>
        </w:rPr>
        <w:t>2022</w:t>
      </w:r>
      <w:r>
        <w:rPr>
          <w:rFonts w:ascii="Arial" w:cs="Arial" w:eastAsia="Arial" w:hAnsi="Arial"/>
          <w:sz w:val="22"/>
          <w:szCs w:val="22"/>
          <w:u w:val="single" w:color="auto"/>
          <w:color w:val="0000FF"/>
        </w:rPr>
        <w:t>2024</w:t>
      </w:r>
      <w:r>
        <w:rPr>
          <w:rFonts w:ascii="Arial" w:cs="Arial" w:eastAsia="Arial" w:hAnsi="Arial"/>
          <w:sz w:val="22"/>
          <w:szCs w:val="22"/>
          <w:color w:val="auto"/>
        </w:rPr>
        <w:t>, or such later date to which the Commitment Termination Date may be extended if agreed in writing among the Borrower, the Deal Agent and each Lender.</w:t>
      </w:r>
    </w:p>
    <w:p>
      <w:pPr>
        <w:spacing w:after="0" w:line="131" w:lineRule="exact"/>
        <w:rPr>
          <w:sz w:val="20"/>
          <w:szCs w:val="20"/>
          <w:color w:val="auto"/>
        </w:rPr>
      </w:pPr>
    </w:p>
    <w:p>
      <w:pPr>
        <w:ind w:left="80" w:right="40" w:firstLine="648"/>
        <w:spacing w:after="0" w:line="263" w:lineRule="auto"/>
        <w:rPr>
          <w:sz w:val="20"/>
          <w:szCs w:val="20"/>
          <w:color w:val="auto"/>
        </w:rPr>
      </w:pPr>
      <w:r>
        <w:rPr>
          <w:rFonts w:ascii="Arial" w:cs="Arial" w:eastAsia="Arial" w:hAnsi="Arial"/>
          <w:sz w:val="22"/>
          <w:szCs w:val="22"/>
          <w:u w:val="single" w:color="auto"/>
          <w:color w:val="auto"/>
        </w:rPr>
        <w:t>Consolidated Fixed Charges</w:t>
      </w:r>
      <w:r>
        <w:rPr>
          <w:rFonts w:ascii="Arial" w:cs="Arial" w:eastAsia="Arial" w:hAnsi="Arial"/>
          <w:sz w:val="22"/>
          <w:szCs w:val="22"/>
          <w:color w:val="auto"/>
        </w:rPr>
        <w:t>: For any period, the sum of (a) Consolidated Interest Expense for such period, plus (b) Operating Rentals payable by Credit Acceptance and its Credit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w:t>
      </w:r>
    </w:p>
    <w:p>
      <w:pPr>
        <w:sectPr>
          <w:pgSz w:w="11900" w:h="16838" w:orient="portrait"/>
          <w:cols w:equalWidth="0" w:num="1">
            <w:col w:w="11140"/>
          </w:cols>
          <w:pgMar w:left="320" w:top="1428" w:right="439" w:bottom="1440" w:gutter="0" w:footer="0" w:header="0"/>
        </w:sectPr>
      </w:pPr>
    </w:p>
    <w:bookmarkStart w:id="279" w:name="page280"/>
    <w:bookmarkEnd w:id="279"/>
    <w:p>
      <w:pPr>
        <w:jc w:val="both"/>
        <w:ind w:left="80" w:right="20"/>
        <w:spacing w:after="0" w:line="286" w:lineRule="auto"/>
        <w:rPr>
          <w:sz w:val="20"/>
          <w:szCs w:val="20"/>
          <w:color w:val="auto"/>
        </w:rPr>
      </w:pPr>
      <w:r>
        <w:rPr>
          <w:rFonts w:ascii="Arial" w:cs="Arial" w:eastAsia="Arial" w:hAnsi="Arial"/>
          <w:sz w:val="19"/>
          <w:szCs w:val="19"/>
          <w:color w:val="auto"/>
        </w:rPr>
        <w:t>Subsidiaries in respect of such period under Operating Leases, plus (c) the aggregate amount of all dividends on any preferred stock of Credit Acceptance declared during such period, determined after eliminating intercompany transactions among Credit Acceptance and its Credit Agreement Subsidiaries, minus (d) to the extent included in Consolidated Interest Expense, (i) amortization of debt issuance fees, and (ii) any loss from mark-to-market changes in derivative instruments, plus</w:t>
      </w:r>
    </w:p>
    <w:p>
      <w:pPr>
        <w:spacing w:after="0" w:line="3" w:lineRule="exact"/>
        <w:rPr>
          <w:sz w:val="20"/>
          <w:szCs w:val="20"/>
          <w:color w:val="auto"/>
        </w:rPr>
      </w:pPr>
    </w:p>
    <w:p>
      <w:pPr>
        <w:ind w:left="120" w:right="40" w:hanging="4"/>
        <w:spacing w:after="0" w:line="246" w:lineRule="auto"/>
        <w:tabs>
          <w:tab w:leader="none" w:pos="657" w:val="left"/>
        </w:tabs>
        <w:numPr>
          <w:ilvl w:val="0"/>
          <w:numId w:val="271"/>
        </w:numPr>
        <w:rPr>
          <w:rFonts w:ascii="Arial" w:cs="Arial" w:eastAsia="Arial" w:hAnsi="Arial"/>
          <w:sz w:val="22"/>
          <w:szCs w:val="22"/>
          <w:color w:val="auto"/>
        </w:rPr>
      </w:pPr>
      <w:r>
        <w:rPr>
          <w:rFonts w:ascii="Arial" w:cs="Arial" w:eastAsia="Arial" w:hAnsi="Arial"/>
          <w:sz w:val="22"/>
          <w:szCs w:val="22"/>
          <w:color w:val="auto"/>
        </w:rPr>
        <w:t>to the extent included in Consolidated Interest Expense, any gain from mark-to-market changes in derivative instruments.</w:t>
      </w:r>
    </w:p>
    <w:p>
      <w:pPr>
        <w:spacing w:after="0" w:line="233" w:lineRule="exact"/>
        <w:rPr>
          <w:sz w:val="20"/>
          <w:szCs w:val="20"/>
          <w:color w:val="auto"/>
        </w:rPr>
      </w:pPr>
    </w:p>
    <w:p>
      <w:pPr>
        <w:jc w:val="both"/>
        <w:ind w:left="120" w:firstLine="648"/>
        <w:spacing w:after="0" w:line="297" w:lineRule="auto"/>
        <w:rPr>
          <w:sz w:val="20"/>
          <w:szCs w:val="20"/>
          <w:color w:val="auto"/>
        </w:rPr>
      </w:pPr>
      <w:r>
        <w:rPr>
          <w:rFonts w:ascii="Arial" w:cs="Arial" w:eastAsia="Arial" w:hAnsi="Arial"/>
          <w:sz w:val="19"/>
          <w:szCs w:val="19"/>
          <w:u w:val="single" w:color="auto"/>
          <w:color w:val="auto"/>
        </w:rPr>
        <w:t>Consolidated Income Available for Fixed Charges</w:t>
      </w:r>
      <w:r>
        <w:rPr>
          <w:rFonts w:ascii="Arial" w:cs="Arial" w:eastAsia="Arial" w:hAnsi="Arial"/>
          <w:sz w:val="19"/>
          <w:szCs w:val="19"/>
          <w:color w:val="auto"/>
        </w:rPr>
        <w:t>: For any period, the sum of (a) Consolidated Net Income, plus (b) the aggregate amount of income taxes, depreciation, amortization (including, without limitation, amortization of any debt issuance fees and any loss from mark-to-market changes in derivative instruments) to the extent, and only to the extent, that such aggregate amount was deducted in the computation of Consolidated Net Income for such period (such aggregated amount to be determined on a consolidated basis for the applicable Persons in accordance with GAAP).</w:t>
      </w:r>
    </w:p>
    <w:p>
      <w:pPr>
        <w:spacing w:after="0" w:line="174" w:lineRule="exact"/>
        <w:rPr>
          <w:sz w:val="20"/>
          <w:szCs w:val="20"/>
          <w:color w:val="auto"/>
        </w:rPr>
      </w:pPr>
    </w:p>
    <w:p>
      <w:pPr>
        <w:jc w:val="both"/>
        <w:ind w:left="120" w:right="40" w:firstLine="648"/>
        <w:spacing w:after="0" w:line="253" w:lineRule="auto"/>
        <w:rPr>
          <w:sz w:val="20"/>
          <w:szCs w:val="20"/>
          <w:color w:val="auto"/>
        </w:rPr>
      </w:pP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For any period, the amount of interest charged or chargeable to the Consolidated Statement of Operations of Credit Acceptance and its Credit Agreement Subsidiaries in respect of such period, as determined in accordance with GAAP.</w:t>
      </w:r>
    </w:p>
    <w:p>
      <w:pPr>
        <w:spacing w:after="0" w:line="226" w:lineRule="exact"/>
        <w:rPr>
          <w:sz w:val="20"/>
          <w:szCs w:val="20"/>
          <w:color w:val="auto"/>
        </w:rPr>
      </w:pPr>
    </w:p>
    <w:p>
      <w:pPr>
        <w:jc w:val="both"/>
        <w:ind w:left="120" w:right="600" w:firstLine="648"/>
        <w:spacing w:after="0" w:line="253" w:lineRule="auto"/>
        <w:rPr>
          <w:sz w:val="20"/>
          <w:szCs w:val="20"/>
          <w:color w:val="auto"/>
        </w:rPr>
      </w:pPr>
      <w:r>
        <w:rPr>
          <w:rFonts w:ascii="Arial" w:cs="Arial" w:eastAsia="Arial" w:hAnsi="Arial"/>
          <w:sz w:val="22"/>
          <w:szCs w:val="22"/>
          <w:u w:val="single" w:color="auto"/>
          <w:color w:val="auto"/>
        </w:rPr>
        <w:t>Consolidated Net Income</w:t>
      </w:r>
      <w:r>
        <w:rPr>
          <w:rFonts w:ascii="Arial" w:cs="Arial" w:eastAsia="Arial" w:hAnsi="Arial"/>
          <w:sz w:val="22"/>
          <w:szCs w:val="22"/>
          <w:color w:val="auto"/>
        </w:rPr>
        <w:t>: For any period, net earnings (or loss) after income taxes of Credit Acceptance and its subsidiaries, determined on a consolidated basis for such Persons in accordance with GAAP, but excluding, to the extent included in calculating net earnings:</w:t>
      </w:r>
    </w:p>
    <w:p>
      <w:pPr>
        <w:spacing w:after="0" w:line="212" w:lineRule="exact"/>
        <w:rPr>
          <w:sz w:val="20"/>
          <w:szCs w:val="20"/>
          <w:color w:val="auto"/>
        </w:rPr>
      </w:pPr>
    </w:p>
    <w:p>
      <w:pPr>
        <w:ind w:left="1300" w:hanging="536"/>
        <w:spacing w:after="0"/>
        <w:tabs>
          <w:tab w:leader="none" w:pos="130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net earnings (or loss) of any subsidiary accrued prior to the date it became a subsidiary;</w:t>
      </w:r>
    </w:p>
    <w:p>
      <w:pPr>
        <w:spacing w:after="0" w:line="260" w:lineRule="exact"/>
        <w:rPr>
          <w:rFonts w:ascii="Arial" w:cs="Arial" w:eastAsia="Arial" w:hAnsi="Arial"/>
          <w:sz w:val="22"/>
          <w:szCs w:val="22"/>
          <w:color w:val="auto"/>
        </w:rPr>
      </w:pPr>
    </w:p>
    <w:p>
      <w:pPr>
        <w:ind w:left="760" w:right="440" w:firstLine="4"/>
        <w:spacing w:after="0" w:line="343" w:lineRule="auto"/>
        <w:tabs>
          <w:tab w:leader="none" w:pos="1295"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any gain or loss (net of tax effects applicable thereto) resulting from the sale, conversion or other disposition of Capital Assets (as defined in the Credit Agreement) other than in the ordinary course of business;</w:t>
      </w:r>
    </w:p>
    <w:p>
      <w:pPr>
        <w:spacing w:after="0" w:line="144" w:lineRule="exact"/>
        <w:rPr>
          <w:rFonts w:ascii="Arial" w:cs="Arial" w:eastAsia="Arial" w:hAnsi="Arial"/>
          <w:sz w:val="19"/>
          <w:szCs w:val="19"/>
          <w:color w:val="auto"/>
        </w:rPr>
      </w:pPr>
    </w:p>
    <w:p>
      <w:pPr>
        <w:ind w:left="760" w:right="100" w:firstLine="4"/>
        <w:spacing w:after="0" w:line="259" w:lineRule="auto"/>
        <w:tabs>
          <w:tab w:leader="none" w:pos="1297" w:val="left"/>
        </w:tabs>
        <w:numPr>
          <w:ilvl w:val="0"/>
          <w:numId w:val="272"/>
        </w:numPr>
        <w:rPr>
          <w:rFonts w:ascii="Arial" w:cs="Arial" w:eastAsia="Arial" w:hAnsi="Arial"/>
          <w:sz w:val="21"/>
          <w:szCs w:val="21"/>
          <w:color w:val="auto"/>
        </w:rPr>
      </w:pPr>
      <w:r>
        <w:rPr>
          <w:rFonts w:ascii="Arial" w:cs="Arial" w:eastAsia="Arial" w:hAnsi="Arial"/>
          <w:sz w:val="21"/>
          <w:szCs w:val="21"/>
          <w:color w:val="auto"/>
        </w:rPr>
        <w:t>any unusual or non-recurring gains or losses (including, without limitation, (i) any gain on sale generated by a Permitted Securitization (as defined in the Credit Agreement), except to the extent Credit Acceptance has received a cash benefit therefrom in the applicable reporting period, and (ii) any gain or loss incurred in connection with any repayment of Debt (as defined in the Credit Agreement) by Credit Acceptance or its subsidiaries and/or any refinancing, replacement, renewal or extension transaction of any Debt, or modification, waiver or amendment of any Debt or any document or instrument relating to any such Debt; provided that the cash component of any loss described in this clause (ii) shall not to exceed $20,000,000 in any four fiscal quarter period); and any interest income generated by a Permitted Securitization, except to the extent Credit Acceptance has received a cash benefit therefrom in the applicable reporting period;</w:t>
      </w:r>
    </w:p>
    <w:p>
      <w:pPr>
        <w:spacing w:after="0" w:line="71" w:lineRule="exact"/>
        <w:rPr>
          <w:rFonts w:ascii="Arial" w:cs="Arial" w:eastAsia="Arial" w:hAnsi="Arial"/>
          <w:sz w:val="21"/>
          <w:szCs w:val="21"/>
          <w:color w:val="auto"/>
        </w:rPr>
      </w:pPr>
    </w:p>
    <w:p>
      <w:pPr>
        <w:ind w:left="760" w:right="60" w:firstLine="4"/>
        <w:spacing w:after="0" w:line="343" w:lineRule="auto"/>
        <w:tabs>
          <w:tab w:leader="none" w:pos="1295" w:val="left"/>
        </w:tabs>
        <w:numPr>
          <w:ilvl w:val="0"/>
          <w:numId w:val="272"/>
        </w:numPr>
        <w:rPr>
          <w:rFonts w:ascii="Arial" w:cs="Arial" w:eastAsia="Arial" w:hAnsi="Arial"/>
          <w:sz w:val="19"/>
          <w:szCs w:val="19"/>
          <w:color w:val="auto"/>
        </w:rPr>
      </w:pPr>
      <w:r>
        <w:rPr>
          <w:rFonts w:ascii="Arial" w:cs="Arial" w:eastAsia="Arial" w:hAnsi="Arial"/>
          <w:sz w:val="19"/>
          <w:szCs w:val="19"/>
          <w:color w:val="auto"/>
        </w:rPr>
        <w:t>any gain (net of tax effects attributable thereto) arising from any reappraisal or write-up of assets and any gain or loss (net of tax effects attributable thereto) arising from the non-cash effect of equity compensation expense;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12</w:t>
      </w:r>
    </w:p>
    <w:p>
      <w:pPr>
        <w:sectPr>
          <w:pgSz w:w="11900" w:h="16838" w:orient="portrait"/>
          <w:cols w:equalWidth="0" w:num="1">
            <w:col w:w="11120"/>
          </w:cols>
          <w:pgMar w:left="320" w:top="1374" w:right="459" w:bottom="1440" w:gutter="0" w:footer="0" w:header="0"/>
        </w:sectPr>
      </w:pPr>
    </w:p>
    <w:bookmarkStart w:id="280" w:name="page281"/>
    <w:bookmarkEnd w:id="280"/>
    <w:p>
      <w:pPr>
        <w:ind w:left="740" w:right="220" w:firstLine="6"/>
        <w:spacing w:after="0" w:line="265" w:lineRule="auto"/>
        <w:tabs>
          <w:tab w:leader="none" w:pos="129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any portion of the net earnings of any subsidiary (other than a Special Purpose Subsidiary (as defined in the Credit Agreement)) that is not available for payment of dividends to Credit Acceptance or any other subsidiary due to operation of the terms of its charter or organizational documents or any agreement, instrument, judgment, decree, order, statute, rule or governmental regulation applicable to such subsidiary;</w:t>
      </w:r>
    </w:p>
    <w:p>
      <w:pPr>
        <w:spacing w:after="0" w:line="215" w:lineRule="exact"/>
        <w:rPr>
          <w:rFonts w:ascii="Arial" w:cs="Arial" w:eastAsia="Arial" w:hAnsi="Arial"/>
          <w:sz w:val="21"/>
          <w:szCs w:val="21"/>
          <w:color w:val="auto"/>
        </w:rPr>
      </w:pPr>
    </w:p>
    <w:p>
      <w:pPr>
        <w:ind w:left="740" w:right="720" w:firstLine="6"/>
        <w:spacing w:after="0" w:line="263" w:lineRule="auto"/>
        <w:tabs>
          <w:tab w:leader="none" w:pos="1293"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any gain or loss (net of tax effects applicable thereto) during such period resulting from the receipt of any proceeds of any insurance policy;</w:t>
      </w:r>
    </w:p>
    <w:p>
      <w:pPr>
        <w:spacing w:after="0" w:line="201" w:lineRule="exact"/>
        <w:rPr>
          <w:rFonts w:ascii="Arial" w:cs="Arial" w:eastAsia="Arial" w:hAnsi="Arial"/>
          <w:sz w:val="22"/>
          <w:szCs w:val="22"/>
          <w:color w:val="auto"/>
        </w:rPr>
      </w:pPr>
    </w:p>
    <w:p>
      <w:pPr>
        <w:ind w:left="740" w:right="120" w:firstLine="6"/>
        <w:spacing w:after="0" w:line="250" w:lineRule="auto"/>
        <w:tabs>
          <w:tab w:leader="none" w:pos="1289" w:val="left"/>
        </w:tabs>
        <w:numPr>
          <w:ilvl w:val="0"/>
          <w:numId w:val="273"/>
        </w:numPr>
        <w:rPr>
          <w:rFonts w:ascii="Arial" w:cs="Arial" w:eastAsia="Arial" w:hAnsi="Arial"/>
          <w:sz w:val="22"/>
          <w:szCs w:val="22"/>
          <w:color w:val="auto"/>
        </w:rPr>
      </w:pPr>
      <w:r>
        <w:rPr>
          <w:rFonts w:ascii="Arial" w:cs="Arial" w:eastAsia="Arial" w:hAnsi="Arial"/>
          <w:sz w:val="22"/>
          <w:szCs w:val="22"/>
          <w:color w:val="auto"/>
        </w:rPr>
        <w:t>except as set forth herein, (i) any earnings of any Person acquired by Credit Acceptance or any subsidiary through the purchase, merger or consolidation or otherwise, or (ii) earnings of any Person substantially all of the assets of which have been acquired by Credit Acceptance or any subsidiary, in each case, for any period prior to the date of acquisition;</w:t>
      </w:r>
    </w:p>
    <w:p>
      <w:pPr>
        <w:spacing w:after="0" w:line="228" w:lineRule="exact"/>
        <w:rPr>
          <w:rFonts w:ascii="Arial" w:cs="Arial" w:eastAsia="Arial" w:hAnsi="Arial"/>
          <w:sz w:val="22"/>
          <w:szCs w:val="22"/>
          <w:color w:val="auto"/>
        </w:rPr>
      </w:pPr>
    </w:p>
    <w:p>
      <w:pPr>
        <w:jc w:val="both"/>
        <w:ind w:left="740" w:right="200" w:firstLine="6"/>
        <w:spacing w:after="0" w:line="253" w:lineRule="auto"/>
        <w:tabs>
          <w:tab w:leader="none" w:pos="1289" w:val="left"/>
        </w:tabs>
        <w:numPr>
          <w:ilvl w:val="0"/>
          <w:numId w:val="273"/>
        </w:numPr>
        <w:rPr>
          <w:rFonts w:ascii="Arial" w:cs="Arial" w:eastAsia="Arial" w:hAnsi="Arial"/>
          <w:sz w:val="22"/>
          <w:szCs w:val="22"/>
          <w:color w:val="auto"/>
        </w:rPr>
      </w:pPr>
      <w:r>
        <w:rPr>
          <w:rFonts w:ascii="Arial" w:cs="Arial" w:eastAsia="Arial" w:hAnsi="Arial"/>
          <w:sz w:val="22"/>
          <w:szCs w:val="22"/>
          <w:color w:val="auto"/>
        </w:rPr>
        <w:t>net earnings of any Person (other than a subsidiary) in which Credit Acceptance or any subsidiary shall have an ownership interest unless such net earnings shall actually have been received by Credit Acceptance or such subsidiary in the form of cash distributions; and</w:t>
      </w:r>
    </w:p>
    <w:p>
      <w:pPr>
        <w:spacing w:after="0" w:line="212" w:lineRule="exact"/>
        <w:rPr>
          <w:rFonts w:ascii="Arial" w:cs="Arial" w:eastAsia="Arial" w:hAnsi="Arial"/>
          <w:sz w:val="22"/>
          <w:szCs w:val="22"/>
          <w:color w:val="auto"/>
        </w:rPr>
      </w:pPr>
    </w:p>
    <w:p>
      <w:pPr>
        <w:ind w:left="740" w:right="380" w:firstLine="6"/>
        <w:spacing w:after="0" w:line="251" w:lineRule="auto"/>
        <w:tabs>
          <w:tab w:leader="none" w:pos="1295" w:val="left"/>
        </w:tabs>
        <w:numPr>
          <w:ilvl w:val="0"/>
          <w:numId w:val="273"/>
        </w:numPr>
        <w:rPr>
          <w:rFonts w:ascii="Arial" w:cs="Arial" w:eastAsia="Arial" w:hAnsi="Arial"/>
          <w:sz w:val="22"/>
          <w:szCs w:val="22"/>
          <w:color w:val="auto"/>
        </w:rPr>
      </w:pPr>
      <w:r>
        <w:rPr>
          <w:rFonts w:ascii="Arial" w:cs="Arial" w:eastAsia="Arial" w:hAnsi="Arial"/>
          <w:sz w:val="22"/>
          <w:szCs w:val="22"/>
          <w:color w:val="auto"/>
        </w:rPr>
        <w:t>any restoration during such period to income of any contingency reserve, (other than any contingency reserve for taxes) except to the extent that provision for such reserve was made either</w:t>
      </w:r>
    </w:p>
    <w:p>
      <w:pPr>
        <w:spacing w:after="0" w:line="1" w:lineRule="exact"/>
        <w:rPr>
          <w:rFonts w:ascii="Arial" w:cs="Arial" w:eastAsia="Arial" w:hAnsi="Arial"/>
          <w:sz w:val="22"/>
          <w:szCs w:val="22"/>
          <w:color w:val="auto"/>
        </w:rPr>
      </w:pPr>
    </w:p>
    <w:p>
      <w:pPr>
        <w:ind w:left="1940" w:hanging="546"/>
        <w:spacing w:after="0"/>
        <w:tabs>
          <w:tab w:leader="none" w:pos="1940" w:val="left"/>
        </w:tabs>
        <w:numPr>
          <w:ilvl w:val="1"/>
          <w:numId w:val="273"/>
        </w:numPr>
        <w:rPr>
          <w:rFonts w:ascii="Arial" w:cs="Arial" w:eastAsia="Arial" w:hAnsi="Arial"/>
          <w:sz w:val="22"/>
          <w:szCs w:val="22"/>
          <w:color w:val="auto"/>
        </w:rPr>
      </w:pPr>
      <w:r>
        <w:rPr>
          <w:rFonts w:ascii="Arial" w:cs="Arial" w:eastAsia="Arial" w:hAnsi="Arial"/>
          <w:sz w:val="22"/>
          <w:szCs w:val="22"/>
          <w:color w:val="auto"/>
        </w:rPr>
        <w:t>during such period out of income accrued during such period, or</w:t>
      </w:r>
    </w:p>
    <w:p>
      <w:pPr>
        <w:spacing w:after="0" w:line="3" w:lineRule="exact"/>
        <w:rPr>
          <w:rFonts w:ascii="Arial" w:cs="Arial" w:eastAsia="Arial" w:hAnsi="Arial"/>
          <w:sz w:val="22"/>
          <w:szCs w:val="22"/>
          <w:color w:val="auto"/>
        </w:rPr>
      </w:pPr>
    </w:p>
    <w:p>
      <w:pPr>
        <w:jc w:val="both"/>
        <w:ind w:left="1400" w:hanging="6"/>
        <w:spacing w:after="0" w:line="302" w:lineRule="auto"/>
        <w:tabs>
          <w:tab w:leader="none" w:pos="1947" w:val="left"/>
        </w:tabs>
        <w:numPr>
          <w:ilvl w:val="1"/>
          <w:numId w:val="273"/>
        </w:numPr>
        <w:rPr>
          <w:rFonts w:ascii="Arial" w:cs="Arial" w:eastAsia="Arial" w:hAnsi="Arial"/>
          <w:sz w:val="19"/>
          <w:szCs w:val="19"/>
          <w:color w:val="auto"/>
        </w:rPr>
      </w:pPr>
      <w:r>
        <w:rPr>
          <w:rFonts w:ascii="Arial" w:cs="Arial" w:eastAsia="Arial" w:hAnsi="Arial"/>
          <w:sz w:val="19"/>
          <w:szCs w:val="19"/>
          <w:color w:val="auto"/>
        </w:rPr>
        <w:t>in connection with Credit Acceptance’s program of financing Installment Contracts (A) to provide for warranty claims for which Credit Acceptance may be responsible, or (B) to cover credit losses in connection with Dealer Loans Receivable or Purchased Contracts (each, as defined in the Credit Agreement).</w:t>
      </w:r>
    </w:p>
    <w:p>
      <w:pPr>
        <w:spacing w:after="0" w:line="291" w:lineRule="exact"/>
        <w:rPr>
          <w:sz w:val="20"/>
          <w:szCs w:val="20"/>
          <w:color w:val="auto"/>
        </w:rPr>
      </w:pPr>
    </w:p>
    <w:p>
      <w:pPr>
        <w:ind w:left="740"/>
        <w:spacing w:after="0"/>
        <w:rPr>
          <w:sz w:val="20"/>
          <w:szCs w:val="20"/>
          <w:color w:val="auto"/>
        </w:rPr>
      </w:pPr>
      <w:r>
        <w:rPr>
          <w:rFonts w:ascii="Arial" w:cs="Arial" w:eastAsia="Arial" w:hAnsi="Arial"/>
          <w:sz w:val="22"/>
          <w:szCs w:val="22"/>
          <w:u w:val="single" w:color="auto"/>
          <w:color w:val="auto"/>
        </w:rPr>
        <w:t>Contract</w:t>
      </w:r>
      <w:r>
        <w:rPr>
          <w:rFonts w:ascii="Arial" w:cs="Arial" w:eastAsia="Arial" w:hAnsi="Arial"/>
          <w:sz w:val="22"/>
          <w:szCs w:val="22"/>
          <w:color w:val="auto"/>
        </w:rPr>
        <w:t>: Any Dealer Loan Contract or Purchased Loan Contract.</w:t>
      </w:r>
    </w:p>
    <w:p>
      <w:pPr>
        <w:spacing w:after="0" w:line="112" w:lineRule="exact"/>
        <w:rPr>
          <w:sz w:val="20"/>
          <w:szCs w:val="20"/>
          <w:color w:val="auto"/>
        </w:rPr>
      </w:pPr>
    </w:p>
    <w:p>
      <w:pPr>
        <w:jc w:val="both"/>
        <w:ind w:left="100" w:right="20" w:firstLine="648"/>
        <w:spacing w:after="0" w:line="248" w:lineRule="auto"/>
        <w:rPr>
          <w:sz w:val="20"/>
          <w:szCs w:val="20"/>
          <w:color w:val="auto"/>
        </w:rPr>
      </w:pPr>
      <w:r>
        <w:rPr>
          <w:rFonts w:ascii="Arial" w:cs="Arial" w:eastAsia="Arial" w:hAnsi="Arial"/>
          <w:sz w:val="22"/>
          <w:szCs w:val="22"/>
          <w:u w:val="single" w:color="auto"/>
          <w:color w:val="auto"/>
        </w:rPr>
        <w:t>Contract Files</w:t>
      </w:r>
      <w:r>
        <w:rPr>
          <w:rFonts w:ascii="Arial" w:cs="Arial" w:eastAsia="Arial" w:hAnsi="Arial"/>
          <w:sz w:val="22"/>
          <w:szCs w:val="22"/>
          <w:color w:val="auto"/>
        </w:rPr>
        <w:t>: With respect to each Contract, the fully executed original counterpart of the Contract or, in the case of any Contract constituting electronic chattel paper, the Authoritative Electronic Copy of the Contract (in each case, for UCC purposes), the Certificate of Title with respect to the related financed vehicle or other evidence of lien, all original or electronic instruments modifying the terms and conditions of such Contract and the original or electronic endorsements or assignments of such Contract.</w:t>
      </w:r>
    </w:p>
    <w:p>
      <w:pPr>
        <w:spacing w:after="0" w:line="84" w:lineRule="exact"/>
        <w:rPr>
          <w:sz w:val="20"/>
          <w:szCs w:val="20"/>
          <w:color w:val="auto"/>
        </w:rPr>
      </w:pPr>
    </w:p>
    <w:p>
      <w:pPr>
        <w:jc w:val="both"/>
        <w:ind w:left="100" w:right="20" w:firstLine="648"/>
        <w:spacing w:after="0" w:line="253" w:lineRule="auto"/>
        <w:rPr>
          <w:sz w:val="20"/>
          <w:szCs w:val="20"/>
          <w:color w:val="auto"/>
        </w:rPr>
      </w:pPr>
      <w:r>
        <w:rPr>
          <w:rFonts w:ascii="Arial" w:cs="Arial" w:eastAsia="Arial" w:hAnsi="Arial"/>
          <w:sz w:val="22"/>
          <w:szCs w:val="22"/>
          <w:u w:val="single" w:color="auto"/>
          <w:color w:val="auto"/>
        </w:rPr>
        <w:t>Contribution Agreement</w:t>
      </w:r>
      <w:r>
        <w:rPr>
          <w:rFonts w:ascii="Arial" w:cs="Arial" w:eastAsia="Arial" w:hAnsi="Arial"/>
          <w:sz w:val="22"/>
          <w:szCs w:val="22"/>
          <w:color w:val="auto"/>
        </w:rPr>
        <w:t>: The Fourth Amended and Restated Sale and Contribution Agreement, dated as of the date hereof, substantially in the form of Exhibit F hereto, between Credit Acceptance and the Borrower, as the same may be amended, restated, supplemented or otherwise modified from time to time.</w:t>
      </w:r>
    </w:p>
    <w:p>
      <w:pPr>
        <w:spacing w:after="0" w:line="77" w:lineRule="exact"/>
        <w:rPr>
          <w:sz w:val="20"/>
          <w:szCs w:val="20"/>
          <w:color w:val="auto"/>
        </w:rPr>
      </w:pPr>
    </w:p>
    <w:p>
      <w:pPr>
        <w:jc w:val="both"/>
        <w:ind w:left="100" w:right="20" w:firstLine="648"/>
        <w:spacing w:after="0" w:line="253" w:lineRule="auto"/>
        <w:rPr>
          <w:sz w:val="20"/>
          <w:szCs w:val="20"/>
          <w:color w:val="auto"/>
        </w:rPr>
      </w:pPr>
      <w:r>
        <w:rPr>
          <w:rFonts w:ascii="Arial" w:cs="Arial" w:eastAsia="Arial" w:hAnsi="Arial"/>
          <w:sz w:val="22"/>
          <w:szCs w:val="22"/>
          <w:u w:val="single" w:color="auto"/>
          <w:color w:val="auto"/>
        </w:rPr>
        <w:t>Contractual Obligation</w:t>
      </w:r>
      <w:r>
        <w:rPr>
          <w:rFonts w:ascii="Arial" w:cs="Arial" w:eastAsia="Arial" w:hAnsi="Arial"/>
          <w:sz w:val="22"/>
          <w:szCs w:val="22"/>
          <w:color w:val="auto"/>
        </w:rPr>
        <w:t>: With respect to any Person, means any provision of any securities issued by such Person or any indenture, mortgage, deed of trust, contract, undertaking,agreement, instrument or other document to which such Person is a party or by which it or any of its property is bound or is subject.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13</w:t>
      </w:r>
    </w:p>
    <w:p>
      <w:pPr>
        <w:sectPr>
          <w:pgSz w:w="11900" w:h="16838" w:orient="portrait"/>
          <w:cols w:equalWidth="0" w:num="1">
            <w:col w:w="11140"/>
          </w:cols>
          <w:pgMar w:left="320" w:top="1428" w:right="439" w:bottom="1440" w:gutter="0" w:footer="0" w:header="0"/>
        </w:sectPr>
      </w:pPr>
    </w:p>
    <w:bookmarkStart w:id="281" w:name="page282"/>
    <w:bookmarkEnd w:id="281"/>
    <w:p>
      <w:pPr>
        <w:jc w:val="both"/>
        <w:ind w:left="700" w:right="140" w:firstLine="648"/>
        <w:spacing w:after="0" w:line="275" w:lineRule="auto"/>
        <w:rPr>
          <w:sz w:val="20"/>
          <w:szCs w:val="20"/>
          <w:color w:val="auto"/>
        </w:rPr>
      </w:pPr>
      <w:r>
        <w:rPr>
          <w:rFonts w:ascii="Arial" w:cs="Arial" w:eastAsia="Arial" w:hAnsi="Arial"/>
          <w:sz w:val="20"/>
          <w:szCs w:val="20"/>
          <w:u w:val="single" w:color="auto"/>
          <w:color w:val="auto"/>
        </w:rPr>
        <w:t>Corporate Trust Office</w:t>
      </w:r>
      <w:r>
        <w:rPr>
          <w:rFonts w:ascii="Arial" w:cs="Arial" w:eastAsia="Arial" w:hAnsi="Arial"/>
          <w:sz w:val="20"/>
          <w:szCs w:val="20"/>
          <w:color w:val="auto"/>
        </w:rPr>
        <w:t xml:space="preserve">: The principal office of the Collateral Agent and Backup Servicer at which at any particular time its corporate trust business shall be administered, which office at the date of the execution of this Agreement is located at </w:t>
      </w:r>
      <w:r>
        <w:rPr>
          <w:rFonts w:ascii="Arial" w:cs="Arial" w:eastAsia="Arial" w:hAnsi="Arial"/>
          <w:sz w:val="20"/>
          <w:szCs w:val="20"/>
          <w:color w:val="FF0000"/>
          <w:strike w:val="1"/>
        </w:rPr>
        <w:t>Sixth</w:t>
      </w:r>
      <w:r>
        <w:rPr>
          <w:rFonts w:ascii="Arial" w:cs="Arial" w:eastAsia="Arial" w:hAnsi="Arial"/>
          <w:sz w:val="20"/>
          <w:szCs w:val="20"/>
          <w:color w:val="0000FF"/>
        </w:rPr>
        <w:t>600 S. 4</w:t>
      </w:r>
      <w:r>
        <w:rPr>
          <w:rFonts w:ascii="Arial" w:cs="Arial" w:eastAsia="Arial" w:hAnsi="Arial"/>
          <w:sz w:val="12"/>
          <w:szCs w:val="12"/>
          <w:color w:val="0000FF"/>
        </w:rPr>
        <w:t>th</w:t>
      </w:r>
      <w:r>
        <w:rPr>
          <w:rFonts w:ascii="Arial" w:cs="Arial" w:eastAsia="Arial" w:hAnsi="Arial"/>
          <w:sz w:val="20"/>
          <w:szCs w:val="20"/>
          <w:color w:val="auto"/>
        </w:rPr>
        <w:t xml:space="preserve"> Street </w:t>
      </w:r>
      <w:r>
        <w:rPr>
          <w:rFonts w:ascii="Arial" w:cs="Arial" w:eastAsia="Arial" w:hAnsi="Arial"/>
          <w:sz w:val="20"/>
          <w:szCs w:val="20"/>
          <w:color w:val="FF0000"/>
          <w:strike w:val="1"/>
        </w:rPr>
        <w:t>and Marquette Avenue</w:t>
      </w:r>
      <w:r>
        <w:rPr>
          <w:rFonts w:ascii="Arial" w:cs="Arial" w:eastAsia="Arial" w:hAnsi="Arial"/>
          <w:sz w:val="20"/>
          <w:szCs w:val="20"/>
          <w:color w:val="auto"/>
        </w:rPr>
        <w:t>, MAC N</w:t>
      </w:r>
      <w:r>
        <w:rPr>
          <w:rFonts w:ascii="Arial" w:cs="Arial" w:eastAsia="Arial" w:hAnsi="Arial"/>
          <w:sz w:val="20"/>
          <w:szCs w:val="20"/>
          <w:color w:val="FF0000"/>
          <w:strike w:val="1"/>
        </w:rPr>
        <w:t>9311</w:t>
      </w:r>
      <w:r>
        <w:rPr>
          <w:rFonts w:ascii="Arial" w:cs="Arial" w:eastAsia="Arial" w:hAnsi="Arial"/>
          <w:sz w:val="20"/>
          <w:szCs w:val="20"/>
          <w:u w:val="single" w:color="auto"/>
          <w:color w:val="0000FF"/>
        </w:rPr>
        <w:t>9300</w:t>
      </w:r>
      <w:r>
        <w:rPr>
          <w:rFonts w:ascii="Arial" w:cs="Arial" w:eastAsia="Arial" w:hAnsi="Arial"/>
          <w:sz w:val="20"/>
          <w:szCs w:val="20"/>
          <w:color w:val="auto"/>
        </w:rPr>
        <w:t>-</w:t>
      </w:r>
      <w:r>
        <w:rPr>
          <w:rFonts w:ascii="Arial" w:cs="Arial" w:eastAsia="Arial" w:hAnsi="Arial"/>
          <w:sz w:val="20"/>
          <w:szCs w:val="20"/>
          <w:color w:val="FF0000"/>
          <w:strike w:val="1"/>
        </w:rPr>
        <w:t>161</w:t>
      </w:r>
      <w:r>
        <w:rPr>
          <w:rFonts w:ascii="Arial" w:cs="Arial" w:eastAsia="Arial" w:hAnsi="Arial"/>
          <w:sz w:val="20"/>
          <w:szCs w:val="20"/>
          <w:u w:val="single" w:color="auto"/>
          <w:color w:val="0000FF"/>
        </w:rPr>
        <w:t>061</w:t>
      </w:r>
      <w:r>
        <w:rPr>
          <w:rFonts w:ascii="Arial" w:cs="Arial" w:eastAsia="Arial" w:hAnsi="Arial"/>
          <w:sz w:val="20"/>
          <w:szCs w:val="20"/>
          <w:color w:val="auto"/>
        </w:rPr>
        <w:t xml:space="preserve">, Minneapolis, Minnesota </w:t>
      </w:r>
      <w:r>
        <w:rPr>
          <w:rFonts w:ascii="Arial" w:cs="Arial" w:eastAsia="Arial" w:hAnsi="Arial"/>
          <w:sz w:val="20"/>
          <w:szCs w:val="20"/>
          <w:color w:val="FF0000"/>
          <w:strike w:val="1"/>
        </w:rPr>
        <w:t>55479</w:t>
      </w:r>
      <w:r>
        <w:rPr>
          <w:rFonts w:ascii="Arial" w:cs="Arial" w:eastAsia="Arial" w:hAnsi="Arial"/>
          <w:sz w:val="20"/>
          <w:szCs w:val="20"/>
          <w:u w:val="single" w:color="auto"/>
          <w:color w:val="0000FF"/>
        </w:rPr>
        <w:t>55415</w:t>
      </w:r>
      <w:r>
        <w:rPr>
          <w:rFonts w:ascii="Arial" w:cs="Arial" w:eastAsia="Arial" w:hAnsi="Arial"/>
          <w:sz w:val="20"/>
          <w:szCs w:val="20"/>
          <w:color w:val="auto"/>
        </w:rPr>
        <w:t>, Attention: Corporate Trust Services Asset-Backed Trust Administration, or at such other address as the Collateral Agent or Backup Servicer may designate from time to time by notice to the parties hereto, or the principal corporate trust office of any successor Collateral Agent or Backup Servicer at the address designated by such successor by notice to the parties hereto.</w:t>
      </w:r>
    </w:p>
    <w:p>
      <w:pPr>
        <w:spacing w:after="0" w:line="207" w:lineRule="exact"/>
        <w:rPr>
          <w:sz w:val="20"/>
          <w:szCs w:val="20"/>
          <w:color w:val="auto"/>
        </w:rPr>
      </w:pPr>
    </w:p>
    <w:p>
      <w:pPr>
        <w:ind w:left="660" w:firstLine="648"/>
        <w:spacing w:after="0" w:line="253" w:lineRule="auto"/>
        <w:rPr>
          <w:sz w:val="20"/>
          <w:szCs w:val="20"/>
          <w:color w:val="auto"/>
        </w:rPr>
      </w:pPr>
      <w:r>
        <w:rPr>
          <w:rFonts w:ascii="Arial" w:cs="Arial" w:eastAsia="Arial" w:hAnsi="Arial"/>
          <w:sz w:val="22"/>
          <w:szCs w:val="22"/>
          <w:u w:val="single" w:color="auto"/>
          <w:color w:val="0000FF"/>
        </w:rPr>
        <w:t>Corresponding Tenor: With respect to any Available Tenor, as applicable, either a tenor (including overnight) or an interest payment period having approximately the same length (disregarding business day adjustment) as such Available Tenor.</w:t>
      </w:r>
    </w:p>
    <w:p>
      <w:pPr>
        <w:spacing w:after="0" w:line="212" w:lineRule="exact"/>
        <w:rPr>
          <w:sz w:val="20"/>
          <w:szCs w:val="20"/>
          <w:color w:val="auto"/>
        </w:rPr>
      </w:pPr>
    </w:p>
    <w:p>
      <w:pPr>
        <w:jc w:val="both"/>
        <w:ind w:left="700" w:right="120" w:firstLine="648"/>
        <w:spacing w:after="0" w:line="263" w:lineRule="auto"/>
        <w:rPr>
          <w:sz w:val="20"/>
          <w:szCs w:val="20"/>
          <w:color w:val="auto"/>
        </w:rPr>
      </w:pPr>
      <w:r>
        <w:rPr>
          <w:rFonts w:ascii="Arial" w:cs="Arial" w:eastAsia="Arial" w:hAnsi="Arial"/>
          <w:sz w:val="22"/>
          <w:szCs w:val="22"/>
          <w:u w:val="single" w:color="auto"/>
          <w:color w:val="auto"/>
        </w:rPr>
        <w:t>Credit Acceptance</w:t>
      </w:r>
      <w:r>
        <w:rPr>
          <w:rFonts w:ascii="Arial" w:cs="Arial" w:eastAsia="Arial" w:hAnsi="Arial"/>
          <w:sz w:val="22"/>
          <w:szCs w:val="22"/>
          <w:color w:val="auto"/>
        </w:rPr>
        <w:t>: Credit Acceptance Corporation, a Michigan corporation, and its successors and permitted assigns.</w:t>
      </w:r>
    </w:p>
    <w:p>
      <w:pPr>
        <w:spacing w:after="0" w:line="215" w:lineRule="exact"/>
        <w:rPr>
          <w:sz w:val="20"/>
          <w:szCs w:val="20"/>
          <w:color w:val="auto"/>
        </w:rPr>
      </w:pPr>
    </w:p>
    <w:p>
      <w:pPr>
        <w:jc w:val="both"/>
        <w:ind w:left="700" w:right="140" w:firstLine="648"/>
        <w:spacing w:after="0" w:line="343" w:lineRule="auto"/>
        <w:rPr>
          <w:sz w:val="20"/>
          <w:szCs w:val="20"/>
          <w:color w:val="auto"/>
        </w:rPr>
      </w:pPr>
      <w:r>
        <w:rPr>
          <w:rFonts w:ascii="Arial" w:cs="Arial" w:eastAsia="Arial" w:hAnsi="Arial"/>
          <w:sz w:val="19"/>
          <w:szCs w:val="19"/>
          <w:u w:val="single" w:color="auto"/>
          <w:color w:val="auto"/>
        </w:rPr>
        <w:t>Credit Acceptance Payment Account</w:t>
      </w:r>
      <w:r>
        <w:rPr>
          <w:rFonts w:ascii="Arial" w:cs="Arial" w:eastAsia="Arial" w:hAnsi="Arial"/>
          <w:sz w:val="19"/>
          <w:szCs w:val="19"/>
          <w:color w:val="auto"/>
        </w:rPr>
        <w:t>: The clearinghouse account number xxxxxx5068 maintained by Credit Acceptance at Comerica Bank, where payments received in respect of all loans and contracts are deposited or paid.</w:t>
      </w:r>
    </w:p>
    <w:p>
      <w:pPr>
        <w:spacing w:after="0" w:line="131" w:lineRule="exact"/>
        <w:rPr>
          <w:sz w:val="20"/>
          <w:szCs w:val="20"/>
          <w:color w:val="auto"/>
        </w:rPr>
      </w:pPr>
    </w:p>
    <w:p>
      <w:pPr>
        <w:jc w:val="both"/>
        <w:ind w:left="700" w:right="140" w:firstLine="648"/>
        <w:spacing w:after="0" w:line="253" w:lineRule="auto"/>
        <w:rPr>
          <w:sz w:val="20"/>
          <w:szCs w:val="20"/>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That certain Sixth Amended and Restated Credit Acceptance Corporation Credit Agreement, dated as of June 23, 2014, with Comerica Bank, as administrative agent and collateral agent, Credit Acceptance, as borrower, and the banks signatory, as amended from time to time.</w:t>
      </w:r>
    </w:p>
    <w:p>
      <w:pPr>
        <w:spacing w:after="0" w:line="226" w:lineRule="exact"/>
        <w:rPr>
          <w:sz w:val="20"/>
          <w:szCs w:val="20"/>
          <w:color w:val="auto"/>
        </w:rPr>
      </w:pPr>
    </w:p>
    <w:p>
      <w:pPr>
        <w:jc w:val="both"/>
        <w:ind w:left="700" w:right="140" w:firstLine="648"/>
        <w:spacing w:after="0" w:line="288" w:lineRule="auto"/>
        <w:rPr>
          <w:sz w:val="20"/>
          <w:szCs w:val="20"/>
          <w:color w:val="auto"/>
        </w:rPr>
      </w:pPr>
      <w:r>
        <w:rPr>
          <w:rFonts w:ascii="Arial" w:cs="Arial" w:eastAsia="Arial" w:hAnsi="Arial"/>
          <w:sz w:val="19"/>
          <w:szCs w:val="19"/>
          <w:u w:val="single" w:color="auto"/>
          <w:color w:val="auto"/>
        </w:rPr>
        <w:t>Credit Agreement Subsidiary</w:t>
      </w:r>
      <w:r>
        <w:rPr>
          <w:rFonts w:ascii="Arial" w:cs="Arial" w:eastAsia="Arial" w:hAnsi="Arial"/>
          <w:sz w:val="19"/>
          <w:szCs w:val="19"/>
          <w:color w:val="auto"/>
        </w:rPr>
        <w:t>: Any other corporation, association, joint stock company, business trust, limited liability company, partnership (whether general or limited) or any other business entity of which more than fifty percent (50%) of the outstanding voting stock, share capital, membership or other interests, as the case may be, is owned either directly or indirectly by any Person or one or more of its Credit Agreement Subsidiaries, or the management of which is otherwise controlled, directly, or indirectly through one or more intermediaries, or both, by any Person and/or its Credit Agreement Subsidiaries. Unless otherwise specified to the contrary in the Credit Agreement or the context otherwise requires, Credit Agreement Subsidiary(ies) shall refer to each Person which is a Credit Agreement Subsidiary of Credit Acceptance and “100% Credit Agreement Subsidiary(ies)” shall mean any Credit Agreement Subsidiary whose stock or partnership, membership or other Equity Interests (other than directors’ or qualifying shares or other interests to the extent required under applicable law) are owned directly or indirectly entirely by Credit Acceptance.</w:t>
      </w:r>
    </w:p>
    <w:p>
      <w:pPr>
        <w:spacing w:after="0" w:line="200" w:lineRule="exact"/>
        <w:rPr>
          <w:sz w:val="20"/>
          <w:szCs w:val="20"/>
          <w:color w:val="auto"/>
        </w:rPr>
      </w:pPr>
    </w:p>
    <w:p>
      <w:pPr>
        <w:jc w:val="both"/>
        <w:ind w:left="700" w:right="120" w:firstLine="648"/>
        <w:spacing w:after="0" w:line="302" w:lineRule="auto"/>
        <w:rPr>
          <w:sz w:val="20"/>
          <w:szCs w:val="20"/>
          <w:color w:val="auto"/>
        </w:rPr>
      </w:pPr>
      <w:r>
        <w:rPr>
          <w:rFonts w:ascii="Arial" w:cs="Arial" w:eastAsia="Arial" w:hAnsi="Arial"/>
          <w:sz w:val="19"/>
          <w:szCs w:val="19"/>
          <w:u w:val="single" w:color="auto"/>
          <w:color w:val="auto"/>
        </w:rPr>
        <w:t>Credit Guidelines</w:t>
      </w:r>
      <w:r>
        <w:rPr>
          <w:rFonts w:ascii="Arial" w:cs="Arial" w:eastAsia="Arial" w:hAnsi="Arial"/>
          <w:sz w:val="19"/>
          <w:szCs w:val="19"/>
          <w:color w:val="auto"/>
        </w:rPr>
        <w:t>: The policies of Credit Acceptance, attached hereto as Schedule I, relating to the extension of credit to automobile and light-duty truck dealers and consumers in respect of retail installment contracts for the sale of automobiles and/or light-duty trucks, including, without limitation, the policies for determining the creditworthiness of such dealers and consumers and, relating to this extension of credit to such dealers and consumers,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14</w:t>
      </w:r>
    </w:p>
    <w:p>
      <w:pPr>
        <w:sectPr>
          <w:pgSz w:w="11900" w:h="16838" w:orient="portrait"/>
          <w:cols w:equalWidth="0" w:num="1">
            <w:col w:w="11220"/>
          </w:cols>
          <w:pgMar w:left="320" w:top="1374" w:right="359" w:bottom="1440" w:gutter="0" w:footer="0" w:header="0"/>
        </w:sectPr>
      </w:pPr>
    </w:p>
    <w:bookmarkStart w:id="282" w:name="page283"/>
    <w:bookmarkEnd w:id="282"/>
    <w:p>
      <w:pPr>
        <w:ind w:left="700"/>
        <w:spacing w:after="0" w:line="287" w:lineRule="auto"/>
        <w:rPr>
          <w:sz w:val="20"/>
          <w:szCs w:val="20"/>
          <w:color w:val="auto"/>
        </w:rPr>
      </w:pPr>
      <w:r>
        <w:rPr>
          <w:rFonts w:ascii="Arial" w:cs="Arial" w:eastAsia="Arial" w:hAnsi="Arial"/>
          <w:sz w:val="21"/>
          <w:szCs w:val="21"/>
          <w:color w:val="auto"/>
        </w:rPr>
        <w:t>maintenance of installment sale contracts, as in effect on the Cut-Off Date and as amended from time to time in accordance herewith and with the other Transaction Documents, or in accordance with Applicable Law.</w:t>
      </w:r>
    </w:p>
    <w:p>
      <w:pPr>
        <w:spacing w:after="0" w:line="192"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Custodian</w:t>
      </w:r>
      <w:r>
        <w:rPr>
          <w:rFonts w:ascii="Arial" w:cs="Arial" w:eastAsia="Arial" w:hAnsi="Arial"/>
          <w:sz w:val="22"/>
          <w:szCs w:val="22"/>
          <w:color w:val="auto"/>
        </w:rPr>
        <w:t>: Credit Acceptance, or any person appointed as Custodian pursuant to Section</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6.2(d).</w:t>
      </w:r>
    </w:p>
    <w:p>
      <w:pPr>
        <w:spacing w:after="0" w:line="229" w:lineRule="exact"/>
        <w:rPr>
          <w:sz w:val="20"/>
          <w:szCs w:val="20"/>
          <w:color w:val="auto"/>
        </w:rPr>
      </w:pPr>
    </w:p>
    <w:p>
      <w:pPr>
        <w:ind w:left="700" w:right="2280" w:firstLine="648"/>
        <w:spacing w:after="0" w:line="263" w:lineRule="auto"/>
        <w:rPr>
          <w:sz w:val="20"/>
          <w:szCs w:val="20"/>
          <w:color w:val="auto"/>
        </w:rPr>
      </w:pPr>
      <w:r>
        <w:rPr>
          <w:rFonts w:ascii="Arial" w:cs="Arial" w:eastAsia="Arial" w:hAnsi="Arial"/>
          <w:sz w:val="22"/>
          <w:szCs w:val="22"/>
          <w:u w:val="single" w:color="auto"/>
          <w:color w:val="auto"/>
        </w:rPr>
        <w:t>Cut-Off Date</w:t>
      </w:r>
      <w:r>
        <w:rPr>
          <w:rFonts w:ascii="Arial" w:cs="Arial" w:eastAsia="Arial" w:hAnsi="Arial"/>
          <w:sz w:val="22"/>
          <w:szCs w:val="22"/>
          <w:color w:val="auto"/>
        </w:rPr>
        <w:t>: With respect to the Initial Funding, August 31, 2003, and with respect to each Incremental Funding, the related Additional Cut-Off Date.</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u w:val="single" w:color="auto"/>
          <w:color w:val="0000FF"/>
        </w:rPr>
        <w:t xml:space="preserve">Daily Simple SOFR: For any day, SOFR, with the conventions for this rate (which will include a lookback) being established by the Deal Agent in accordance with the conventions for this rate selected or recommended by the Relevant Governmental Body for determining “Daily Simple SOFR” </w:t>
      </w:r>
      <w:r>
        <w:rPr>
          <w:rFonts w:ascii="Arial" w:cs="Arial" w:eastAsia="Arial" w:hAnsi="Arial"/>
          <w:sz w:val="22"/>
          <w:szCs w:val="22"/>
          <w:u w:val="single" w:color="auto"/>
          <w:color w:val="007F00"/>
        </w:rPr>
        <w:t>for U.S. dollar-denominated syndicated or bilateral credit facilities</w:t>
      </w:r>
      <w:r>
        <w:rPr>
          <w:rFonts w:ascii="Arial" w:cs="Arial" w:eastAsia="Arial" w:hAnsi="Arial"/>
          <w:sz w:val="22"/>
          <w:szCs w:val="22"/>
          <w:u w:val="single" w:color="auto"/>
          <w:color w:val="0000FF"/>
        </w:rPr>
        <w:t>; provided, that if the Deal Agent decides that any such convention is not administratively feasible for the Deal Agent, then the Deal Agent may establish another convention in its reasonable discretion.</w:t>
      </w:r>
    </w:p>
    <w:p>
      <w:pPr>
        <w:spacing w:after="0" w:line="232" w:lineRule="exact"/>
        <w:rPr>
          <w:sz w:val="20"/>
          <w:szCs w:val="20"/>
          <w:color w:val="auto"/>
        </w:rPr>
      </w:pPr>
    </w:p>
    <w:p>
      <w:pPr>
        <w:jc w:val="both"/>
        <w:ind w:left="700" w:right="20" w:firstLine="648"/>
        <w:spacing w:after="0" w:line="253" w:lineRule="auto"/>
        <w:rPr>
          <w:sz w:val="20"/>
          <w:szCs w:val="20"/>
          <w:color w:val="auto"/>
        </w:rPr>
      </w:pPr>
      <w:r>
        <w:rPr>
          <w:rFonts w:ascii="Arial" w:cs="Arial" w:eastAsia="Arial" w:hAnsi="Arial"/>
          <w:sz w:val="22"/>
          <w:szCs w:val="22"/>
          <w:u w:val="single" w:color="auto"/>
          <w:color w:val="auto"/>
        </w:rPr>
        <w:t>Date of Processing</w:t>
      </w:r>
      <w:r>
        <w:rPr>
          <w:rFonts w:ascii="Arial" w:cs="Arial" w:eastAsia="Arial" w:hAnsi="Arial"/>
          <w:sz w:val="22"/>
          <w:szCs w:val="22"/>
          <w:color w:val="auto"/>
        </w:rPr>
        <w:t>: With respect to any transaction relating to a Loan or a Contract, the date on which such transaction is first recorded on the Servicer’s master servicing file (without regard to the effective date of such recordation).</w:t>
      </w:r>
    </w:p>
    <w:p>
      <w:pPr>
        <w:spacing w:after="0" w:line="212"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Deal Agent</w:t>
      </w:r>
      <w:r>
        <w:rPr>
          <w:rFonts w:ascii="Arial" w:cs="Arial" w:eastAsia="Arial" w:hAnsi="Arial"/>
          <w:sz w:val="22"/>
          <w:szCs w:val="22"/>
          <w:color w:val="auto"/>
        </w:rPr>
        <w:t>: Defined in the preamble of this Agreement.</w:t>
      </w:r>
    </w:p>
    <w:p>
      <w:pPr>
        <w:spacing w:after="0" w:line="260" w:lineRule="exact"/>
        <w:rPr>
          <w:sz w:val="20"/>
          <w:szCs w:val="20"/>
          <w:color w:val="auto"/>
        </w:rPr>
      </w:pPr>
    </w:p>
    <w:p>
      <w:pPr>
        <w:jc w:val="both"/>
        <w:ind w:left="700" w:right="20" w:firstLine="648"/>
        <w:spacing w:after="0" w:line="263" w:lineRule="auto"/>
        <w:rPr>
          <w:sz w:val="20"/>
          <w:szCs w:val="20"/>
          <w:color w:val="auto"/>
        </w:rPr>
      </w:pPr>
      <w:r>
        <w:rPr>
          <w:rFonts w:ascii="Arial" w:cs="Arial" w:eastAsia="Arial" w:hAnsi="Arial"/>
          <w:sz w:val="22"/>
          <w:szCs w:val="22"/>
          <w:u w:val="single" w:color="auto"/>
          <w:color w:val="auto"/>
        </w:rPr>
        <w:t>Dealer</w:t>
      </w:r>
      <w:r>
        <w:rPr>
          <w:rFonts w:ascii="Arial" w:cs="Arial" w:eastAsia="Arial" w:hAnsi="Arial"/>
          <w:sz w:val="22"/>
          <w:szCs w:val="22"/>
          <w:color w:val="auto"/>
        </w:rPr>
        <w:t>: Any new or used automobile and/or light-duty truck dealer who has entered into a Dealer Agreement or a Purchase Agreement with Credit Acceptance.</w:t>
      </w:r>
    </w:p>
    <w:p>
      <w:pPr>
        <w:spacing w:after="0" w:line="215" w:lineRule="exact"/>
        <w:rPr>
          <w:sz w:val="20"/>
          <w:szCs w:val="20"/>
          <w:color w:val="auto"/>
        </w:rPr>
      </w:pPr>
    </w:p>
    <w:p>
      <w:pPr>
        <w:jc w:val="both"/>
        <w:ind w:left="700" w:right="20" w:firstLine="648"/>
        <w:spacing w:after="0" w:line="263" w:lineRule="auto"/>
        <w:rPr>
          <w:sz w:val="20"/>
          <w:szCs w:val="20"/>
          <w:color w:val="auto"/>
        </w:rPr>
      </w:pPr>
      <w:r>
        <w:rPr>
          <w:rFonts w:ascii="Arial" w:cs="Arial" w:eastAsia="Arial" w:hAnsi="Arial"/>
          <w:sz w:val="22"/>
          <w:szCs w:val="22"/>
          <w:u w:val="single" w:color="auto"/>
          <w:color w:val="auto"/>
        </w:rPr>
        <w:t>Dealer Agreement</w:t>
      </w:r>
      <w:r>
        <w:rPr>
          <w:rFonts w:ascii="Arial" w:cs="Arial" w:eastAsia="Arial" w:hAnsi="Arial"/>
          <w:sz w:val="22"/>
          <w:szCs w:val="22"/>
          <w:color w:val="auto"/>
        </w:rPr>
        <w:t>: Each agreement between Credit Acceptance and any Dealer, in substantially the form attached hereto as Exhibit H.</w:t>
      </w:r>
    </w:p>
    <w:p>
      <w:pPr>
        <w:spacing w:after="0" w:line="296"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Dealer Collections</w:t>
      </w:r>
      <w:r>
        <w:rPr>
          <w:rFonts w:ascii="Arial" w:cs="Arial" w:eastAsia="Arial" w:hAnsi="Arial"/>
          <w:sz w:val="22"/>
          <w:szCs w:val="22"/>
          <w:color w:val="auto"/>
        </w:rPr>
        <w:t xml:space="preserve">: Defined in Section 2.9(d). </w:t>
      </w:r>
      <w:r>
        <w:rPr>
          <w:rFonts w:ascii="Arial" w:cs="Arial" w:eastAsia="Arial" w:hAnsi="Arial"/>
          <w:sz w:val="22"/>
          <w:szCs w:val="22"/>
          <w:u w:val="single" w:color="auto"/>
          <w:color w:val="auto"/>
        </w:rPr>
        <w:t>Dealer Collections Purchase</w:t>
      </w:r>
      <w:r>
        <w:rPr>
          <w:rFonts w:ascii="Arial" w:cs="Arial" w:eastAsia="Arial" w:hAnsi="Arial"/>
          <w:sz w:val="22"/>
          <w:szCs w:val="22"/>
          <w:color w:val="auto"/>
        </w:rPr>
        <w:t>: Defined in</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Section 6.15(a) </w:t>
      </w:r>
      <w:r>
        <w:rPr>
          <w:rFonts w:ascii="Arial" w:cs="Arial" w:eastAsia="Arial" w:hAnsi="Arial"/>
          <w:sz w:val="22"/>
          <w:szCs w:val="22"/>
          <w:u w:val="single" w:color="auto"/>
          <w:color w:val="auto"/>
        </w:rPr>
        <w:t>Dealer Collections Purchase Agreement</w:t>
      </w:r>
      <w:r>
        <w:rPr>
          <w:rFonts w:ascii="Arial" w:cs="Arial" w:eastAsia="Arial" w:hAnsi="Arial"/>
          <w:sz w:val="22"/>
          <w:szCs w:val="22"/>
          <w:color w:val="auto"/>
        </w:rPr>
        <w:t xml:space="preserve">: Defined in Section 6.15(a). </w:t>
      </w:r>
      <w:r>
        <w:rPr>
          <w:rFonts w:ascii="Arial" w:cs="Arial" w:eastAsia="Arial" w:hAnsi="Arial"/>
          <w:sz w:val="22"/>
          <w:szCs w:val="22"/>
          <w:u w:val="single" w:color="auto"/>
          <w:color w:val="auto"/>
        </w:rPr>
        <w:t>Dealer</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Collections Purchase Price</w:t>
      </w:r>
      <w:r>
        <w:rPr>
          <w:rFonts w:ascii="Arial" w:cs="Arial" w:eastAsia="Arial" w:hAnsi="Arial"/>
          <w:sz w:val="22"/>
          <w:szCs w:val="22"/>
          <w:color w:val="auto"/>
        </w:rPr>
        <w:t>: Defined in Section 6.15(b)</w:t>
      </w:r>
    </w:p>
    <w:p>
      <w:pPr>
        <w:spacing w:after="0" w:line="125" w:lineRule="exact"/>
        <w:rPr>
          <w:sz w:val="20"/>
          <w:szCs w:val="20"/>
          <w:color w:val="auto"/>
        </w:rPr>
      </w:pPr>
    </w:p>
    <w:p>
      <w:pPr>
        <w:jc w:val="both"/>
        <w:ind w:left="700" w:right="20" w:firstLine="648"/>
        <w:spacing w:after="0" w:line="250" w:lineRule="auto"/>
        <w:rPr>
          <w:sz w:val="20"/>
          <w:szCs w:val="20"/>
          <w:color w:val="auto"/>
        </w:rPr>
      </w:pPr>
      <w:r>
        <w:rPr>
          <w:rFonts w:ascii="Arial" w:cs="Arial" w:eastAsia="Arial" w:hAnsi="Arial"/>
          <w:sz w:val="22"/>
          <w:szCs w:val="22"/>
          <w:u w:val="single" w:color="auto"/>
          <w:color w:val="auto"/>
        </w:rPr>
        <w:t>Dealer Concentration Limit</w:t>
      </w:r>
      <w:r>
        <w:rPr>
          <w:rFonts w:ascii="Arial" w:cs="Arial" w:eastAsia="Arial" w:hAnsi="Arial"/>
          <w:sz w:val="22"/>
          <w:szCs w:val="22"/>
          <w:color w:val="auto"/>
        </w:rPr>
        <w:t>: With respect to any Dealer and any date of determination, an amount equal to, in the case of Dealer Loans made to such Dealer, 4.0% of the aggregate Net Loan Balance of all Dealer Loans (measured as of the end of the immediately preceding Collection Period) that are included in the Collateral as of such date of determination.</w:t>
      </w:r>
    </w:p>
    <w:p>
      <w:pPr>
        <w:spacing w:after="0" w:line="228" w:lineRule="exact"/>
        <w:rPr>
          <w:sz w:val="20"/>
          <w:szCs w:val="20"/>
          <w:color w:val="auto"/>
        </w:rPr>
      </w:pPr>
    </w:p>
    <w:p>
      <w:pPr>
        <w:jc w:val="both"/>
        <w:ind w:left="700" w:right="20" w:firstLine="648"/>
        <w:spacing w:after="0" w:line="250" w:lineRule="auto"/>
        <w:rPr>
          <w:sz w:val="20"/>
          <w:szCs w:val="20"/>
          <w:color w:val="auto"/>
        </w:rPr>
      </w:pPr>
      <w:r>
        <w:rPr>
          <w:rFonts w:ascii="Arial" w:cs="Arial" w:eastAsia="Arial" w:hAnsi="Arial"/>
          <w:sz w:val="22"/>
          <w:szCs w:val="22"/>
          <w:u w:val="single" w:color="auto"/>
          <w:color w:val="auto"/>
        </w:rPr>
        <w:t>Dealer Loan</w:t>
      </w:r>
      <w:r>
        <w:rPr>
          <w:rFonts w:ascii="Arial" w:cs="Arial" w:eastAsia="Arial" w:hAnsi="Arial"/>
          <w:sz w:val="22"/>
          <w:szCs w:val="22"/>
          <w:color w:val="auto"/>
        </w:rPr>
        <w:t>: All amounts advanced by Credit Acceptance under a Dealer Agreement and payable from Collections; provided, however, that the term “Dealer Loan” shall, for the purposes of this Agreement, include only those Dealer Loans identified from time to time on Schedule IV hereto, as amended from time to time in accordance herewith.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15</w:t>
      </w:r>
    </w:p>
    <w:p>
      <w:pPr>
        <w:sectPr>
          <w:pgSz w:w="11900" w:h="16838" w:orient="portrait"/>
          <w:cols w:equalWidth="0" w:num="1">
            <w:col w:w="11140"/>
          </w:cols>
          <w:pgMar w:left="320" w:top="1428" w:right="439" w:bottom="1440" w:gutter="0" w:footer="0" w:header="0"/>
        </w:sectPr>
      </w:pPr>
    </w:p>
    <w:bookmarkStart w:id="283" w:name="page284"/>
    <w:bookmarkEnd w:id="283"/>
    <w:p>
      <w:pPr>
        <w:jc w:val="both"/>
        <w:ind w:left="700" w:right="160" w:firstLine="648"/>
        <w:spacing w:after="0" w:line="302" w:lineRule="auto"/>
        <w:rPr>
          <w:sz w:val="20"/>
          <w:szCs w:val="20"/>
          <w:color w:val="auto"/>
        </w:rPr>
      </w:pPr>
      <w:r>
        <w:rPr>
          <w:rFonts w:ascii="Arial" w:cs="Arial" w:eastAsia="Arial" w:hAnsi="Arial"/>
          <w:sz w:val="19"/>
          <w:szCs w:val="19"/>
          <w:u w:val="single" w:color="auto"/>
          <w:color w:val="auto"/>
        </w:rPr>
        <w:t>Dealer Loan Contract</w:t>
      </w:r>
      <w:r>
        <w:rPr>
          <w:rFonts w:ascii="Arial" w:cs="Arial" w:eastAsia="Arial" w:hAnsi="Arial"/>
          <w:sz w:val="19"/>
          <w:szCs w:val="19"/>
          <w:color w:val="auto"/>
        </w:rPr>
        <w:t>: Each retail installment sales contract, in substantially one of the forms attached hereto as Exhibit I, relating to the sale of an automobile or light-duty truck originated by a Dealer and in which Credit Acceptance shall have been granted a security interest and shall have acquired certain other rights under a related Dealer Agreement to secure the related dealer’s obligation to repay one or more related Dealer Loans.</w:t>
      </w:r>
    </w:p>
    <w:p>
      <w:pPr>
        <w:spacing w:after="0" w:line="183" w:lineRule="exact"/>
        <w:rPr>
          <w:sz w:val="20"/>
          <w:szCs w:val="20"/>
          <w:color w:val="auto"/>
        </w:rPr>
      </w:pPr>
    </w:p>
    <w:p>
      <w:pPr>
        <w:ind w:left="740" w:right="460"/>
        <w:spacing w:after="0" w:line="263" w:lineRule="auto"/>
        <w:rPr>
          <w:sz w:val="20"/>
          <w:szCs w:val="20"/>
          <w:color w:val="auto"/>
        </w:rPr>
      </w:pPr>
      <w:r>
        <w:rPr>
          <w:rFonts w:ascii="Arial" w:cs="Arial" w:eastAsia="Arial" w:hAnsi="Arial"/>
          <w:sz w:val="22"/>
          <w:szCs w:val="22"/>
          <w:u w:val="single" w:color="auto"/>
          <w:color w:val="auto"/>
        </w:rPr>
        <w:t>Determination Date</w:t>
      </w:r>
      <w:r>
        <w:rPr>
          <w:rFonts w:ascii="Arial" w:cs="Arial" w:eastAsia="Arial" w:hAnsi="Arial"/>
          <w:sz w:val="22"/>
          <w:szCs w:val="22"/>
          <w:color w:val="auto"/>
        </w:rPr>
        <w:t>: The fourth (4</w:t>
      </w:r>
      <w:r>
        <w:rPr>
          <w:rFonts w:ascii="Arial" w:cs="Arial" w:eastAsia="Arial" w:hAnsi="Arial"/>
          <w:sz w:val="12"/>
          <w:szCs w:val="12"/>
          <w:color w:val="auto"/>
        </w:rPr>
        <w:t>th</w:t>
      </w:r>
      <w:r>
        <w:rPr>
          <w:rFonts w:ascii="Arial" w:cs="Arial" w:eastAsia="Arial" w:hAnsi="Arial"/>
          <w:sz w:val="22"/>
          <w:szCs w:val="22"/>
          <w:color w:val="auto"/>
        </w:rPr>
        <w:t xml:space="preserve">) Business Day prior to the related Payment Date. </w:t>
      </w:r>
      <w:r>
        <w:rPr>
          <w:rFonts w:ascii="Arial" w:cs="Arial" w:eastAsia="Arial" w:hAnsi="Arial"/>
          <w:sz w:val="22"/>
          <w:szCs w:val="22"/>
          <w:u w:val="single" w:color="auto"/>
          <w:color w:val="auto"/>
        </w:rPr>
        <w:t>Dissenting Lender</w:t>
      </w:r>
      <w:r>
        <w:rPr>
          <w:rFonts w:ascii="Arial" w:cs="Arial" w:eastAsia="Arial" w:hAnsi="Arial"/>
          <w:sz w:val="22"/>
          <w:szCs w:val="22"/>
          <w:color w:val="auto"/>
        </w:rPr>
        <w:t>: Defined in Section 2.1(b)(ii).</w:t>
      </w:r>
    </w:p>
    <w:p>
      <w:pPr>
        <w:spacing w:after="0" w:line="202" w:lineRule="exact"/>
        <w:rPr>
          <w:sz w:val="20"/>
          <w:szCs w:val="20"/>
          <w:color w:val="auto"/>
        </w:rPr>
      </w:pPr>
    </w:p>
    <w:p>
      <w:pPr>
        <w:ind w:left="740" w:right="260"/>
        <w:spacing w:after="0" w:line="263" w:lineRule="auto"/>
        <w:rPr>
          <w:sz w:val="20"/>
          <w:szCs w:val="20"/>
          <w:color w:val="auto"/>
        </w:rPr>
      </w:pPr>
      <w:r>
        <w:rPr>
          <w:rFonts w:ascii="Arial" w:cs="Arial" w:eastAsia="Arial" w:hAnsi="Arial"/>
          <w:sz w:val="22"/>
          <w:szCs w:val="22"/>
          <w:u w:val="single" w:color="auto"/>
          <w:color w:val="0000FF"/>
        </w:rPr>
        <w:t>Early Opt-in Election: If the then-current Benchmark is USD LIBOR, the occurrence of the joint election in writing by the Deal Agent and the Borrower to trigger a fallback from USD LIBOR.</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FF0000"/>
        </w:rPr>
        <w:t>Early Opt-in Election</w:t>
      </w:r>
      <w:r>
        <w:rPr>
          <w:rFonts w:ascii="Arial" w:cs="Arial" w:eastAsia="Arial" w:hAnsi="Arial"/>
          <w:sz w:val="22"/>
          <w:szCs w:val="22"/>
          <w:color w:val="FF0000"/>
        </w:rPr>
        <w:t>: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-69215</wp:posOffset>
            </wp:positionV>
            <wp:extent cx="22885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7" w:lineRule="exact"/>
        <w:rPr>
          <w:sz w:val="20"/>
          <w:szCs w:val="20"/>
          <w:color w:val="auto"/>
        </w:rPr>
      </w:pPr>
    </w:p>
    <w:p>
      <w:pPr>
        <w:jc w:val="both"/>
        <w:ind w:left="1300" w:firstLine="23"/>
        <w:spacing w:after="0" w:line="250" w:lineRule="auto"/>
        <w:tabs>
          <w:tab w:leader="none" w:pos="1625" w:val="left"/>
        </w:tabs>
        <w:numPr>
          <w:ilvl w:val="0"/>
          <w:numId w:val="274"/>
        </w:numPr>
        <w:rPr>
          <w:rFonts w:ascii="Arial" w:cs="Arial" w:eastAsia="Arial" w:hAnsi="Arial"/>
          <w:sz w:val="22"/>
          <w:szCs w:val="22"/>
          <w:color w:val="FF0000"/>
          <w:strike w:val="1"/>
        </w:rPr>
      </w:pPr>
      <w:r>
        <w:rPr>
          <w:rFonts w:ascii="Arial" w:cs="Arial" w:eastAsia="Arial" w:hAnsi="Arial"/>
          <w:sz w:val="22"/>
          <w:szCs w:val="22"/>
          <w:color w:val="FF0000"/>
          <w:strike w:val="1"/>
        </w:rPr>
        <w:t xml:space="preserve">determination by the Deal Agent that at least five currently outstanding </w:t>
      </w:r>
      <w:r>
        <w:rPr>
          <w:rFonts w:ascii="Arial" w:cs="Arial" w:eastAsia="Arial" w:hAnsi="Arial"/>
          <w:sz w:val="22"/>
          <w:szCs w:val="22"/>
          <w:color w:val="007F00"/>
          <w:strike w:val="1"/>
        </w:rPr>
        <w:t>U.S. dollar- denominated syndicated or</w:t>
      </w:r>
      <w:r>
        <w:rPr>
          <w:rFonts w:ascii="Arial" w:cs="Arial" w:eastAsia="Arial" w:hAnsi="Arial"/>
          <w:sz w:val="22"/>
          <w:szCs w:val="22"/>
          <w:color w:val="FF0000"/>
          <w:strike w:val="1"/>
        </w:rPr>
        <w:t xml:space="preserve"> </w:t>
      </w:r>
      <w:r>
        <w:rPr>
          <w:rFonts w:ascii="Arial" w:cs="Arial" w:eastAsia="Arial" w:hAnsi="Arial"/>
          <w:sz w:val="22"/>
          <w:szCs w:val="22"/>
          <w:color w:val="007F00"/>
          <w:strike w:val="1"/>
        </w:rPr>
        <w:t xml:space="preserve">bilateral credit facilities </w:t>
      </w:r>
      <w:r>
        <w:rPr>
          <w:rFonts w:ascii="Arial" w:cs="Arial" w:eastAsia="Arial" w:hAnsi="Arial"/>
          <w:sz w:val="22"/>
          <w:szCs w:val="22"/>
          <w:color w:val="FF0000"/>
          <w:strike w:val="1"/>
        </w:rPr>
        <w:t>similar to the facility under this Agreement at such time contain (as a result of amendment</w:t>
      </w:r>
      <w:r>
        <w:rPr>
          <w:rFonts w:ascii="Arial" w:cs="Arial" w:eastAsia="Arial" w:hAnsi="Arial"/>
          <w:sz w:val="22"/>
          <w:szCs w:val="22"/>
          <w:color w:val="007F00"/>
          <w:strike w:val="1"/>
        </w:rPr>
        <w:t xml:space="preserve"> </w:t>
      </w:r>
      <w:r>
        <w:rPr>
          <w:rFonts w:ascii="Arial" w:cs="Arial" w:eastAsia="Arial" w:hAnsi="Arial"/>
          <w:sz w:val="22"/>
          <w:szCs w:val="22"/>
          <w:color w:val="FF0000"/>
          <w:strike w:val="1"/>
        </w:rPr>
        <w:t>or as originally executed) as a benchmark interest rate, in lieu of the LIBOR Rate, a new benchmark interest rate to replace the LIBOR Rate, and</w:t>
      </w:r>
    </w:p>
    <w:p>
      <w:pPr>
        <w:spacing w:after="0" w:line="228" w:lineRule="exact"/>
        <w:rPr>
          <w:rFonts w:ascii="Arial" w:cs="Arial" w:eastAsia="Arial" w:hAnsi="Arial"/>
          <w:sz w:val="22"/>
          <w:szCs w:val="22"/>
          <w:color w:val="FF0000"/>
          <w:strike w:val="1"/>
        </w:rPr>
      </w:pPr>
    </w:p>
    <w:p>
      <w:pPr>
        <w:ind w:left="1300" w:firstLine="23"/>
        <w:spacing w:after="0" w:line="263" w:lineRule="auto"/>
        <w:tabs>
          <w:tab w:leader="none" w:pos="1634" w:val="left"/>
        </w:tabs>
        <w:numPr>
          <w:ilvl w:val="0"/>
          <w:numId w:val="274"/>
        </w:numPr>
        <w:rPr>
          <w:rFonts w:ascii="Arial" w:cs="Arial" w:eastAsia="Arial" w:hAnsi="Arial"/>
          <w:sz w:val="22"/>
          <w:szCs w:val="22"/>
          <w:color w:val="FF0000"/>
          <w:strike w:val="1"/>
        </w:rPr>
      </w:pPr>
      <w:r>
        <w:rPr>
          <w:rFonts w:ascii="Arial" w:cs="Arial" w:eastAsia="Arial" w:hAnsi="Arial"/>
          <w:sz w:val="22"/>
          <w:szCs w:val="22"/>
          <w:color w:val="FF0000"/>
          <w:strike w:val="1"/>
        </w:rPr>
        <w:t xml:space="preserve">the election </w:t>
      </w:r>
      <w:r>
        <w:rPr>
          <w:rFonts w:ascii="Arial" w:cs="Arial" w:eastAsia="Arial" w:hAnsi="Arial"/>
          <w:sz w:val="22"/>
          <w:szCs w:val="22"/>
          <w:color w:val="007F00"/>
          <w:strike w:val="1"/>
        </w:rPr>
        <w:t>by the Deal Agent to</w:t>
      </w:r>
      <w:r>
        <w:rPr>
          <w:rFonts w:ascii="Arial" w:cs="Arial" w:eastAsia="Arial" w:hAnsi="Arial"/>
          <w:sz w:val="22"/>
          <w:szCs w:val="22"/>
          <w:color w:val="FF0000"/>
          <w:strike w:val="1"/>
        </w:rPr>
        <w:t xml:space="preserve"> declare that an Early Opt-in Election has occurred and the provision by the Deal Agent of written notice of such election to the Borrower and Credit Acceptance.</w:t>
      </w:r>
    </w:p>
    <w:p>
      <w:pPr>
        <w:spacing w:after="0" w:line="215" w:lineRule="exact"/>
        <w:rPr>
          <w:sz w:val="20"/>
          <w:szCs w:val="20"/>
          <w:color w:val="auto"/>
        </w:rPr>
      </w:pPr>
    </w:p>
    <w:p>
      <w:pPr>
        <w:ind w:left="700" w:right="120" w:firstLine="648"/>
        <w:spacing w:after="0" w:line="263" w:lineRule="auto"/>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date this Sixth Amended and Restated Loan and Security Agreement becomes effective, which shall be June 23, 2016.</w:t>
      </w:r>
    </w:p>
    <w:p>
      <w:pPr>
        <w:spacing w:after="0" w:line="202"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Eligible Contract</w:t>
      </w:r>
      <w:r>
        <w:rPr>
          <w:rFonts w:ascii="Arial" w:cs="Arial" w:eastAsia="Arial" w:hAnsi="Arial"/>
          <w:sz w:val="22"/>
          <w:szCs w:val="22"/>
          <w:color w:val="auto"/>
        </w:rPr>
        <w:t>: Each Eligible Dealer Loan Contract and each Eligible Purchased Loan Contract.</w:t>
      </w: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Eligible Dealer Agreement</w:t>
      </w:r>
      <w:r>
        <w:rPr>
          <w:rFonts w:ascii="Arial" w:cs="Arial" w:eastAsia="Arial" w:hAnsi="Arial"/>
          <w:sz w:val="22"/>
          <w:szCs w:val="22"/>
          <w:color w:val="auto"/>
        </w:rPr>
        <w:t>: Each Dealer Agreement:</w:t>
      </w:r>
    </w:p>
    <w:p>
      <w:pPr>
        <w:spacing w:after="0" w:line="247" w:lineRule="exact"/>
        <w:rPr>
          <w:sz w:val="20"/>
          <w:szCs w:val="20"/>
          <w:color w:val="auto"/>
        </w:rPr>
      </w:pPr>
    </w:p>
    <w:p>
      <w:pPr>
        <w:ind w:left="700" w:right="140" w:firstLine="640"/>
        <w:spacing w:after="0" w:line="263" w:lineRule="auto"/>
        <w:tabs>
          <w:tab w:leader="none" w:pos="1952" w:val="left"/>
        </w:tabs>
        <w:numPr>
          <w:ilvl w:val="0"/>
          <w:numId w:val="275"/>
        </w:numPr>
        <w:rPr>
          <w:rFonts w:ascii="Arial" w:cs="Arial" w:eastAsia="Arial" w:hAnsi="Arial"/>
          <w:sz w:val="22"/>
          <w:szCs w:val="22"/>
          <w:color w:val="auto"/>
        </w:rPr>
      </w:pPr>
      <w:r>
        <w:rPr>
          <w:rFonts w:ascii="Arial" w:cs="Arial" w:eastAsia="Arial" w:hAnsi="Arial"/>
          <w:sz w:val="22"/>
          <w:szCs w:val="22"/>
          <w:color w:val="auto"/>
        </w:rPr>
        <w:t>which was originated by the Originator in material compliance with all applicable requirements of law and which complies in all material respects with all applicable requirements of law;</w:t>
      </w:r>
    </w:p>
    <w:p>
      <w:pPr>
        <w:spacing w:after="0" w:line="296" w:lineRule="exact"/>
        <w:rPr>
          <w:rFonts w:ascii="Arial" w:cs="Arial" w:eastAsia="Arial" w:hAnsi="Arial"/>
          <w:sz w:val="22"/>
          <w:szCs w:val="22"/>
          <w:color w:val="auto"/>
        </w:rPr>
      </w:pPr>
    </w:p>
    <w:p>
      <w:pPr>
        <w:jc w:val="both"/>
        <w:ind w:left="700" w:right="100" w:firstLine="640"/>
        <w:spacing w:after="0" w:line="248" w:lineRule="auto"/>
        <w:tabs>
          <w:tab w:leader="none" w:pos="1951" w:val="left"/>
        </w:tabs>
        <w:numPr>
          <w:ilvl w:val="0"/>
          <w:numId w:val="275"/>
        </w:numPr>
        <w:rPr>
          <w:rFonts w:ascii="Arial" w:cs="Arial" w:eastAsia="Arial" w:hAnsi="Arial"/>
          <w:sz w:val="22"/>
          <w:szCs w:val="22"/>
          <w:color w:val="auto"/>
        </w:rPr>
      </w:pPr>
      <w:r>
        <w:rPr>
          <w:rFonts w:ascii="Arial" w:cs="Arial" w:eastAsia="Arial" w:hAnsi="Arial"/>
          <w:sz w:val="22"/>
          <w:szCs w:val="22"/>
          <w:color w:val="auto"/>
        </w:rPr>
        <w:t>with respect to which all material consents, licenses, approvals or authorizations of, or registrations or declarations with, any Governmental Authority required to be obtained, effected or given by the Borrower, Credit Acceptance or the Servicer in connection with the origination of such Dealer Agreement or the execution, delivery and performance by the Borrower, Credit Acceptance or the Servicer of such Dealer Agreement have been duly obtained, effected or given and are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16</w:t>
      </w:r>
    </w:p>
    <w:p>
      <w:pPr>
        <w:sectPr>
          <w:pgSz w:w="11900" w:h="16838" w:orient="portrait"/>
          <w:cols w:equalWidth="0" w:num="1">
            <w:col w:w="11240"/>
          </w:cols>
          <w:pgMar w:left="320" w:top="1428" w:right="339" w:bottom="1440" w:gutter="0" w:footer="0" w:header="0"/>
        </w:sectPr>
      </w:pPr>
    </w:p>
    <w:bookmarkStart w:id="284" w:name="page285"/>
    <w:bookmarkEnd w:id="284"/>
    <w:p>
      <w:pPr>
        <w:ind w:left="120" w:right="40" w:firstLine="644"/>
        <w:spacing w:after="0" w:line="263" w:lineRule="auto"/>
        <w:tabs>
          <w:tab w:leader="none" w:pos="1303"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as to which at the time of the transfer of rights thereunder to the Collateral Agent and the Secured Parties, the Borrower will have good and marketable title thereto, free and clear of all Liens;</w:t>
      </w:r>
    </w:p>
    <w:p>
      <w:pPr>
        <w:spacing w:after="0" w:line="215" w:lineRule="exact"/>
        <w:rPr>
          <w:rFonts w:ascii="Arial" w:cs="Arial" w:eastAsia="Arial" w:hAnsi="Arial"/>
          <w:sz w:val="22"/>
          <w:szCs w:val="22"/>
          <w:color w:val="auto"/>
        </w:rPr>
      </w:pPr>
    </w:p>
    <w:p>
      <w:pPr>
        <w:ind w:left="120" w:right="40" w:firstLine="644"/>
        <w:spacing w:after="0" w:line="263" w:lineRule="auto"/>
        <w:tabs>
          <w:tab w:leader="none" w:pos="1305" w:val="left"/>
        </w:tabs>
        <w:numPr>
          <w:ilvl w:val="0"/>
          <w:numId w:val="276"/>
        </w:numPr>
        <w:rPr>
          <w:rFonts w:ascii="Arial" w:cs="Arial" w:eastAsia="Arial" w:hAnsi="Arial"/>
          <w:sz w:val="22"/>
          <w:szCs w:val="22"/>
          <w:color w:val="auto"/>
        </w:rPr>
      </w:pPr>
      <w:r>
        <w:rPr>
          <w:rFonts w:ascii="Arial" w:cs="Arial" w:eastAsia="Arial" w:hAnsi="Arial"/>
          <w:sz w:val="22"/>
          <w:szCs w:val="22"/>
          <w:color w:val="auto"/>
        </w:rPr>
        <w:t>the Borrower’s rights under which have been the subject of a valid grant by the Borrower of a first priority perfected security interest in such rights and in the proceeds thereof in favor of the Collateral Agent;</w:t>
      </w:r>
    </w:p>
    <w:p>
      <w:pPr>
        <w:spacing w:after="0" w:line="201" w:lineRule="exact"/>
        <w:rPr>
          <w:rFonts w:ascii="Arial" w:cs="Arial" w:eastAsia="Arial" w:hAnsi="Arial"/>
          <w:sz w:val="22"/>
          <w:szCs w:val="22"/>
          <w:color w:val="auto"/>
        </w:rPr>
      </w:pPr>
    </w:p>
    <w:p>
      <w:pPr>
        <w:jc w:val="both"/>
        <w:ind w:left="120" w:firstLine="644"/>
        <w:spacing w:after="0" w:line="247" w:lineRule="auto"/>
        <w:tabs>
          <w:tab w:leader="none" w:pos="1309" w:val="left"/>
        </w:tabs>
        <w:numPr>
          <w:ilvl w:val="0"/>
          <w:numId w:val="276"/>
        </w:numPr>
        <w:rPr>
          <w:rFonts w:ascii="Arial" w:cs="Arial" w:eastAsia="Arial" w:hAnsi="Arial"/>
          <w:sz w:val="22"/>
          <w:szCs w:val="22"/>
          <w:color w:val="auto"/>
        </w:rPr>
      </w:pPr>
      <w:r>
        <w:rPr>
          <w:rFonts w:ascii="Arial" w:cs="Arial" w:eastAsia="Arial" w:hAnsi="Arial"/>
          <w:sz w:val="22"/>
          <w:szCs w:val="22"/>
          <w:color w:val="auto"/>
        </w:rPr>
        <w:t>which will at all times be the legal, valid and binding obligation of the Dealer party thereto (it being understood that recourse for such payment obligation shall be limited to the extent set forth in the Dealer Agreement), enforceable against such Dealer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233" w:lineRule="exact"/>
        <w:rPr>
          <w:rFonts w:ascii="Arial" w:cs="Arial" w:eastAsia="Arial" w:hAnsi="Arial"/>
          <w:sz w:val="22"/>
          <w:szCs w:val="22"/>
          <w:color w:val="auto"/>
        </w:rPr>
      </w:pPr>
    </w:p>
    <w:p>
      <w:pPr>
        <w:ind w:left="1300" w:hanging="536"/>
        <w:spacing w:after="0"/>
        <w:tabs>
          <w:tab w:leader="none" w:pos="130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which constitutes either a “general intangible” or “tangible chattel paper” under and as defined in Article 9 of the</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UCC;</w:t>
      </w:r>
    </w:p>
    <w:p>
      <w:pPr>
        <w:spacing w:after="0" w:line="228" w:lineRule="exact"/>
        <w:rPr>
          <w:rFonts w:ascii="Arial" w:cs="Arial" w:eastAsia="Arial" w:hAnsi="Arial"/>
          <w:sz w:val="19"/>
          <w:szCs w:val="19"/>
          <w:color w:val="auto"/>
        </w:rPr>
      </w:pPr>
    </w:p>
    <w:p>
      <w:pPr>
        <w:ind w:left="120" w:right="40" w:firstLine="644"/>
        <w:spacing w:after="0" w:line="263" w:lineRule="auto"/>
        <w:tabs>
          <w:tab w:leader="none" w:pos="1303" w:val="left"/>
        </w:tabs>
        <w:numPr>
          <w:ilvl w:val="0"/>
          <w:numId w:val="276"/>
        </w:numPr>
        <w:rPr>
          <w:rFonts w:ascii="Arial" w:cs="Arial" w:eastAsia="Arial" w:hAnsi="Arial"/>
          <w:sz w:val="22"/>
          <w:szCs w:val="22"/>
          <w:color w:val="auto"/>
        </w:rPr>
      </w:pPr>
      <w:r>
        <w:rPr>
          <w:rFonts w:ascii="Arial" w:cs="Arial" w:eastAsia="Arial" w:hAnsi="Arial"/>
          <w:sz w:val="22"/>
          <w:szCs w:val="22"/>
          <w:color w:val="auto"/>
        </w:rPr>
        <w:t>which, at the time of the pledge of the rights to payment thereunder to the Collateral Agent and the Secured Parties, no right to payment thereunder has been waived or modified;</w:t>
      </w:r>
    </w:p>
    <w:p>
      <w:pPr>
        <w:spacing w:after="0" w:line="215" w:lineRule="exact"/>
        <w:rPr>
          <w:rFonts w:ascii="Arial" w:cs="Arial" w:eastAsia="Arial" w:hAnsi="Arial"/>
          <w:sz w:val="22"/>
          <w:szCs w:val="22"/>
          <w:color w:val="auto"/>
        </w:rPr>
      </w:pPr>
    </w:p>
    <w:p>
      <w:pPr>
        <w:jc w:val="both"/>
        <w:ind w:left="120" w:right="20" w:firstLine="644"/>
        <w:spacing w:after="0" w:line="253" w:lineRule="auto"/>
        <w:tabs>
          <w:tab w:leader="none" w:pos="1297" w:val="left"/>
        </w:tabs>
        <w:numPr>
          <w:ilvl w:val="0"/>
          <w:numId w:val="276"/>
        </w:numPr>
        <w:rPr>
          <w:rFonts w:ascii="Arial" w:cs="Arial" w:eastAsia="Arial" w:hAnsi="Arial"/>
          <w:sz w:val="22"/>
          <w:szCs w:val="22"/>
          <w:color w:val="auto"/>
        </w:rPr>
      </w:pPr>
      <w:r>
        <w:rPr>
          <w:rFonts w:ascii="Arial" w:cs="Arial" w:eastAsia="Arial" w:hAnsi="Arial"/>
          <w:sz w:val="22"/>
          <w:szCs w:val="22"/>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225" w:lineRule="exact"/>
        <w:rPr>
          <w:rFonts w:ascii="Arial" w:cs="Arial" w:eastAsia="Arial" w:hAnsi="Arial"/>
          <w:sz w:val="22"/>
          <w:szCs w:val="22"/>
          <w:color w:val="auto"/>
        </w:rPr>
      </w:pPr>
    </w:p>
    <w:p>
      <w:pPr>
        <w:jc w:val="both"/>
        <w:ind w:left="120" w:right="20" w:firstLine="644"/>
        <w:spacing w:after="0" w:line="253" w:lineRule="auto"/>
        <w:tabs>
          <w:tab w:leader="none" w:pos="1297"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as to which Credit Acceptance, the Servicer and the Borrower have satisfied in all material respects all obligations to be fulfilled at the time the rights to payment thereunder are pledged to the Collateral Agent and the Secured Parties;</w:t>
      </w:r>
    </w:p>
    <w:p>
      <w:pPr>
        <w:spacing w:after="0" w:line="212" w:lineRule="exact"/>
        <w:rPr>
          <w:rFonts w:ascii="Arial" w:cs="Arial" w:eastAsia="Arial" w:hAnsi="Arial"/>
          <w:sz w:val="22"/>
          <w:szCs w:val="22"/>
          <w:color w:val="auto"/>
        </w:rPr>
      </w:pPr>
    </w:p>
    <w:p>
      <w:pPr>
        <w:ind w:left="120" w:right="40" w:firstLine="644"/>
        <w:spacing w:after="0" w:line="263" w:lineRule="auto"/>
        <w:tabs>
          <w:tab w:leader="none" w:pos="1303"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as to which the related Dealer has not asserted that such agreement is void or unenforceable in any legal proceedings not being contested in good faith;</w:t>
      </w:r>
    </w:p>
    <w:p>
      <w:pPr>
        <w:spacing w:after="0" w:line="215" w:lineRule="exact"/>
        <w:rPr>
          <w:rFonts w:ascii="Arial" w:cs="Arial" w:eastAsia="Arial" w:hAnsi="Arial"/>
          <w:sz w:val="22"/>
          <w:szCs w:val="22"/>
          <w:color w:val="auto"/>
        </w:rPr>
      </w:pPr>
    </w:p>
    <w:p>
      <w:pPr>
        <w:ind w:left="1400" w:hanging="636"/>
        <w:spacing w:after="0"/>
        <w:tabs>
          <w:tab w:leader="none" w:pos="140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as to which the related Dealer is not known to be bankrupt or insolvent;</w:t>
      </w:r>
    </w:p>
    <w:p>
      <w:pPr>
        <w:spacing w:after="0" w:line="246" w:lineRule="exact"/>
        <w:rPr>
          <w:rFonts w:ascii="Arial" w:cs="Arial" w:eastAsia="Arial" w:hAnsi="Arial"/>
          <w:sz w:val="22"/>
          <w:szCs w:val="22"/>
          <w:color w:val="auto"/>
        </w:rPr>
      </w:pPr>
    </w:p>
    <w:p>
      <w:pPr>
        <w:ind w:left="1300" w:hanging="536"/>
        <w:spacing w:after="0"/>
        <w:tabs>
          <w:tab w:leader="none" w:pos="130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as to which the related Dealer is not an Affiliate of or an executive of Credit Acceptance or an Affiliate of Credit</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Acceptance;</w:t>
      </w:r>
    </w:p>
    <w:p>
      <w:pPr>
        <w:spacing w:after="0" w:line="93" w:lineRule="exact"/>
        <w:rPr>
          <w:rFonts w:ascii="Arial" w:cs="Arial" w:eastAsia="Arial" w:hAnsi="Arial"/>
          <w:sz w:val="19"/>
          <w:szCs w:val="19"/>
          <w:color w:val="auto"/>
        </w:rPr>
      </w:pPr>
    </w:p>
    <w:p>
      <w:pPr>
        <w:ind w:left="1400" w:hanging="636"/>
        <w:spacing w:after="0"/>
        <w:tabs>
          <w:tab w:leader="none" w:pos="1400"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as to which the related Dealer is located in the United States; and</w:t>
      </w:r>
    </w:p>
    <w:p>
      <w:pPr>
        <w:spacing w:after="0" w:line="111" w:lineRule="exact"/>
        <w:rPr>
          <w:rFonts w:ascii="Arial" w:cs="Arial" w:eastAsia="Arial" w:hAnsi="Arial"/>
          <w:sz w:val="22"/>
          <w:szCs w:val="22"/>
          <w:color w:val="auto"/>
        </w:rPr>
      </w:pPr>
    </w:p>
    <w:p>
      <w:pPr>
        <w:jc w:val="both"/>
        <w:ind w:left="120" w:right="40" w:firstLine="644"/>
        <w:spacing w:after="0" w:line="343" w:lineRule="auto"/>
        <w:tabs>
          <w:tab w:leader="none" w:pos="1303"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as to which none of Credit Acceptance, the Servicer or the Borrower has done anything, at the time of its pledge to the Collateral Agent and Secured Parties, to materially impair the rights of the Collateral Agent and Secured Parties therein.</w:t>
      </w:r>
    </w:p>
    <w:p>
      <w:pPr>
        <w:spacing w:after="0" w:line="10" w:lineRule="exact"/>
        <w:rPr>
          <w:sz w:val="20"/>
          <w:szCs w:val="20"/>
          <w:color w:val="auto"/>
        </w:rPr>
      </w:pPr>
    </w:p>
    <w:p>
      <w:pPr>
        <w:ind w:left="120" w:right="40" w:firstLine="648"/>
        <w:spacing w:after="0" w:line="263" w:lineRule="auto"/>
        <w:rPr>
          <w:sz w:val="20"/>
          <w:szCs w:val="20"/>
          <w:color w:val="auto"/>
        </w:rPr>
      </w:pPr>
      <w:r>
        <w:rPr>
          <w:rFonts w:ascii="Arial" w:cs="Arial" w:eastAsia="Arial" w:hAnsi="Arial"/>
          <w:sz w:val="22"/>
          <w:szCs w:val="22"/>
          <w:u w:val="single" w:color="auto"/>
          <w:color w:val="auto"/>
        </w:rPr>
        <w:t>Eligible Dealer Loan Contract</w:t>
      </w:r>
      <w:r>
        <w:rPr>
          <w:rFonts w:ascii="Arial" w:cs="Arial" w:eastAsia="Arial" w:hAnsi="Arial"/>
          <w:sz w:val="22"/>
          <w:szCs w:val="22"/>
          <w:color w:val="auto"/>
        </w:rPr>
        <w:t>: Each Dealer Loan Contract which at the time of its pledge by the applicable Dealer to the Originator, satisfied the requirements for “Qualifying</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17</w:t>
      </w:r>
    </w:p>
    <w:p>
      <w:pPr>
        <w:sectPr>
          <w:pgSz w:w="11900" w:h="16838" w:orient="portrait"/>
          <w:cols w:equalWidth="0" w:num="1">
            <w:col w:w="11120"/>
          </w:cols>
          <w:pgMar w:left="320" w:top="1428" w:right="459" w:bottom="1440" w:gutter="0" w:footer="0" w:header="0"/>
        </w:sectPr>
      </w:pPr>
    </w:p>
    <w:bookmarkStart w:id="285" w:name="page286"/>
    <w:bookmarkEnd w:id="285"/>
    <w:p>
      <w:pPr>
        <w:jc w:val="both"/>
        <w:ind w:left="100" w:right="60"/>
        <w:spacing w:after="0" w:line="253" w:lineRule="auto"/>
        <w:rPr>
          <w:sz w:val="20"/>
          <w:szCs w:val="20"/>
          <w:color w:val="auto"/>
        </w:rPr>
      </w:pPr>
      <w:r>
        <w:rPr>
          <w:rFonts w:ascii="Arial" w:cs="Arial" w:eastAsia="Arial" w:hAnsi="Arial"/>
          <w:sz w:val="22"/>
          <w:szCs w:val="22"/>
          <w:color w:val="auto"/>
        </w:rPr>
        <w:t>Receivable” set forth in the related Dealer Agreement; provided, however, that an Eligible Dealer Loan Contract that has become subject to the payment of a Release Price pursuant to Section 4.5(a) hereof (regardless of whether such payment is actually paid) shall not constitute an “Eligible Contract.”</w:t>
      </w:r>
    </w:p>
    <w:p>
      <w:pPr>
        <w:spacing w:after="0" w:line="226"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auto"/>
        </w:rPr>
        <w:t>Eligible Dealer Loans</w:t>
      </w:r>
      <w:r>
        <w:rPr>
          <w:rFonts w:ascii="Arial" w:cs="Arial" w:eastAsia="Arial" w:hAnsi="Arial"/>
          <w:sz w:val="19"/>
          <w:szCs w:val="19"/>
          <w:color w:val="auto"/>
        </w:rPr>
        <w:t>: Each Dealer Loan, at the time of its transfer to the Borrower under the Contribution Agreement:</w:t>
      </w:r>
    </w:p>
    <w:p>
      <w:pPr>
        <w:spacing w:after="0" w:line="281" w:lineRule="exact"/>
        <w:rPr>
          <w:sz w:val="20"/>
          <w:szCs w:val="20"/>
          <w:color w:val="auto"/>
        </w:rPr>
      </w:pPr>
    </w:p>
    <w:p>
      <w:pPr>
        <w:ind w:left="100" w:right="40" w:firstLine="646"/>
        <w:spacing w:after="0" w:line="263" w:lineRule="auto"/>
        <w:tabs>
          <w:tab w:leader="none" w:pos="129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which has arisen under a Dealer Agreement that, on the day the Dealer Loan was created, qualified as an Eligible Dealer Agreement;</w:t>
      </w:r>
    </w:p>
    <w:p>
      <w:pPr>
        <w:spacing w:after="0" w:line="215" w:lineRule="exact"/>
        <w:rPr>
          <w:rFonts w:ascii="Arial" w:cs="Arial" w:eastAsia="Arial" w:hAnsi="Arial"/>
          <w:sz w:val="22"/>
          <w:szCs w:val="22"/>
          <w:color w:val="auto"/>
        </w:rPr>
      </w:pPr>
    </w:p>
    <w:p>
      <w:pPr>
        <w:ind w:left="100" w:right="60" w:firstLine="646"/>
        <w:spacing w:after="0" w:line="263" w:lineRule="auto"/>
        <w:tabs>
          <w:tab w:leader="none" w:pos="1297"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which was created in material compliance with all applicable requirements of law and pursuant to an Eligible Dealer Agreement which complies in all material respects with all applicable requirements of law;</w:t>
      </w:r>
    </w:p>
    <w:p>
      <w:pPr>
        <w:spacing w:after="0" w:line="201" w:lineRule="exact"/>
        <w:rPr>
          <w:rFonts w:ascii="Arial" w:cs="Arial" w:eastAsia="Arial" w:hAnsi="Arial"/>
          <w:sz w:val="22"/>
          <w:szCs w:val="22"/>
          <w:color w:val="auto"/>
        </w:rPr>
      </w:pPr>
    </w:p>
    <w:p>
      <w:pPr>
        <w:jc w:val="both"/>
        <w:ind w:left="100" w:right="40" w:firstLine="646"/>
        <w:spacing w:after="0" w:line="250" w:lineRule="auto"/>
        <w:tabs>
          <w:tab w:leader="none" w:pos="129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with respect to which all material consents, licenses, approvals or authorizations of, or registrations or declarations with, any Governmental Authority required to be obtained, effected or given by the Borrower, in connection with the creation of such Dealer Loan or the execution, delivery and performance by the Borrower, of the related Eligible Dealer Agreement have been duly obtained, effected or given and are in full force and effect;</w:t>
      </w:r>
    </w:p>
    <w:p>
      <w:pPr>
        <w:spacing w:after="0" w:line="228" w:lineRule="exact"/>
        <w:rPr>
          <w:rFonts w:ascii="Arial" w:cs="Arial" w:eastAsia="Arial" w:hAnsi="Arial"/>
          <w:sz w:val="22"/>
          <w:szCs w:val="22"/>
          <w:color w:val="auto"/>
        </w:rPr>
      </w:pPr>
    </w:p>
    <w:p>
      <w:pPr>
        <w:ind w:left="100" w:right="60" w:firstLine="646"/>
        <w:spacing w:after="0" w:line="263" w:lineRule="auto"/>
        <w:tabs>
          <w:tab w:leader="none" w:pos="1297"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as to which at the time of the pledge of such Dealer Loan to the Collateral Agent and the Secured Parties, the Borrower will have good and marketable title thereto, free and clear of all Liens;</w:t>
      </w:r>
    </w:p>
    <w:p>
      <w:pPr>
        <w:spacing w:after="0" w:line="215" w:lineRule="exact"/>
        <w:rPr>
          <w:rFonts w:ascii="Arial" w:cs="Arial" w:eastAsia="Arial" w:hAnsi="Arial"/>
          <w:sz w:val="22"/>
          <w:szCs w:val="22"/>
          <w:color w:val="auto"/>
        </w:rPr>
      </w:pPr>
    </w:p>
    <w:p>
      <w:pPr>
        <w:jc w:val="both"/>
        <w:ind w:left="100" w:right="40" w:firstLine="646"/>
        <w:spacing w:after="0" w:line="253" w:lineRule="auto"/>
        <w:tabs>
          <w:tab w:leader="none" w:pos="129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as to which a valid first priority perfected security interest in such Dealer Loan, related security and in the Proceeds thereof has been granted by the Originator in favor of the Borrower and by the Borrower in favor of the Collateral Agent;</w:t>
      </w:r>
    </w:p>
    <w:p>
      <w:pPr>
        <w:spacing w:after="0" w:line="212" w:lineRule="exact"/>
        <w:rPr>
          <w:rFonts w:ascii="Arial" w:cs="Arial" w:eastAsia="Arial" w:hAnsi="Arial"/>
          <w:sz w:val="22"/>
          <w:szCs w:val="22"/>
          <w:color w:val="auto"/>
        </w:rPr>
      </w:pPr>
    </w:p>
    <w:p>
      <w:pPr>
        <w:jc w:val="both"/>
        <w:ind w:left="100" w:firstLine="646"/>
        <w:spacing w:after="0" w:line="247" w:lineRule="auto"/>
        <w:tabs>
          <w:tab w:leader="none" w:pos="1301"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which will at all times be the legal, valid and binding payment obligation of the Obligor thereof (it being understood that recourse for such payment obligation shall be limited to the extent set forth in the Dealer Agreement),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233" w:lineRule="exact"/>
        <w:rPr>
          <w:rFonts w:ascii="Arial" w:cs="Arial" w:eastAsia="Arial" w:hAnsi="Arial"/>
          <w:sz w:val="22"/>
          <w:szCs w:val="22"/>
          <w:color w:val="auto"/>
        </w:rPr>
      </w:pPr>
    </w:p>
    <w:p>
      <w:pPr>
        <w:ind w:left="1300" w:hanging="554"/>
        <w:spacing w:after="0"/>
        <w:tabs>
          <w:tab w:leader="none" w:pos="130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which constitutes a “general intangible” under and as defined in Article 9 of the UCC as in effect in the relevant</w:t>
      </w:r>
    </w:p>
    <w:p>
      <w:pPr>
        <w:spacing w:after="0" w:line="55"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State;</w:t>
      </w:r>
    </w:p>
    <w:p>
      <w:pPr>
        <w:spacing w:after="0" w:line="228" w:lineRule="exact"/>
        <w:rPr>
          <w:rFonts w:ascii="Arial" w:cs="Arial" w:eastAsia="Arial" w:hAnsi="Arial"/>
          <w:sz w:val="19"/>
          <w:szCs w:val="19"/>
          <w:color w:val="auto"/>
        </w:rPr>
      </w:pPr>
    </w:p>
    <w:p>
      <w:pPr>
        <w:ind w:left="1380" w:hanging="634"/>
        <w:spacing w:after="0"/>
        <w:tabs>
          <w:tab w:leader="none" w:pos="13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60" w:lineRule="exact"/>
        <w:rPr>
          <w:rFonts w:ascii="Arial" w:cs="Arial" w:eastAsia="Arial" w:hAnsi="Arial"/>
          <w:sz w:val="22"/>
          <w:szCs w:val="22"/>
          <w:color w:val="auto"/>
        </w:rPr>
      </w:pPr>
    </w:p>
    <w:p>
      <w:pPr>
        <w:ind w:left="1380" w:hanging="634"/>
        <w:spacing w:after="0"/>
        <w:tabs>
          <w:tab w:leader="none" w:pos="13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which is denominated and payable in United States dollars;</w:t>
      </w:r>
    </w:p>
    <w:p>
      <w:pPr>
        <w:spacing w:after="0" w:line="260" w:lineRule="exact"/>
        <w:rPr>
          <w:rFonts w:ascii="Arial" w:cs="Arial" w:eastAsia="Arial" w:hAnsi="Arial"/>
          <w:sz w:val="22"/>
          <w:szCs w:val="22"/>
          <w:color w:val="auto"/>
        </w:rPr>
      </w:pPr>
    </w:p>
    <w:p>
      <w:pPr>
        <w:ind w:left="1300" w:hanging="554"/>
        <w:spacing w:after="0"/>
        <w:tabs>
          <w:tab w:leader="none" w:pos="1300" w:val="left"/>
        </w:tabs>
        <w:numPr>
          <w:ilvl w:val="0"/>
          <w:numId w:val="277"/>
        </w:numPr>
        <w:rPr>
          <w:rFonts w:ascii="Arial" w:cs="Arial" w:eastAsia="Arial" w:hAnsi="Arial"/>
          <w:sz w:val="19"/>
          <w:szCs w:val="19"/>
          <w:color w:val="auto"/>
        </w:rPr>
      </w:pPr>
      <w:r>
        <w:rPr>
          <w:rFonts w:ascii="Arial" w:cs="Arial" w:eastAsia="Arial" w:hAnsi="Arial"/>
          <w:sz w:val="19"/>
          <w:szCs w:val="19"/>
          <w:color w:val="auto"/>
        </w:rPr>
        <w:t>which, at the time of its pledge to the Collateral Agent and the Secured Parties, has not been waived or modified;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18</w:t>
      </w:r>
    </w:p>
    <w:p>
      <w:pPr>
        <w:sectPr>
          <w:pgSz w:w="11900" w:h="16838" w:orient="portrait"/>
          <w:cols w:equalWidth="0" w:num="1">
            <w:col w:w="11140"/>
          </w:cols>
          <w:pgMar w:left="320" w:top="1428" w:right="439" w:bottom="1440" w:gutter="0" w:footer="0" w:header="0"/>
        </w:sectPr>
      </w:pPr>
    </w:p>
    <w:bookmarkStart w:id="286" w:name="page287"/>
    <w:bookmarkEnd w:id="286"/>
    <w:p>
      <w:pPr>
        <w:jc w:val="both"/>
        <w:ind w:left="120" w:firstLine="644"/>
        <w:spacing w:after="0" w:line="265" w:lineRule="auto"/>
        <w:tabs>
          <w:tab w:leader="none" w:pos="1303" w:val="left"/>
        </w:tabs>
        <w:numPr>
          <w:ilvl w:val="0"/>
          <w:numId w:val="278"/>
        </w:numPr>
        <w:rPr>
          <w:rFonts w:ascii="Arial" w:cs="Arial" w:eastAsia="Arial" w:hAnsi="Arial"/>
          <w:sz w:val="21"/>
          <w:szCs w:val="21"/>
          <w:color w:val="auto"/>
        </w:rPr>
      </w:pPr>
      <w:r>
        <w:rPr>
          <w:rFonts w:ascii="Arial" w:cs="Arial" w:eastAsia="Arial" w:hAnsi="Arial"/>
          <w:sz w:val="21"/>
          <w:szCs w:val="21"/>
          <w:color w:val="auto"/>
        </w:rPr>
        <w:t>which is not subject to any right of rescission (subject to the rights of the related Dealer to repay the outstanding balance of the Dealer Loan and terminate the related Dealer Agreement),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215" w:lineRule="exact"/>
        <w:rPr>
          <w:rFonts w:ascii="Arial" w:cs="Arial" w:eastAsia="Arial" w:hAnsi="Arial"/>
          <w:sz w:val="21"/>
          <w:szCs w:val="21"/>
          <w:color w:val="auto"/>
        </w:rPr>
      </w:pPr>
    </w:p>
    <w:p>
      <w:pPr>
        <w:ind w:left="120" w:firstLine="644"/>
        <w:spacing w:after="0" w:line="263" w:lineRule="auto"/>
        <w:tabs>
          <w:tab w:leader="none" w:pos="1296"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as to which Credit Acceptance, the Servicer and the Borrower have satisfied all material obligations to be fulfilled at the time it is pledged to the Collateral Agent and the Secured Parties;</w:t>
      </w:r>
    </w:p>
    <w:p>
      <w:pPr>
        <w:spacing w:after="0" w:line="201" w:lineRule="exact"/>
        <w:rPr>
          <w:rFonts w:ascii="Arial" w:cs="Arial" w:eastAsia="Arial" w:hAnsi="Arial"/>
          <w:sz w:val="22"/>
          <w:szCs w:val="22"/>
          <w:color w:val="auto"/>
        </w:rPr>
      </w:pPr>
    </w:p>
    <w:p>
      <w:pPr>
        <w:ind w:left="120" w:firstLine="644"/>
        <w:spacing w:after="0" w:line="263" w:lineRule="auto"/>
        <w:tabs>
          <w:tab w:leader="none" w:pos="1296"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as to which the related Dealer has not asserted that the related Dealer Agreement is void or unenforceable in any legal proceeding not being contested in good faith;</w:t>
      </w:r>
    </w:p>
    <w:p>
      <w:pPr>
        <w:spacing w:after="0" w:line="215" w:lineRule="exact"/>
        <w:rPr>
          <w:rFonts w:ascii="Arial" w:cs="Arial" w:eastAsia="Arial" w:hAnsi="Arial"/>
          <w:sz w:val="22"/>
          <w:szCs w:val="22"/>
          <w:color w:val="auto"/>
        </w:rPr>
      </w:pPr>
    </w:p>
    <w:p>
      <w:pPr>
        <w:ind w:left="1400" w:hanging="636"/>
        <w:spacing w:after="0"/>
        <w:tabs>
          <w:tab w:leader="none" w:pos="14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as to which the related Dealer is not known to be bankrupt or insolvent;</w:t>
      </w:r>
    </w:p>
    <w:p>
      <w:pPr>
        <w:spacing w:after="0" w:line="246" w:lineRule="exact"/>
        <w:rPr>
          <w:rFonts w:ascii="Arial" w:cs="Arial" w:eastAsia="Arial" w:hAnsi="Arial"/>
          <w:sz w:val="22"/>
          <w:szCs w:val="22"/>
          <w:color w:val="auto"/>
        </w:rPr>
      </w:pPr>
    </w:p>
    <w:p>
      <w:pPr>
        <w:ind w:left="120" w:firstLine="644"/>
        <w:spacing w:after="0" w:line="343" w:lineRule="auto"/>
        <w:tabs>
          <w:tab w:leader="none" w:pos="1303" w:val="left"/>
        </w:tabs>
        <w:numPr>
          <w:ilvl w:val="0"/>
          <w:numId w:val="278"/>
        </w:numPr>
        <w:rPr>
          <w:rFonts w:ascii="Arial" w:cs="Arial" w:eastAsia="Arial" w:hAnsi="Arial"/>
          <w:sz w:val="19"/>
          <w:szCs w:val="19"/>
          <w:color w:val="auto"/>
        </w:rPr>
      </w:pPr>
      <w:r>
        <w:rPr>
          <w:rFonts w:ascii="Arial" w:cs="Arial" w:eastAsia="Arial" w:hAnsi="Arial"/>
          <w:sz w:val="19"/>
          <w:szCs w:val="19"/>
          <w:color w:val="auto"/>
        </w:rPr>
        <w:t>as to which none of Credit Acceptance, the Servicer nor the Borrower has done anything, at the time of its pledge to the Collateral Agent and the Secured Parties, to impair the rights of the Collateral Agent and the Secured Parties;</w:t>
      </w:r>
    </w:p>
    <w:p>
      <w:pPr>
        <w:spacing w:after="0" w:line="145" w:lineRule="exact"/>
        <w:rPr>
          <w:sz w:val="20"/>
          <w:szCs w:val="20"/>
          <w:color w:val="auto"/>
        </w:rPr>
      </w:pPr>
    </w:p>
    <w:p>
      <w:pPr>
        <w:ind w:left="120" w:firstLine="698"/>
        <w:spacing w:after="0" w:line="263" w:lineRule="auto"/>
        <w:tabs>
          <w:tab w:leader="none" w:pos="1303" w:val="left"/>
        </w:tabs>
        <w:numPr>
          <w:ilvl w:val="1"/>
          <w:numId w:val="279"/>
        </w:numPr>
        <w:rPr>
          <w:rFonts w:ascii="Arial" w:cs="Arial" w:eastAsia="Arial" w:hAnsi="Arial"/>
          <w:sz w:val="22"/>
          <w:szCs w:val="22"/>
          <w:color w:val="auto"/>
        </w:rPr>
      </w:pPr>
      <w:r>
        <w:rPr>
          <w:rFonts w:ascii="Arial" w:cs="Arial" w:eastAsia="Arial" w:hAnsi="Arial"/>
          <w:sz w:val="22"/>
          <w:szCs w:val="22"/>
          <w:color w:val="auto"/>
        </w:rPr>
        <w:t>the proceeds of which were used to finance the purchases of new or used automobiles and/or light-duty trucks and related products;</w:t>
      </w:r>
    </w:p>
    <w:p>
      <w:pPr>
        <w:spacing w:after="0" w:line="215" w:lineRule="exact"/>
        <w:rPr>
          <w:rFonts w:ascii="Arial" w:cs="Arial" w:eastAsia="Arial" w:hAnsi="Arial"/>
          <w:sz w:val="22"/>
          <w:szCs w:val="22"/>
          <w:color w:val="auto"/>
        </w:rPr>
      </w:pPr>
    </w:p>
    <w:p>
      <w:pPr>
        <w:jc w:val="both"/>
        <w:ind w:left="120" w:firstLine="644"/>
        <w:spacing w:after="0" w:line="312" w:lineRule="auto"/>
        <w:tabs>
          <w:tab w:leader="none" w:pos="1303" w:val="left"/>
        </w:tabs>
        <w:numPr>
          <w:ilvl w:val="0"/>
          <w:numId w:val="280"/>
        </w:numPr>
        <w:rPr>
          <w:rFonts w:ascii="Arial" w:cs="Arial" w:eastAsia="Arial" w:hAnsi="Arial"/>
          <w:sz w:val="19"/>
          <w:szCs w:val="19"/>
          <w:color w:val="auto"/>
        </w:rPr>
      </w:pPr>
      <w:r>
        <w:rPr>
          <w:rFonts w:ascii="Arial" w:cs="Arial" w:eastAsia="Arial" w:hAnsi="Arial"/>
          <w:sz w:val="19"/>
          <w:szCs w:val="19"/>
          <w:color w:val="auto"/>
        </w:rPr>
        <w:t>if any Dealer Loan Contract securing such Dealer Loan is an electronic contract, such electronic contract constitutes “electronic chattel paper” and there is only a single “authoritative copy” (as such terms are used in Section 9-105 of the UCC) of such electronic contract and such “authoritative copy” constitutes an Authoritative Electronic Copy; and</w:t>
      </w:r>
    </w:p>
    <w:p>
      <w:pPr>
        <w:spacing w:after="0" w:line="160" w:lineRule="exact"/>
        <w:rPr>
          <w:rFonts w:ascii="Arial" w:cs="Arial" w:eastAsia="Arial" w:hAnsi="Arial"/>
          <w:sz w:val="19"/>
          <w:szCs w:val="19"/>
          <w:color w:val="auto"/>
        </w:rPr>
      </w:pPr>
    </w:p>
    <w:p>
      <w:pPr>
        <w:ind w:left="120" w:firstLine="644"/>
        <w:spacing w:after="0" w:line="263" w:lineRule="auto"/>
        <w:tabs>
          <w:tab w:leader="none" w:pos="1308" w:val="left"/>
        </w:tabs>
        <w:numPr>
          <w:ilvl w:val="0"/>
          <w:numId w:val="280"/>
        </w:numPr>
        <w:rPr>
          <w:rFonts w:ascii="Arial" w:cs="Arial" w:eastAsia="Arial" w:hAnsi="Arial"/>
          <w:sz w:val="22"/>
          <w:szCs w:val="22"/>
          <w:color w:val="auto"/>
        </w:rPr>
      </w:pPr>
      <w:r>
        <w:rPr>
          <w:rFonts w:ascii="Arial" w:cs="Arial" w:eastAsia="Arial" w:hAnsi="Arial"/>
          <w:sz w:val="22"/>
          <w:szCs w:val="22"/>
          <w:color w:val="auto"/>
        </w:rPr>
        <w:t>if any Dealer Loan Contract securing such Dealer Loan constitutes electronic chattel paper, Credit Acceptance shall have “control” of such electronic chattel paper within the meaning of Section 9-105 of the UCC.</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Eligible Loans</w:t>
      </w:r>
      <w:r>
        <w:rPr>
          <w:rFonts w:ascii="Arial" w:cs="Arial" w:eastAsia="Arial" w:hAnsi="Arial"/>
          <w:sz w:val="22"/>
          <w:szCs w:val="22"/>
          <w:color w:val="auto"/>
        </w:rPr>
        <w:t>: The Eligible Dealer Loans and Eligible Purchased Loans.</w:t>
      </w:r>
    </w:p>
    <w:p>
      <w:pPr>
        <w:spacing w:after="0" w:line="247" w:lineRule="exact"/>
        <w:rPr>
          <w:sz w:val="20"/>
          <w:szCs w:val="20"/>
          <w:color w:val="auto"/>
        </w:rPr>
      </w:pPr>
    </w:p>
    <w:p>
      <w:pPr>
        <w:jc w:val="both"/>
        <w:ind w:left="120" w:firstLine="648"/>
        <w:spacing w:after="0" w:line="265" w:lineRule="auto"/>
        <w:rPr>
          <w:sz w:val="20"/>
          <w:szCs w:val="20"/>
          <w:color w:val="auto"/>
        </w:rPr>
      </w:pPr>
      <w:r>
        <w:rPr>
          <w:rFonts w:ascii="Arial" w:cs="Arial" w:eastAsia="Arial" w:hAnsi="Arial"/>
          <w:sz w:val="21"/>
          <w:szCs w:val="21"/>
          <w:u w:val="single" w:color="auto"/>
          <w:color w:val="auto"/>
        </w:rPr>
        <w:t>Eligible Purchased Loan Contract</w:t>
      </w:r>
      <w:r>
        <w:rPr>
          <w:rFonts w:ascii="Arial" w:cs="Arial" w:eastAsia="Arial" w:hAnsi="Arial"/>
          <w:sz w:val="21"/>
          <w:szCs w:val="21"/>
          <w:color w:val="auto"/>
        </w:rPr>
        <w:t>: Each Purchased Loan Contract which at the time of its purchase from the applicable Dealer by the Originator, evidenced an Eligible Purchased Loan; provided, however, that an Eligible Purchased Loan Contract that has become subject to the payment of a Release Price pursuant to Section 4.5(a) hereof (regardless of whether such payment is actually paid) shall not constitute an “Eligible Contract.”</w:t>
      </w:r>
    </w:p>
    <w:p>
      <w:pPr>
        <w:spacing w:after="0" w:line="216" w:lineRule="exact"/>
        <w:rPr>
          <w:sz w:val="20"/>
          <w:szCs w:val="20"/>
          <w:color w:val="auto"/>
        </w:rPr>
      </w:pPr>
    </w:p>
    <w:p>
      <w:pPr>
        <w:jc w:val="both"/>
        <w:ind w:left="120" w:firstLine="648"/>
        <w:spacing w:after="0" w:line="263" w:lineRule="auto"/>
        <w:rPr>
          <w:sz w:val="20"/>
          <w:szCs w:val="20"/>
          <w:color w:val="auto"/>
        </w:rPr>
      </w:pPr>
      <w:r>
        <w:rPr>
          <w:rFonts w:ascii="Arial" w:cs="Arial" w:eastAsia="Arial" w:hAnsi="Arial"/>
          <w:sz w:val="22"/>
          <w:szCs w:val="22"/>
          <w:u w:val="single" w:color="auto"/>
          <w:color w:val="auto"/>
        </w:rPr>
        <w:t>Eligible Purchased Loans</w:t>
      </w:r>
      <w:r>
        <w:rPr>
          <w:rFonts w:ascii="Arial" w:cs="Arial" w:eastAsia="Arial" w:hAnsi="Arial"/>
          <w:sz w:val="22"/>
          <w:szCs w:val="22"/>
          <w:color w:val="auto"/>
        </w:rPr>
        <w:t>: Each Purchased Loan, at the time of its transfer to the Borrower under the Contribution Agreement:</w:t>
      </w:r>
    </w:p>
    <w:p>
      <w:pPr>
        <w:spacing w:after="0" w:line="215" w:lineRule="exact"/>
        <w:rPr>
          <w:sz w:val="20"/>
          <w:szCs w:val="20"/>
          <w:color w:val="auto"/>
        </w:rPr>
      </w:pPr>
    </w:p>
    <w:p>
      <w:pPr>
        <w:jc w:val="both"/>
        <w:ind w:left="120" w:firstLine="644"/>
        <w:spacing w:after="0" w:line="312" w:lineRule="auto"/>
        <w:tabs>
          <w:tab w:leader="none" w:pos="1305" w:val="left"/>
        </w:tabs>
        <w:numPr>
          <w:ilvl w:val="0"/>
          <w:numId w:val="281"/>
        </w:numPr>
        <w:rPr>
          <w:rFonts w:ascii="Arial" w:cs="Arial" w:eastAsia="Arial" w:hAnsi="Arial"/>
          <w:sz w:val="19"/>
          <w:szCs w:val="19"/>
          <w:color w:val="auto"/>
        </w:rPr>
      </w:pPr>
      <w:r>
        <w:rPr>
          <w:rFonts w:ascii="Arial" w:cs="Arial" w:eastAsia="Arial" w:hAnsi="Arial"/>
          <w:sz w:val="19"/>
          <w:szCs w:val="19"/>
          <w:color w:val="auto"/>
        </w:rPr>
        <w:t>which has been originated in the United States by a Dealer for the retail sale of a Financed Vehicle in the ordinary course of such Dealer’s business and is evidenced by a fully and properly executed Purchased Loan Contract of which there is only one original executed copy (or, if such Purchased Loan Contract is an electronic contract, there is only a single</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19</w:t>
      </w:r>
    </w:p>
    <w:p>
      <w:pPr>
        <w:sectPr>
          <w:pgSz w:w="11900" w:h="16838" w:orient="portrait"/>
          <w:cols w:equalWidth="0" w:num="1">
            <w:col w:w="11140"/>
          </w:cols>
          <w:pgMar w:left="320" w:top="1428" w:right="439" w:bottom="1440" w:gutter="0" w:footer="0" w:header="0"/>
        </w:sectPr>
      </w:pPr>
    </w:p>
    <w:bookmarkStart w:id="287" w:name="page288"/>
    <w:bookmarkEnd w:id="287"/>
    <w:p>
      <w:pPr>
        <w:ind w:left="120" w:right="420"/>
        <w:spacing w:after="0" w:line="263" w:lineRule="auto"/>
        <w:rPr>
          <w:sz w:val="20"/>
          <w:szCs w:val="20"/>
          <w:color w:val="auto"/>
        </w:rPr>
      </w:pPr>
      <w:r>
        <w:rPr>
          <w:rFonts w:ascii="Arial" w:cs="Arial" w:eastAsia="Arial" w:hAnsi="Arial"/>
          <w:sz w:val="22"/>
          <w:szCs w:val="22"/>
          <w:color w:val="auto"/>
        </w:rPr>
        <w:t>“authoritative copy” (as such term is used in Section 9-105 of the UCC) of such electronic contract and such “authoritative copy” constitutes an Authoritative Electronic Copy);</w:t>
      </w:r>
    </w:p>
    <w:p>
      <w:pPr>
        <w:spacing w:after="0" w:line="215" w:lineRule="exact"/>
        <w:rPr>
          <w:sz w:val="20"/>
          <w:szCs w:val="20"/>
          <w:color w:val="auto"/>
        </w:rPr>
      </w:pPr>
    </w:p>
    <w:p>
      <w:pPr>
        <w:jc w:val="both"/>
        <w:ind w:left="120" w:right="60" w:firstLine="644"/>
        <w:spacing w:after="0" w:line="253" w:lineRule="auto"/>
        <w:tabs>
          <w:tab w:leader="none" w:pos="1303"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which creates a valid, subsisting, and enforceable first priority security interest for the benefit of the Originator in the Financed Vehicle, which security interest has been, in turn, assigned by the Originator to the Borrower, and by the Borrower to the Collateral Agent;</w:t>
      </w:r>
    </w:p>
    <w:p>
      <w:pPr>
        <w:spacing w:after="0" w:line="212" w:lineRule="exact"/>
        <w:rPr>
          <w:rFonts w:ascii="Arial" w:cs="Arial" w:eastAsia="Arial" w:hAnsi="Arial"/>
          <w:sz w:val="22"/>
          <w:szCs w:val="22"/>
          <w:color w:val="auto"/>
        </w:rPr>
      </w:pPr>
    </w:p>
    <w:p>
      <w:pPr>
        <w:ind w:left="120" w:right="60" w:firstLine="644"/>
        <w:spacing w:after="0" w:line="263" w:lineRule="auto"/>
        <w:tabs>
          <w:tab w:leader="none" w:pos="1305"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which contains customary and enforceable provisions such that the rights and remedies of the holder thereof shall be adequate for realization against the collateral of the benefits of the security;</w:t>
      </w:r>
    </w:p>
    <w:p>
      <w:pPr>
        <w:spacing w:after="0" w:line="215" w:lineRule="exact"/>
        <w:rPr>
          <w:rFonts w:ascii="Arial" w:cs="Arial" w:eastAsia="Arial" w:hAnsi="Arial"/>
          <w:sz w:val="22"/>
          <w:szCs w:val="22"/>
          <w:color w:val="auto"/>
        </w:rPr>
      </w:pPr>
    </w:p>
    <w:p>
      <w:pPr>
        <w:jc w:val="both"/>
        <w:ind w:left="120" w:right="60" w:firstLine="644"/>
        <w:spacing w:after="0" w:line="253" w:lineRule="auto"/>
        <w:tabs>
          <w:tab w:leader="none" w:pos="1304"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which provides for, in the event that such Purchased Loan is prepaid in full, a prepayment that fully pays the Outstanding Balance of such Purchased Loan (net of all rebates for the unused portion of any ancillary products and net of all unearned finance charges);</w:t>
      </w:r>
    </w:p>
    <w:p>
      <w:pPr>
        <w:spacing w:after="0" w:line="212" w:lineRule="exact"/>
        <w:rPr>
          <w:rFonts w:ascii="Arial" w:cs="Arial" w:eastAsia="Arial" w:hAnsi="Arial"/>
          <w:sz w:val="22"/>
          <w:szCs w:val="22"/>
          <w:color w:val="auto"/>
        </w:rPr>
      </w:pPr>
    </w:p>
    <w:p>
      <w:pPr>
        <w:ind w:left="1400" w:hanging="636"/>
        <w:spacing w:after="0"/>
        <w:tabs>
          <w:tab w:leader="none" w:pos="140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which was created in material compliance with all applicable requirements of</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law;</w:t>
      </w:r>
    </w:p>
    <w:p>
      <w:pPr>
        <w:spacing w:after="0" w:line="242" w:lineRule="exact"/>
        <w:rPr>
          <w:sz w:val="20"/>
          <w:szCs w:val="20"/>
          <w:color w:val="auto"/>
        </w:rPr>
      </w:pPr>
    </w:p>
    <w:p>
      <w:pPr>
        <w:ind w:left="1420" w:hanging="656"/>
        <w:spacing w:after="0"/>
        <w:tabs>
          <w:tab w:leader="none" w:pos="142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which will at all times be the legal, valid and binding payment obligation of the</w:t>
      </w:r>
    </w:p>
    <w:p>
      <w:pPr>
        <w:spacing w:after="0" w:line="21" w:lineRule="exact"/>
        <w:rPr>
          <w:sz w:val="20"/>
          <w:szCs w:val="20"/>
          <w:color w:val="auto"/>
        </w:rPr>
      </w:pPr>
    </w:p>
    <w:p>
      <w:pPr>
        <w:jc w:val="both"/>
        <w:ind w:left="120" w:right="40"/>
        <w:spacing w:after="0" w:line="244" w:lineRule="auto"/>
        <w:rPr>
          <w:sz w:val="20"/>
          <w:szCs w:val="20"/>
          <w:color w:val="auto"/>
        </w:rPr>
      </w:pPr>
      <w:r>
        <w:rPr>
          <w:rFonts w:ascii="Arial" w:cs="Arial" w:eastAsia="Arial" w:hAnsi="Arial"/>
          <w:sz w:val="22"/>
          <w:szCs w:val="22"/>
          <w:color w:val="auto"/>
        </w:rPr>
        <w:t>Obligor thereof, enforceable against such Obligor in accordance with its terms, except as such enforceability may be limited by applicable bankruptcy, insolvency, reorganization, moratorium or other similar laws, now or hereafter in effect, affecting the enforcement of creditors’ rights in general and except as such enforceability may be limited by general principles of equity (whether considered in a suit at law or in equity);</w:t>
      </w:r>
    </w:p>
    <w:p>
      <w:pPr>
        <w:spacing w:after="0" w:line="236" w:lineRule="exact"/>
        <w:rPr>
          <w:sz w:val="20"/>
          <w:szCs w:val="20"/>
          <w:color w:val="auto"/>
        </w:rPr>
      </w:pPr>
    </w:p>
    <w:p>
      <w:pPr>
        <w:jc w:val="both"/>
        <w:ind w:left="120" w:right="60" w:firstLine="644"/>
        <w:spacing w:after="0" w:line="253" w:lineRule="auto"/>
        <w:tabs>
          <w:tab w:leader="none" w:pos="1304" w:val="left"/>
        </w:tabs>
        <w:numPr>
          <w:ilvl w:val="0"/>
          <w:numId w:val="284"/>
        </w:numPr>
        <w:rPr>
          <w:rFonts w:ascii="Arial" w:cs="Arial" w:eastAsia="Arial" w:hAnsi="Arial"/>
          <w:sz w:val="22"/>
          <w:szCs w:val="22"/>
          <w:color w:val="auto"/>
        </w:rPr>
      </w:pPr>
      <w:r>
        <w:rPr>
          <w:rFonts w:ascii="Arial" w:cs="Arial" w:eastAsia="Arial" w:hAnsi="Arial"/>
          <w:sz w:val="22"/>
          <w:szCs w:val="22"/>
          <w:color w:val="auto"/>
        </w:rPr>
        <w:t>which is not subject to any right of rescission, setoff, counterclaim or other defense (including the defense of usury), other than defenses arising out of applicable bankruptcy, insolvency, reorganization, moratorium or other similar laws affecting the enforcement of creditors’ rights in general;</w:t>
      </w:r>
    </w:p>
    <w:p>
      <w:pPr>
        <w:spacing w:after="0" w:line="212" w:lineRule="exact"/>
        <w:rPr>
          <w:rFonts w:ascii="Arial" w:cs="Arial" w:eastAsia="Arial" w:hAnsi="Arial"/>
          <w:sz w:val="22"/>
          <w:szCs w:val="22"/>
          <w:color w:val="auto"/>
        </w:rPr>
      </w:pPr>
    </w:p>
    <w:p>
      <w:pPr>
        <w:ind w:left="120" w:right="60" w:firstLine="644"/>
        <w:spacing w:after="0" w:line="263" w:lineRule="auto"/>
        <w:tabs>
          <w:tab w:leader="none" w:pos="1303" w:val="left"/>
        </w:tabs>
        <w:numPr>
          <w:ilvl w:val="0"/>
          <w:numId w:val="284"/>
        </w:numPr>
        <w:rPr>
          <w:rFonts w:ascii="Arial" w:cs="Arial" w:eastAsia="Arial" w:hAnsi="Arial"/>
          <w:sz w:val="22"/>
          <w:szCs w:val="22"/>
          <w:color w:val="auto"/>
        </w:rPr>
      </w:pPr>
      <w:r>
        <w:rPr>
          <w:rFonts w:ascii="Arial" w:cs="Arial" w:eastAsia="Arial" w:hAnsi="Arial"/>
          <w:sz w:val="22"/>
          <w:szCs w:val="22"/>
          <w:color w:val="auto"/>
        </w:rPr>
        <w:t>with respect to which the Obligor thereon is not the United States, any State or any agency, department, or instrumentality of the United States or any State;</w:t>
      </w:r>
    </w:p>
    <w:p>
      <w:pPr>
        <w:spacing w:after="0" w:line="215" w:lineRule="exact"/>
        <w:rPr>
          <w:rFonts w:ascii="Arial" w:cs="Arial" w:eastAsia="Arial" w:hAnsi="Arial"/>
          <w:sz w:val="22"/>
          <w:szCs w:val="22"/>
          <w:color w:val="auto"/>
        </w:rPr>
      </w:pPr>
    </w:p>
    <w:p>
      <w:pPr>
        <w:ind w:left="1400" w:hanging="636"/>
        <w:spacing w:after="0"/>
        <w:tabs>
          <w:tab w:leader="none" w:pos="140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with respect to which the Obligor thereon is a natural person;</w:t>
      </w:r>
    </w:p>
    <w:p>
      <w:pPr>
        <w:spacing w:after="0" w:line="219" w:lineRule="exact"/>
        <w:rPr>
          <w:rFonts w:ascii="Arial" w:cs="Arial" w:eastAsia="Arial" w:hAnsi="Arial"/>
          <w:sz w:val="22"/>
          <w:szCs w:val="22"/>
          <w:color w:val="auto"/>
        </w:rPr>
      </w:pPr>
    </w:p>
    <w:p>
      <w:pPr>
        <w:jc w:val="both"/>
        <w:ind w:left="120" w:right="20" w:firstLine="644"/>
        <w:spacing w:after="0" w:line="312" w:lineRule="auto"/>
        <w:tabs>
          <w:tab w:leader="none" w:pos="1296" w:val="left"/>
        </w:tabs>
        <w:numPr>
          <w:ilvl w:val="0"/>
          <w:numId w:val="284"/>
        </w:numPr>
        <w:rPr>
          <w:rFonts w:ascii="Arial" w:cs="Arial" w:eastAsia="Arial" w:hAnsi="Arial"/>
          <w:sz w:val="19"/>
          <w:szCs w:val="19"/>
          <w:color w:val="auto"/>
        </w:rPr>
      </w:pPr>
      <w:r>
        <w:rPr>
          <w:rFonts w:ascii="Arial" w:cs="Arial" w:eastAsia="Arial" w:hAnsi="Arial"/>
          <w:sz w:val="19"/>
          <w:szCs w:val="19"/>
          <w:color w:val="auto"/>
        </w:rPr>
        <w:t>with respect to which, to the best of the Originator’s knowledge, no liens or claims have been filed for work, labor, materials, taxes or liens that arise out of operation of law relating to the applicable Financed Vehicle that are prior to, or equal with, the security interest in the Financed Vehicle granted by the related Purchased Loan Contract;</w:t>
      </w:r>
    </w:p>
    <w:p>
      <w:pPr>
        <w:spacing w:after="0" w:line="133" w:lineRule="exact"/>
        <w:rPr>
          <w:rFonts w:ascii="Arial" w:cs="Arial" w:eastAsia="Arial" w:hAnsi="Arial"/>
          <w:sz w:val="19"/>
          <w:szCs w:val="19"/>
          <w:color w:val="auto"/>
        </w:rPr>
      </w:pPr>
    </w:p>
    <w:p>
      <w:pPr>
        <w:ind w:left="120" w:right="60" w:firstLine="644"/>
        <w:spacing w:after="0" w:line="263" w:lineRule="auto"/>
        <w:tabs>
          <w:tab w:leader="none" w:pos="1303" w:val="left"/>
        </w:tabs>
        <w:numPr>
          <w:ilvl w:val="0"/>
          <w:numId w:val="284"/>
        </w:numPr>
        <w:rPr>
          <w:rFonts w:ascii="Arial" w:cs="Arial" w:eastAsia="Arial" w:hAnsi="Arial"/>
          <w:sz w:val="22"/>
          <w:szCs w:val="22"/>
          <w:color w:val="auto"/>
        </w:rPr>
      </w:pPr>
      <w:r>
        <w:rPr>
          <w:rFonts w:ascii="Arial" w:cs="Arial" w:eastAsia="Arial" w:hAnsi="Arial"/>
          <w:sz w:val="22"/>
          <w:szCs w:val="22"/>
          <w:color w:val="auto"/>
        </w:rPr>
        <w:t>with respect to which, to the best of the Originator’s knowledge, there was no material misrepresentation by the Obligor thereon on such Obligor’s credit application;</w:t>
      </w:r>
    </w:p>
    <w:p>
      <w:pPr>
        <w:spacing w:after="0" w:line="174" w:lineRule="exact"/>
        <w:rPr>
          <w:rFonts w:ascii="Arial" w:cs="Arial" w:eastAsia="Arial" w:hAnsi="Arial"/>
          <w:sz w:val="22"/>
          <w:szCs w:val="22"/>
          <w:color w:val="auto"/>
        </w:rPr>
      </w:pPr>
    </w:p>
    <w:p>
      <w:pPr>
        <w:jc w:val="both"/>
        <w:ind w:left="120" w:firstLine="644"/>
        <w:spacing w:after="0" w:line="253" w:lineRule="auto"/>
        <w:tabs>
          <w:tab w:leader="none" w:pos="1297" w:val="left"/>
        </w:tabs>
        <w:numPr>
          <w:ilvl w:val="0"/>
          <w:numId w:val="284"/>
        </w:numPr>
        <w:rPr>
          <w:rFonts w:ascii="Arial" w:cs="Arial" w:eastAsia="Arial" w:hAnsi="Arial"/>
          <w:sz w:val="22"/>
          <w:szCs w:val="22"/>
          <w:color w:val="auto"/>
        </w:rPr>
      </w:pPr>
      <w:r>
        <w:rPr>
          <w:rFonts w:ascii="Arial" w:cs="Arial" w:eastAsia="Arial" w:hAnsi="Arial"/>
          <w:sz w:val="22"/>
          <w:szCs w:val="22"/>
          <w:color w:val="auto"/>
        </w:rPr>
        <w:t>which has not been originated in, and is not subject to the laws of, any jurisdiction under which the sale, transfer and assignment of such Purchased Loan under this Agreement or pursuant to the transfer of the related Purchased Loan Contract shall be unlawful, void or voidable;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20</w:t>
      </w:r>
    </w:p>
    <w:p>
      <w:pPr>
        <w:sectPr>
          <w:pgSz w:w="11900" w:h="16838" w:orient="portrait"/>
          <w:cols w:equalWidth="0" w:num="1">
            <w:col w:w="11140"/>
          </w:cols>
          <w:pgMar w:left="320" w:top="1428" w:right="439" w:bottom="1440" w:gutter="0" w:footer="0" w:header="0"/>
        </w:sectPr>
      </w:pPr>
    </w:p>
    <w:bookmarkStart w:id="288" w:name="page289"/>
    <w:bookmarkEnd w:id="288"/>
    <w:p>
      <w:pPr>
        <w:jc w:val="both"/>
        <w:ind w:left="120" w:right="60" w:firstLine="644"/>
        <w:spacing w:after="0" w:line="263" w:lineRule="auto"/>
        <w:tabs>
          <w:tab w:leader="none" w:pos="1297" w:val="left"/>
        </w:tabs>
        <w:numPr>
          <w:ilvl w:val="0"/>
          <w:numId w:val="285"/>
        </w:numPr>
        <w:rPr>
          <w:rFonts w:ascii="Arial" w:cs="Arial" w:eastAsia="Arial" w:hAnsi="Arial"/>
          <w:sz w:val="21"/>
          <w:szCs w:val="21"/>
          <w:color w:val="auto"/>
        </w:rPr>
      </w:pPr>
      <w:r>
        <w:rPr>
          <w:rFonts w:ascii="Arial" w:cs="Arial" w:eastAsia="Arial" w:hAnsi="Arial"/>
          <w:sz w:val="21"/>
          <w:szCs w:val="21"/>
          <w:color w:val="auto"/>
        </w:rPr>
        <w:t>which (i) constitutes either “tangible chattel paper,” “electronic chattel paper” or a “payment intangible” each as defined in the UCC in the relevant State, (ii) if “tangible chattel paper,” shall be maintained in its original “tangible” form, unless the Deal Agent has consented in writing to such chattel paper being maintained in another form or medium, and (iii) if “electronic chattel paper,” there is only a single “authoritative copy” (as such term is used in Section 9-105 of the UCC) and such “authoritative copy” constitutes an Authoritative Electronic Copy;</w:t>
      </w:r>
    </w:p>
    <w:p>
      <w:pPr>
        <w:spacing w:after="0" w:line="283" w:lineRule="exact"/>
        <w:rPr>
          <w:rFonts w:ascii="Arial" w:cs="Arial" w:eastAsia="Arial" w:hAnsi="Arial"/>
          <w:sz w:val="21"/>
          <w:szCs w:val="21"/>
          <w:color w:val="auto"/>
        </w:rPr>
      </w:pPr>
    </w:p>
    <w:p>
      <w:pPr>
        <w:ind w:left="1400" w:hanging="636"/>
        <w:spacing w:after="0"/>
        <w:tabs>
          <w:tab w:leader="none" w:pos="140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[reserved]</w:t>
      </w:r>
    </w:p>
    <w:p>
      <w:pPr>
        <w:spacing w:after="0" w:line="260" w:lineRule="exact"/>
        <w:rPr>
          <w:rFonts w:ascii="Arial" w:cs="Arial" w:eastAsia="Arial" w:hAnsi="Arial"/>
          <w:sz w:val="22"/>
          <w:szCs w:val="22"/>
          <w:color w:val="auto"/>
        </w:rPr>
      </w:pPr>
    </w:p>
    <w:p>
      <w:pPr>
        <w:ind w:left="1300" w:hanging="536"/>
        <w:spacing w:after="0"/>
        <w:tabs>
          <w:tab w:leader="none" w:pos="13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which is payable in United States dollars and the Obligor thereon is an individual who is a United States</w:t>
      </w:r>
    </w:p>
    <w:p>
      <w:pPr>
        <w:spacing w:after="0" w:line="32" w:lineRule="exact"/>
        <w:rPr>
          <w:rFonts w:ascii="Arial" w:cs="Arial" w:eastAsia="Arial" w:hAnsi="Arial"/>
          <w:sz w:val="21"/>
          <w:szCs w:val="21"/>
          <w:color w:val="auto"/>
        </w:rPr>
      </w:pPr>
    </w:p>
    <w:p>
      <w:pPr>
        <w:ind w:left="120"/>
        <w:spacing w:after="0"/>
        <w:rPr>
          <w:rFonts w:ascii="Arial" w:cs="Arial" w:eastAsia="Arial" w:hAnsi="Arial"/>
          <w:sz w:val="21"/>
          <w:szCs w:val="21"/>
          <w:color w:val="auto"/>
        </w:rPr>
      </w:pPr>
      <w:r>
        <w:rPr>
          <w:rFonts w:ascii="Arial" w:cs="Arial" w:eastAsia="Arial" w:hAnsi="Arial"/>
          <w:sz w:val="22"/>
          <w:szCs w:val="22"/>
          <w:color w:val="auto"/>
        </w:rPr>
        <w:t>resident;</w:t>
      </w:r>
    </w:p>
    <w:p>
      <w:pPr>
        <w:spacing w:after="0" w:line="228" w:lineRule="exact"/>
        <w:rPr>
          <w:rFonts w:ascii="Arial" w:cs="Arial" w:eastAsia="Arial" w:hAnsi="Arial"/>
          <w:sz w:val="21"/>
          <w:szCs w:val="21"/>
          <w:color w:val="auto"/>
        </w:rPr>
      </w:pPr>
    </w:p>
    <w:p>
      <w:pPr>
        <w:ind w:left="1300" w:hanging="536"/>
        <w:spacing w:after="0"/>
        <w:tabs>
          <w:tab w:leader="none" w:pos="130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which satisfies in all material respects the requirements under the Credit Guidelines;</w:t>
      </w:r>
    </w:p>
    <w:p>
      <w:pPr>
        <w:spacing w:after="0" w:line="260" w:lineRule="exact"/>
        <w:rPr>
          <w:rFonts w:ascii="Arial" w:cs="Arial" w:eastAsia="Arial" w:hAnsi="Arial"/>
          <w:sz w:val="22"/>
          <w:szCs w:val="22"/>
          <w:color w:val="auto"/>
        </w:rPr>
      </w:pPr>
    </w:p>
    <w:p>
      <w:pPr>
        <w:ind w:left="120" w:right="60" w:firstLine="644"/>
        <w:spacing w:after="0" w:line="263" w:lineRule="auto"/>
        <w:tabs>
          <w:tab w:leader="none" w:pos="1303" w:val="left"/>
        </w:tabs>
        <w:numPr>
          <w:ilvl w:val="0"/>
          <w:numId w:val="285"/>
        </w:numPr>
        <w:rPr>
          <w:rFonts w:ascii="Arial" w:cs="Arial" w:eastAsia="Arial" w:hAnsi="Arial"/>
          <w:sz w:val="22"/>
          <w:szCs w:val="22"/>
          <w:color w:val="auto"/>
        </w:rPr>
      </w:pPr>
      <w:r>
        <w:rPr>
          <w:rFonts w:ascii="Arial" w:cs="Arial" w:eastAsia="Arial" w:hAnsi="Arial"/>
          <w:sz w:val="22"/>
          <w:szCs w:val="22"/>
          <w:color w:val="auto"/>
        </w:rPr>
        <w:t>with respect to which the collection practices used with respect thereto have complied in all material respects with the Collection Guidelines;</w:t>
      </w:r>
    </w:p>
    <w:p>
      <w:pPr>
        <w:spacing w:after="0" w:line="215" w:lineRule="exact"/>
        <w:rPr>
          <w:rFonts w:ascii="Arial" w:cs="Arial" w:eastAsia="Arial" w:hAnsi="Arial"/>
          <w:sz w:val="22"/>
          <w:szCs w:val="22"/>
          <w:color w:val="auto"/>
        </w:rPr>
      </w:pPr>
    </w:p>
    <w:p>
      <w:pPr>
        <w:ind w:left="120" w:right="60" w:firstLine="644"/>
        <w:spacing w:after="0" w:line="343" w:lineRule="auto"/>
        <w:tabs>
          <w:tab w:leader="none" w:pos="1308" w:val="left"/>
        </w:tabs>
        <w:numPr>
          <w:ilvl w:val="0"/>
          <w:numId w:val="285"/>
        </w:numPr>
        <w:rPr>
          <w:rFonts w:ascii="Arial" w:cs="Arial" w:eastAsia="Arial" w:hAnsi="Arial"/>
          <w:sz w:val="19"/>
          <w:szCs w:val="19"/>
          <w:color w:val="auto"/>
        </w:rPr>
      </w:pPr>
      <w:r>
        <w:rPr>
          <w:rFonts w:ascii="Arial" w:cs="Arial" w:eastAsia="Arial" w:hAnsi="Arial"/>
          <w:sz w:val="19"/>
          <w:szCs w:val="19"/>
          <w:color w:val="auto"/>
        </w:rPr>
        <w:t>with respect to which there are no proceedings pending, or to the best of the Originator’s knowledge, threatened, wherein the Obligor thereon or any governmental agency has alleged that such Purchased Loan is illegal or unenforceable;</w:t>
      </w:r>
    </w:p>
    <w:p>
      <w:pPr>
        <w:spacing w:after="0" w:line="131" w:lineRule="exact"/>
        <w:rPr>
          <w:rFonts w:ascii="Arial" w:cs="Arial" w:eastAsia="Arial" w:hAnsi="Arial"/>
          <w:sz w:val="19"/>
          <w:szCs w:val="19"/>
          <w:color w:val="auto"/>
        </w:rPr>
      </w:pPr>
    </w:p>
    <w:p>
      <w:pPr>
        <w:jc w:val="both"/>
        <w:ind w:left="120" w:firstLine="644"/>
        <w:spacing w:after="0" w:line="302" w:lineRule="auto"/>
        <w:tabs>
          <w:tab w:leader="none" w:pos="1307" w:val="left"/>
        </w:tabs>
        <w:numPr>
          <w:ilvl w:val="0"/>
          <w:numId w:val="285"/>
        </w:numPr>
        <w:rPr>
          <w:rFonts w:ascii="Arial" w:cs="Arial" w:eastAsia="Arial" w:hAnsi="Arial"/>
          <w:sz w:val="19"/>
          <w:szCs w:val="19"/>
          <w:color w:val="auto"/>
        </w:rPr>
      </w:pPr>
      <w:r>
        <w:rPr>
          <w:rFonts w:ascii="Arial" w:cs="Arial" w:eastAsia="Arial" w:hAnsi="Arial"/>
          <w:sz w:val="19"/>
          <w:szCs w:val="19"/>
          <w:color w:val="auto"/>
        </w:rPr>
        <w:t>with respect to which the Originator has duly fulfilled all material obligations to be fulfilled on the lender’s part under or in connection with the origination, acquisition and assignment of such Purchased Loan, including, without limitation, giving any notices or consents necessary to effect the acquisition of such Purchased Loan by the Borrower, and has done nothing to materially impair the rights of the Borrower or the Secured Parties in payments with respect thereto;</w:t>
      </w:r>
    </w:p>
    <w:p>
      <w:pPr>
        <w:spacing w:after="0" w:line="182" w:lineRule="exact"/>
        <w:rPr>
          <w:rFonts w:ascii="Arial" w:cs="Arial" w:eastAsia="Arial" w:hAnsi="Arial"/>
          <w:sz w:val="19"/>
          <w:szCs w:val="19"/>
          <w:color w:val="auto"/>
        </w:rPr>
      </w:pPr>
    </w:p>
    <w:p>
      <w:pPr>
        <w:ind w:left="120" w:right="60" w:firstLine="644"/>
        <w:spacing w:after="0" w:line="341" w:lineRule="auto"/>
        <w:tabs>
          <w:tab w:leader="none" w:pos="1296" w:val="left"/>
        </w:tabs>
        <w:numPr>
          <w:ilvl w:val="0"/>
          <w:numId w:val="285"/>
        </w:numPr>
        <w:rPr>
          <w:rFonts w:ascii="Arial" w:cs="Arial" w:eastAsia="Arial" w:hAnsi="Arial"/>
          <w:sz w:val="19"/>
          <w:szCs w:val="19"/>
          <w:color w:val="auto"/>
        </w:rPr>
      </w:pPr>
      <w:r>
        <w:rPr>
          <w:rFonts w:ascii="Arial" w:cs="Arial" w:eastAsia="Arial" w:hAnsi="Arial"/>
          <w:sz w:val="19"/>
          <w:szCs w:val="19"/>
          <w:color w:val="auto"/>
        </w:rPr>
        <w:t>which was purchased by the Originator from a Dealer pursuant to a Purchase Agreement or, in the case of any Purchased Loan Contract that previously secured a Dealer Loan, another agreement with the applicable Dealer;</w:t>
      </w:r>
    </w:p>
    <w:p>
      <w:pPr>
        <w:jc w:val="both"/>
        <w:ind w:left="120" w:right="60" w:firstLine="644"/>
        <w:spacing w:after="0" w:line="253" w:lineRule="auto"/>
        <w:tabs>
          <w:tab w:leader="none" w:pos="1303" w:val="left"/>
        </w:tabs>
        <w:numPr>
          <w:ilvl w:val="0"/>
          <w:numId w:val="285"/>
        </w:numPr>
        <w:rPr>
          <w:rFonts w:ascii="Arial" w:cs="Arial" w:eastAsia="Arial" w:hAnsi="Arial"/>
          <w:sz w:val="22"/>
          <w:szCs w:val="22"/>
          <w:color w:val="auto"/>
        </w:rPr>
      </w:pPr>
      <w:r>
        <w:rPr>
          <w:rFonts w:ascii="Arial" w:cs="Arial" w:eastAsia="Arial" w:hAnsi="Arial"/>
          <w:sz w:val="22"/>
          <w:szCs w:val="22"/>
          <w:color w:val="auto"/>
        </w:rPr>
        <w:t>with respect to which the Dealer from whom the Originator purchased such Purchased Loan has not engaged in any conduct constituting fraud or misrepresentation with respect to such Purchased Loan to the best of the Originator’s knowledge</w:t>
      </w:r>
    </w:p>
    <w:p>
      <w:pPr>
        <w:spacing w:after="0" w:line="77" w:lineRule="exact"/>
        <w:rPr>
          <w:rFonts w:ascii="Arial" w:cs="Arial" w:eastAsia="Arial" w:hAnsi="Arial"/>
          <w:sz w:val="22"/>
          <w:szCs w:val="22"/>
          <w:color w:val="auto"/>
        </w:rPr>
      </w:pPr>
    </w:p>
    <w:p>
      <w:pPr>
        <w:jc w:val="both"/>
        <w:ind w:left="120" w:right="60" w:firstLine="644"/>
        <w:spacing w:after="0" w:line="253" w:lineRule="auto"/>
        <w:tabs>
          <w:tab w:leader="none" w:pos="1304" w:val="left"/>
        </w:tabs>
        <w:numPr>
          <w:ilvl w:val="0"/>
          <w:numId w:val="285"/>
        </w:numPr>
        <w:rPr>
          <w:rFonts w:ascii="Arial" w:cs="Arial" w:eastAsia="Arial" w:hAnsi="Arial"/>
          <w:sz w:val="22"/>
          <w:szCs w:val="22"/>
          <w:color w:val="auto"/>
        </w:rPr>
      </w:pPr>
      <w:r>
        <w:rPr>
          <w:rFonts w:ascii="Arial" w:cs="Arial" w:eastAsia="Arial" w:hAnsi="Arial"/>
          <w:sz w:val="22"/>
          <w:szCs w:val="22"/>
          <w:color w:val="auto"/>
        </w:rPr>
        <w:t>with respect to which, at the time such Purchased Loan was originated the proceeds thereof were fully disbursed and there is no requirement for future advances thereunder, and all fees and expenses in connection with the origination of such Purchased Loan have been paid;</w:t>
      </w:r>
    </w:p>
    <w:p>
      <w:pPr>
        <w:spacing w:after="0" w:line="77" w:lineRule="exact"/>
        <w:rPr>
          <w:rFonts w:ascii="Arial" w:cs="Arial" w:eastAsia="Arial" w:hAnsi="Arial"/>
          <w:sz w:val="22"/>
          <w:szCs w:val="22"/>
          <w:color w:val="auto"/>
        </w:rPr>
      </w:pPr>
    </w:p>
    <w:p>
      <w:pPr>
        <w:jc w:val="both"/>
        <w:ind w:left="120" w:right="40" w:firstLine="644"/>
        <w:spacing w:after="0" w:line="265" w:lineRule="auto"/>
        <w:tabs>
          <w:tab w:leader="none" w:pos="1297" w:val="left"/>
        </w:tabs>
        <w:numPr>
          <w:ilvl w:val="0"/>
          <w:numId w:val="285"/>
        </w:numPr>
        <w:rPr>
          <w:rFonts w:ascii="Arial" w:cs="Arial" w:eastAsia="Arial" w:hAnsi="Arial"/>
          <w:sz w:val="21"/>
          <w:szCs w:val="21"/>
          <w:color w:val="auto"/>
        </w:rPr>
      </w:pPr>
      <w:r>
        <w:rPr>
          <w:rFonts w:ascii="Arial" w:cs="Arial" w:eastAsia="Arial" w:hAnsi="Arial"/>
          <w:sz w:val="21"/>
          <w:szCs w:val="21"/>
          <w:color w:val="auto"/>
        </w:rPr>
        <w:t>with respect to which, if applicable State law requires or permits the Servicer to hold the certificate of title in respect of a Financed Vehicle financed by a Purchased Loan Contract, the Servicer holds the certificate of title (or if an electronic certificate of title is issued in lieu of a paper certificate of title by the relevant governmental department or agency, Credit Acceptance is listed as lienholder on such electronic certificate of title) or the application for a</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21</w:t>
      </w:r>
    </w:p>
    <w:p>
      <w:pPr>
        <w:sectPr>
          <w:pgSz w:w="11900" w:h="16838" w:orient="portrait"/>
          <w:cols w:equalWidth="0" w:num="1">
            <w:col w:w="11140"/>
          </w:cols>
          <w:pgMar w:left="320" w:top="1428" w:right="439" w:bottom="1440" w:gutter="0" w:footer="0" w:header="0"/>
        </w:sectPr>
      </w:pPr>
    </w:p>
    <w:bookmarkStart w:id="289" w:name="page290"/>
    <w:bookmarkEnd w:id="289"/>
    <w:p>
      <w:pPr>
        <w:jc w:val="both"/>
        <w:ind w:left="700" w:right="20"/>
        <w:spacing w:after="0" w:line="248" w:lineRule="auto"/>
        <w:rPr>
          <w:sz w:val="20"/>
          <w:szCs w:val="20"/>
          <w:color w:val="auto"/>
        </w:rPr>
      </w:pPr>
      <w:r>
        <w:rPr>
          <w:rFonts w:ascii="Arial" w:cs="Arial" w:eastAsia="Arial" w:hAnsi="Arial"/>
          <w:sz w:val="22"/>
          <w:szCs w:val="22"/>
          <w:color w:val="auto"/>
        </w:rPr>
        <w:t>certificate of title for the related Financed Vehicle as of the date on which the related Purchased Loan Contract is sold to the Borrower and will obtain within 180 days of such date a certificate of title (or ensure that an electronic certificate of title is issued in lieu of a paper certificate of title by the relevant governmental department or agency on which Credit Acceptance is listed as lienholder) with respect to such Financed Vehicle as to which the Servicer holds only such application;</w:t>
      </w:r>
    </w:p>
    <w:p>
      <w:pPr>
        <w:spacing w:after="0" w:line="232" w:lineRule="exact"/>
        <w:rPr>
          <w:sz w:val="20"/>
          <w:szCs w:val="20"/>
          <w:color w:val="auto"/>
        </w:rPr>
      </w:pPr>
    </w:p>
    <w:p>
      <w:pPr>
        <w:jc w:val="both"/>
        <w:ind w:left="700" w:firstLine="694"/>
        <w:spacing w:after="0" w:line="253" w:lineRule="auto"/>
        <w:tabs>
          <w:tab w:leader="none" w:pos="1721" w:val="left"/>
        </w:tabs>
        <w:numPr>
          <w:ilvl w:val="1"/>
          <w:numId w:val="286"/>
        </w:numPr>
        <w:rPr>
          <w:rFonts w:ascii="Arial" w:cs="Arial" w:eastAsia="Arial" w:hAnsi="Arial"/>
          <w:sz w:val="22"/>
          <w:szCs w:val="22"/>
          <w:color w:val="auto"/>
        </w:rPr>
      </w:pPr>
      <w:r>
        <w:rPr>
          <w:rFonts w:ascii="Arial" w:cs="Arial" w:eastAsia="Arial" w:hAnsi="Arial"/>
          <w:sz w:val="22"/>
          <w:szCs w:val="22"/>
          <w:color w:val="auto"/>
        </w:rPr>
        <w:t>with respect to which the related Purchased Loan Contract has not been extended or rewritten and is not subject to any forbearance, or any other modified payment plan other than in accordance with the Credit Guidelines or the Collection Guidelines or otherwise in accordance with Applicable Law; and</w:t>
      </w:r>
    </w:p>
    <w:p>
      <w:pPr>
        <w:spacing w:after="0" w:line="212" w:lineRule="exact"/>
        <w:rPr>
          <w:rFonts w:ascii="Arial" w:cs="Arial" w:eastAsia="Arial" w:hAnsi="Arial"/>
          <w:sz w:val="22"/>
          <w:szCs w:val="22"/>
          <w:color w:val="auto"/>
        </w:rPr>
      </w:pPr>
    </w:p>
    <w:p>
      <w:pPr>
        <w:ind w:left="700" w:right="20" w:firstLine="640"/>
        <w:spacing w:after="0" w:line="343" w:lineRule="auto"/>
        <w:tabs>
          <w:tab w:leader="none" w:pos="1951" w:val="left"/>
        </w:tabs>
        <w:numPr>
          <w:ilvl w:val="0"/>
          <w:numId w:val="287"/>
        </w:numPr>
        <w:rPr>
          <w:rFonts w:ascii="Arial" w:cs="Arial" w:eastAsia="Arial" w:hAnsi="Arial"/>
          <w:sz w:val="19"/>
          <w:szCs w:val="19"/>
          <w:color w:val="auto"/>
        </w:rPr>
      </w:pPr>
      <w:r>
        <w:rPr>
          <w:rFonts w:ascii="Arial" w:cs="Arial" w:eastAsia="Arial" w:hAnsi="Arial"/>
          <w:sz w:val="19"/>
          <w:szCs w:val="19"/>
          <w:color w:val="auto"/>
        </w:rPr>
        <w:t>if the related Purchased Loan Contract constitutes electronic chattel paper, with respect to which Credit Acceptance shall have “control” of such electronic chattel paper within the meaning of Section 9-105 of the UCC.</w:t>
      </w:r>
    </w:p>
    <w:p>
      <w:pPr>
        <w:spacing w:after="0" w:line="145" w:lineRule="exact"/>
        <w:rPr>
          <w:sz w:val="20"/>
          <w:szCs w:val="20"/>
          <w:color w:val="auto"/>
        </w:rPr>
      </w:pPr>
    </w:p>
    <w:p>
      <w:pPr>
        <w:jc w:val="both"/>
        <w:ind w:left="700" w:firstLine="648"/>
        <w:spacing w:after="0" w:line="259" w:lineRule="auto"/>
        <w:rPr>
          <w:sz w:val="20"/>
          <w:szCs w:val="20"/>
          <w:color w:val="auto"/>
        </w:rPr>
      </w:pPr>
      <w:r>
        <w:rPr>
          <w:rFonts w:ascii="Arial" w:cs="Arial" w:eastAsia="Arial" w:hAnsi="Arial"/>
          <w:sz w:val="21"/>
          <w:szCs w:val="21"/>
          <w:u w:val="single" w:color="auto"/>
          <w:color w:val="auto"/>
        </w:rPr>
        <w:t>Equity Interest</w:t>
      </w:r>
      <w:r>
        <w:rPr>
          <w:rFonts w:ascii="Arial" w:cs="Arial" w:eastAsia="Arial" w:hAnsi="Arial"/>
          <w:sz w:val="21"/>
          <w:szCs w:val="21"/>
          <w:color w:val="auto"/>
        </w:rPr>
        <w:t>: (i) In the case of any corporation, all capital stock and any securities exchangeable for or convertible into capital 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w:t>
      </w:r>
    </w:p>
    <w:p>
      <w:pPr>
        <w:spacing w:after="0" w:line="210" w:lineRule="exact"/>
        <w:rPr>
          <w:sz w:val="20"/>
          <w:szCs w:val="20"/>
          <w:color w:val="auto"/>
        </w:rPr>
      </w:pPr>
    </w:p>
    <w:p>
      <w:pPr>
        <w:jc w:val="both"/>
        <w:ind w:left="700" w:right="20" w:firstLine="648"/>
        <w:spacing w:after="0" w:line="263" w:lineRule="auto"/>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The United States Employee Retirement Income Security Act of 1974, as amended from time to time, and the regulations promulgated and rulings issued thereunder.</w:t>
      </w:r>
    </w:p>
    <w:p>
      <w:pPr>
        <w:spacing w:after="0" w:line="121" w:lineRule="exact"/>
        <w:rPr>
          <w:sz w:val="20"/>
          <w:szCs w:val="20"/>
          <w:color w:val="auto"/>
        </w:rPr>
      </w:pPr>
    </w:p>
    <w:p>
      <w:pPr>
        <w:jc w:val="both"/>
        <w:ind w:left="700" w:right="20" w:firstLine="648"/>
        <w:spacing w:after="0" w:line="263" w:lineRule="auto"/>
        <w:rPr>
          <w:sz w:val="20"/>
          <w:szCs w:val="20"/>
          <w:color w:val="auto"/>
        </w:rPr>
      </w:pPr>
      <w:r>
        <w:rPr>
          <w:rFonts w:ascii="Arial" w:cs="Arial" w:eastAsia="Arial" w:hAnsi="Arial"/>
          <w:sz w:val="21"/>
          <w:szCs w:val="21"/>
          <w:u w:val="single" w:color="auto"/>
          <w:color w:val="auto"/>
        </w:rPr>
        <w:t>ERISA Affiliate</w:t>
      </w:r>
      <w:r>
        <w:rPr>
          <w:rFonts w:ascii="Arial" w:cs="Arial" w:eastAsia="Arial" w:hAnsi="Arial"/>
          <w:sz w:val="21"/>
          <w:szCs w:val="21"/>
          <w:color w:val="auto"/>
        </w:rPr>
        <w:t>: (a) Any corporation that is a member of the same controlled group of corporations (within the meaning of Section 414(b) of the Code) as the Borrower, (b) a trade or business (whether or not incorporated) under common control (within the meaning of Section 414(c) of the Code) with the Borrower, or (c) a member of the same affiliated service group (within the meaning of Section 414(m) of the Code) as the Borrower, any corporation described in clause (a) above or any trade or business described in clause (b) above.</w:t>
      </w:r>
    </w:p>
    <w:p>
      <w:pPr>
        <w:spacing w:after="0" w:line="202"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u w:val="single" w:color="auto"/>
          <w:color w:val="FF0000"/>
        </w:rPr>
        <w:t>Eurocurrency Liabilities</w:t>
      </w:r>
      <w:r>
        <w:rPr>
          <w:rFonts w:ascii="Arial" w:cs="Arial" w:eastAsia="Arial" w:hAnsi="Arial"/>
          <w:sz w:val="22"/>
          <w:szCs w:val="22"/>
          <w:color w:val="FF0000"/>
        </w:rPr>
        <w:t xml:space="preserve">: Defined in Regulation D of the </w:t>
      </w:r>
      <w:r>
        <w:rPr>
          <w:rFonts w:ascii="Arial" w:cs="Arial" w:eastAsia="Arial" w:hAnsi="Arial"/>
          <w:sz w:val="22"/>
          <w:szCs w:val="22"/>
          <w:color w:val="007F00"/>
          <w:strike w:val="1"/>
        </w:rPr>
        <w:t>Board of Governors of the</w:t>
      </w:r>
      <w:r>
        <w:rPr>
          <w:rFonts w:ascii="Arial" w:cs="Arial" w:eastAsia="Arial" w:hAnsi="Arial"/>
          <w:sz w:val="22"/>
          <w:szCs w:val="22"/>
          <w:color w:val="FF0000"/>
        </w:rPr>
        <w:t xml:space="preserve"> </w:t>
      </w:r>
      <w:r>
        <w:rPr>
          <w:rFonts w:ascii="Arial" w:cs="Arial" w:eastAsia="Arial" w:hAnsi="Arial"/>
          <w:sz w:val="22"/>
          <w:szCs w:val="22"/>
          <w:color w:val="FF0000"/>
          <w:strike w:val="1"/>
        </w:rPr>
        <w:t>Federal Reserve System, as</w:t>
      </w:r>
      <w:r>
        <w:rPr>
          <w:rFonts w:ascii="Arial" w:cs="Arial" w:eastAsia="Arial" w:hAnsi="Arial"/>
          <w:sz w:val="22"/>
          <w:szCs w:val="22"/>
          <w:color w:val="FF0000"/>
        </w:rPr>
        <w:t xml:space="preserve"> </w:t>
      </w:r>
      <w:r>
        <w:rPr>
          <w:rFonts w:ascii="Arial" w:cs="Arial" w:eastAsia="Arial" w:hAnsi="Arial"/>
          <w:sz w:val="22"/>
          <w:szCs w:val="22"/>
          <w:color w:val="FF0000"/>
          <w:strike w:val="1"/>
        </w:rPr>
        <w:t xml:space="preserve">in effect </w:t>
      </w:r>
      <w:r>
        <w:rPr>
          <w:rFonts w:ascii="Arial" w:cs="Arial" w:eastAsia="Arial" w:hAnsi="Arial"/>
          <w:sz w:val="22"/>
          <w:szCs w:val="22"/>
          <w:color w:val="007F00"/>
          <w:strike w:val="1"/>
        </w:rPr>
        <w:t>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-260350</wp:posOffset>
            </wp:positionV>
            <wp:extent cx="31889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95" w:lineRule="exact"/>
        <w:rPr>
          <w:sz w:val="20"/>
          <w:szCs w:val="20"/>
          <w:color w:val="auto"/>
        </w:rPr>
      </w:pPr>
    </w:p>
    <w:p>
      <w:pPr>
        <w:jc w:val="both"/>
        <w:ind w:left="700" w:right="20" w:firstLine="662"/>
        <w:spacing w:after="0" w:line="288" w:lineRule="auto"/>
        <w:rPr>
          <w:sz w:val="20"/>
          <w:szCs w:val="20"/>
          <w:color w:val="auto"/>
        </w:rPr>
      </w:pPr>
      <w:r>
        <w:rPr>
          <w:rFonts w:ascii="Arial" w:cs="Arial" w:eastAsia="Arial" w:hAnsi="Arial"/>
          <w:sz w:val="19"/>
          <w:szCs w:val="19"/>
          <w:u w:val="single" w:color="auto"/>
          <w:color w:val="FF0000"/>
        </w:rPr>
        <w:t>Eurodollar Disruption Event</w:t>
      </w:r>
      <w:r>
        <w:rPr>
          <w:rFonts w:ascii="Arial" w:cs="Arial" w:eastAsia="Arial" w:hAnsi="Arial"/>
          <w:sz w:val="19"/>
          <w:szCs w:val="19"/>
          <w:color w:val="FF0000"/>
        </w:rPr>
        <w:t xml:space="preserve">: The occurrence of any of the following: (a) a determination by a Lender that it </w:t>
      </w:r>
      <w:r>
        <w:rPr>
          <w:rFonts w:ascii="Arial" w:cs="Arial" w:eastAsia="Arial" w:hAnsi="Arial"/>
          <w:sz w:val="19"/>
          <w:szCs w:val="19"/>
          <w:color w:val="FF0000"/>
          <w:strike w:val="1"/>
        </w:rPr>
        <w:t>would be contrary to law or to the directive of any central bank or other governmental authority (whether or not having the force of law) to obtain United States dollars in the London interbank market to make, fund or maintain the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-408305</wp:posOffset>
            </wp:positionV>
            <wp:extent cx="6203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03315" cy="8890"/>
                    </a:xfrm>
                    <a:prstGeom prst="rect">
                      <a:avLst/>
                    </a:prstGeom>
                    <a:noFill/>
                  </pic:spPr>
                </pic:pic>
              </a:graphicData>
            </a:graphic>
          </wp:anchor>
        </w:drawing>
      </w:r>
    </w:p>
    <w:p>
      <w:pPr>
        <w:jc w:val="both"/>
        <w:ind w:left="700" w:hanging="8"/>
        <w:spacing w:after="0" w:line="244" w:lineRule="auto"/>
        <w:tabs>
          <w:tab w:leader="none" w:pos="1032" w:val="left"/>
        </w:tabs>
        <w:numPr>
          <w:ilvl w:val="0"/>
          <w:numId w:val="288"/>
        </w:numPr>
        <w:rPr>
          <w:rFonts w:ascii="Arial" w:cs="Arial" w:eastAsia="Arial" w:hAnsi="Arial"/>
          <w:sz w:val="22"/>
          <w:szCs w:val="22"/>
          <w:color w:val="FF0000"/>
          <w:strike w:val="1"/>
        </w:rPr>
      </w:pPr>
      <w:r>
        <w:rPr>
          <w:rFonts w:ascii="Arial" w:cs="Arial" w:eastAsia="Arial" w:hAnsi="Arial"/>
          <w:sz w:val="22"/>
          <w:szCs w:val="22"/>
          <w:color w:val="FF0000"/>
          <w:strike w:val="1"/>
        </w:rPr>
        <w:t>the failure of one or more of the Reference Banks to furnish timely information for purposes of determining the Adjusted Eurodollar Rate, (c) a determination by a Lender that the rate at which deposits of United States dollars are being offered to such Lender in the London interbank market does not accurately reflect the cost to such Lender of making, funding or maintaining the Funding or (d)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22</w:t>
      </w:r>
    </w:p>
    <w:p>
      <w:pPr>
        <w:sectPr>
          <w:pgSz w:w="11900" w:h="16838" w:orient="portrait"/>
          <w:cols w:equalWidth="0" w:num="1">
            <w:col w:w="11140"/>
          </w:cols>
          <w:pgMar w:left="320" w:top="1428" w:right="439" w:bottom="1440" w:gutter="0" w:footer="0" w:header="0"/>
        </w:sectPr>
      </w:pPr>
    </w:p>
    <w:bookmarkStart w:id="290" w:name="page291"/>
    <w:bookmarkEnd w:id="290"/>
    <w:p>
      <w:pPr>
        <w:ind w:left="700" w:right="300"/>
        <w:spacing w:after="0" w:line="263" w:lineRule="auto"/>
        <w:rPr>
          <w:sz w:val="20"/>
          <w:szCs w:val="20"/>
          <w:color w:val="auto"/>
        </w:rPr>
      </w:pPr>
      <w:r>
        <w:rPr>
          <w:rFonts w:ascii="Arial" w:cs="Arial" w:eastAsia="Arial" w:hAnsi="Arial"/>
          <w:sz w:val="22"/>
          <w:szCs w:val="22"/>
          <w:color w:val="FF0000"/>
          <w:strike w:val="1"/>
        </w:rPr>
        <w:t>the inability of a Lender to obtain United States dollars in the London interbank market to make, fund or maintain the Advance.</w:t>
      </w:r>
    </w:p>
    <w:p>
      <w:pPr>
        <w:spacing w:after="0" w:line="215" w:lineRule="exact"/>
        <w:rPr>
          <w:sz w:val="20"/>
          <w:szCs w:val="20"/>
          <w:color w:val="auto"/>
        </w:rPr>
      </w:pPr>
    </w:p>
    <w:p>
      <w:pPr>
        <w:jc w:val="both"/>
        <w:ind w:left="700" w:right="20" w:firstLine="662"/>
        <w:spacing w:after="0" w:line="260" w:lineRule="auto"/>
        <w:rPr>
          <w:sz w:val="20"/>
          <w:szCs w:val="20"/>
          <w:color w:val="auto"/>
        </w:rPr>
      </w:pPr>
      <w:r>
        <w:rPr>
          <w:rFonts w:ascii="Arial" w:cs="Arial" w:eastAsia="Arial" w:hAnsi="Arial"/>
          <w:sz w:val="21"/>
          <w:szCs w:val="21"/>
          <w:u w:val="single" w:color="auto"/>
          <w:color w:val="FF0000"/>
        </w:rPr>
        <w:t>Eurodollar Reserve Percentage</w:t>
      </w:r>
      <w:r>
        <w:rPr>
          <w:rFonts w:ascii="Arial" w:cs="Arial" w:eastAsia="Arial" w:hAnsi="Arial"/>
          <w:sz w:val="21"/>
          <w:szCs w:val="21"/>
          <w:color w:val="FF0000"/>
        </w:rPr>
        <w:t xml:space="preserve">: Means, with respect to any Reference Bank for any period, the percentage </w:t>
      </w:r>
      <w:r>
        <w:rPr>
          <w:rFonts w:ascii="Arial" w:cs="Arial" w:eastAsia="Arial" w:hAnsi="Arial"/>
          <w:sz w:val="21"/>
          <w:szCs w:val="21"/>
          <w:color w:val="FF0000"/>
          <w:strike w:val="1"/>
        </w:rPr>
        <w:t>applicable during such period (or, if more than one such percentage shall be so applicable, the daily average of such percentages for those days in such period during which any such percentage shall be so applicable) under regulations issued from time to time by the Board of Governors of the Federal Reserve System (or any successor) for determining the maximum reserve requirement (including, without limitation, any emergency, supplemental or other marginal reserve requirement) for such Reference Bank with respect to liabilities or assets consisting of or including Eurocurrency Liabilities having a term of one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-1071245</wp:posOffset>
            </wp:positionV>
            <wp:extent cx="62033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03315" cy="8255"/>
                    </a:xfrm>
                    <a:prstGeom prst="rect">
                      <a:avLst/>
                    </a:prstGeom>
                    <a:noFill/>
                  </pic:spPr>
                </pic:pic>
              </a:graphicData>
            </a:graphic>
          </wp:anchor>
        </w:drawing>
      </w:r>
    </w:p>
    <w:p>
      <w:pPr>
        <w:spacing w:after="0" w:line="187" w:lineRule="exact"/>
        <w:rPr>
          <w:sz w:val="20"/>
          <w:szCs w:val="20"/>
          <w:color w:val="auto"/>
        </w:rPr>
      </w:pPr>
    </w:p>
    <w:p>
      <w:pPr>
        <w:jc w:val="both"/>
        <w:ind w:left="700" w:right="20" w:firstLine="648"/>
        <w:spacing w:after="0" w:line="263" w:lineRule="auto"/>
        <w:rPr>
          <w:sz w:val="20"/>
          <w:szCs w:val="20"/>
          <w:color w:val="auto"/>
        </w:rPr>
      </w:pPr>
      <w:r>
        <w:rPr>
          <w:rFonts w:ascii="Arial" w:cs="Arial" w:eastAsia="Arial" w:hAnsi="Arial"/>
          <w:sz w:val="22"/>
          <w:szCs w:val="22"/>
          <w:u w:val="single" w:color="auto"/>
          <w:color w:val="auto"/>
        </w:rPr>
        <w:t>Excess Reserve Amount</w:t>
      </w:r>
      <w:r>
        <w:rPr>
          <w:rFonts w:ascii="Arial" w:cs="Arial" w:eastAsia="Arial" w:hAnsi="Arial"/>
          <w:sz w:val="22"/>
          <w:szCs w:val="22"/>
          <w:color w:val="auto"/>
        </w:rPr>
        <w:t>: With respect to any Payment Date, the excess, if any, of the amount on deposit in the Reserve Account over the Required Reserve Account Amount.</w:t>
      </w:r>
    </w:p>
    <w:p>
      <w:pPr>
        <w:spacing w:after="0" w:line="215" w:lineRule="exact"/>
        <w:rPr>
          <w:sz w:val="20"/>
          <w:szCs w:val="20"/>
          <w:color w:val="auto"/>
        </w:rPr>
      </w:pPr>
    </w:p>
    <w:p>
      <w:pPr>
        <w:jc w:val="both"/>
        <w:ind w:left="700" w:firstLine="648"/>
        <w:spacing w:after="0" w:line="312" w:lineRule="auto"/>
        <w:rPr>
          <w:sz w:val="20"/>
          <w:szCs w:val="20"/>
          <w:color w:val="auto"/>
        </w:rPr>
      </w:pPr>
      <w:r>
        <w:rPr>
          <w:rFonts w:ascii="Arial" w:cs="Arial" w:eastAsia="Arial" w:hAnsi="Arial"/>
          <w:sz w:val="19"/>
          <w:szCs w:val="19"/>
          <w:u w:val="single" w:color="auto"/>
          <w:color w:val="auto"/>
        </w:rPr>
        <w:t>Excluded Dealer Agreement Rights</w:t>
      </w:r>
      <w:r>
        <w:rPr>
          <w:rFonts w:ascii="Arial" w:cs="Arial" w:eastAsia="Arial" w:hAnsi="Arial"/>
          <w:sz w:val="19"/>
          <w:szCs w:val="19"/>
          <w:color w:val="auto"/>
        </w:rPr>
        <w:t>: With respect to any Dealer Agreement, the rights of Credit Acceptance thereunder related to loans made to the related Dealer which are not Dealer Loans pledged by the Borrower to the Collateral Agent hereunder, including rights of set-off and rights of indemnification, related to such Dealer Loans.</w:t>
      </w: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9"/>
          <w:szCs w:val="19"/>
          <w:u w:val="single" w:color="auto"/>
          <w:color w:val="auto"/>
        </w:rPr>
        <w:t>Existing Loan and Security Agreement</w:t>
      </w:r>
      <w:r>
        <w:rPr>
          <w:rFonts w:ascii="Arial" w:cs="Arial" w:eastAsia="Arial" w:hAnsi="Arial"/>
          <w:sz w:val="19"/>
          <w:szCs w:val="19"/>
          <w:color w:val="auto"/>
        </w:rPr>
        <w:t xml:space="preserve">: Defined in the recitals hereto. </w:t>
      </w:r>
      <w:r>
        <w:rPr>
          <w:rFonts w:ascii="Arial" w:cs="Arial" w:eastAsia="Arial" w:hAnsi="Arial"/>
          <w:sz w:val="19"/>
          <w:szCs w:val="19"/>
          <w:u w:val="single" w:color="auto"/>
          <w:color w:val="auto"/>
        </w:rPr>
        <w:t>Existing Loan and Security Agreement</w:t>
      </w:r>
    </w:p>
    <w:p>
      <w:pPr>
        <w:spacing w:after="0" w:line="241"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December 27, 2012.</w:t>
      </w:r>
    </w:p>
    <w:p>
      <w:pPr>
        <w:spacing w:after="0" w:line="125" w:lineRule="exact"/>
        <w:rPr>
          <w:sz w:val="20"/>
          <w:szCs w:val="20"/>
          <w:color w:val="auto"/>
        </w:rPr>
      </w:pPr>
    </w:p>
    <w:p>
      <w:pPr>
        <w:jc w:val="both"/>
        <w:ind w:left="700" w:right="20" w:firstLine="648"/>
        <w:spacing w:after="0" w:line="250" w:lineRule="auto"/>
        <w:rPr>
          <w:sz w:val="20"/>
          <w:szCs w:val="20"/>
          <w:color w:val="auto"/>
        </w:rPr>
      </w:pPr>
      <w:r>
        <w:rPr>
          <w:rFonts w:ascii="Arial" w:cs="Arial" w:eastAsia="Arial" w:hAnsi="Arial"/>
          <w:sz w:val="22"/>
          <w:szCs w:val="22"/>
          <w:u w:val="single" w:color="auto"/>
          <w:color w:val="auto"/>
        </w:rPr>
        <w:t>Facility Limit</w:t>
      </w:r>
      <w:r>
        <w:rPr>
          <w:rFonts w:ascii="Arial" w:cs="Arial" w:eastAsia="Arial" w:hAnsi="Arial"/>
          <w:sz w:val="22"/>
          <w:szCs w:val="22"/>
          <w:color w:val="auto"/>
        </w:rPr>
        <w:t xml:space="preserve">: $400,000,000; or as such amount may vary from time to time upon the written agreement of the Borrower, Credit Acceptance and the Deal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on any date on or after the end of the Revolving Period with respect to all Lenders, the Facility Limit shall mean the aggregate outstanding Capital on such date.</w:t>
      </w:r>
    </w:p>
    <w:p>
      <w:pPr>
        <w:spacing w:after="0" w:line="228" w:lineRule="exact"/>
        <w:rPr>
          <w:sz w:val="20"/>
          <w:szCs w:val="20"/>
          <w:color w:val="auto"/>
        </w:rPr>
      </w:pPr>
    </w:p>
    <w:p>
      <w:pPr>
        <w:jc w:val="both"/>
        <w:ind w:left="700" w:right="20" w:firstLine="648"/>
        <w:spacing w:after="0" w:line="312" w:lineRule="auto"/>
        <w:rPr>
          <w:sz w:val="20"/>
          <w:szCs w:val="20"/>
          <w:color w:val="auto"/>
        </w:rPr>
      </w:pPr>
      <w:r>
        <w:rPr>
          <w:rFonts w:ascii="Arial" w:cs="Arial" w:eastAsia="Arial" w:hAnsi="Arial"/>
          <w:sz w:val="19"/>
          <w:szCs w:val="19"/>
          <w:u w:val="single" w:color="auto"/>
          <w:color w:val="auto"/>
        </w:rPr>
        <w:t>FATCA</w:t>
      </w:r>
      <w:r>
        <w:rPr>
          <w:rFonts w:ascii="Arial" w:cs="Arial" w:eastAsia="Arial" w:hAnsi="Arial"/>
          <w:sz w:val="19"/>
          <w:szCs w:val="19"/>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spacing w:after="0" w:line="160" w:lineRule="exact"/>
        <w:rPr>
          <w:sz w:val="20"/>
          <w:szCs w:val="20"/>
          <w:color w:val="auto"/>
        </w:rPr>
      </w:pPr>
    </w:p>
    <w:p>
      <w:pPr>
        <w:jc w:val="both"/>
        <w:ind w:left="700" w:firstLine="648"/>
        <w:spacing w:after="0" w:line="261" w:lineRule="auto"/>
        <w:rPr>
          <w:sz w:val="20"/>
          <w:szCs w:val="20"/>
          <w:color w:val="auto"/>
        </w:rPr>
      </w:pPr>
      <w:r>
        <w:rPr>
          <w:rFonts w:ascii="Arial" w:cs="Arial" w:eastAsia="Arial" w:hAnsi="Arial"/>
          <w:sz w:val="21"/>
          <w:szCs w:val="21"/>
          <w:u w:val="single" w:color="auto"/>
          <w:color w:val="auto"/>
        </w:rPr>
        <w:t>Federal Funds Rate</w:t>
      </w:r>
      <w:r>
        <w:rPr>
          <w:rFonts w:ascii="Arial" w:cs="Arial" w:eastAsia="Arial" w:hAnsi="Arial"/>
          <w:sz w:val="21"/>
          <w:szCs w:val="21"/>
          <w:color w:val="auto"/>
        </w:rPr>
        <w:t>: For any period, a fluctuating interest rate per annum equal for each day during such period to the weighted average of the federal funds rates as quoted by Wells Fargo and confirmed in Federal Reserve Board Statistical Release H.15(519) or any successor or substitute publication selected by Wells Fargo (or, if such day is not a Business Day, for the next preceding Business Day), or, if, for any reason, such rate is not available on any day, the rate determined, in the sole opinion of Wells Fargo, to be the rate at which federal funds are being offered for sale in the national federal funds market at 9:00 a.m. Charlotte, North Carolina time.</w:t>
      </w:r>
    </w:p>
    <w:p>
      <w:pPr>
        <w:spacing w:after="0" w:line="220" w:lineRule="exact"/>
        <w:rPr>
          <w:sz w:val="20"/>
          <w:szCs w:val="20"/>
          <w:color w:val="auto"/>
        </w:rPr>
      </w:pPr>
    </w:p>
    <w:p>
      <w:pPr>
        <w:jc w:val="both"/>
        <w:ind w:left="700" w:firstLine="648"/>
        <w:spacing w:after="0" w:line="302" w:lineRule="auto"/>
        <w:rPr>
          <w:sz w:val="20"/>
          <w:szCs w:val="20"/>
          <w:color w:val="auto"/>
        </w:rPr>
      </w:pPr>
      <w:r>
        <w:rPr>
          <w:rFonts w:ascii="Arial" w:cs="Arial" w:eastAsia="Arial" w:hAnsi="Arial"/>
          <w:sz w:val="19"/>
          <w:szCs w:val="19"/>
          <w:u w:val="single" w:color="auto"/>
          <w:color w:val="auto"/>
        </w:rPr>
        <w:t>Fee Letter</w:t>
      </w:r>
      <w:r>
        <w:rPr>
          <w:rFonts w:ascii="Arial" w:cs="Arial" w:eastAsia="Arial" w:hAnsi="Arial"/>
          <w:sz w:val="19"/>
          <w:szCs w:val="19"/>
          <w:color w:val="auto"/>
        </w:rPr>
        <w:t xml:space="preserve">: With respect to each Lender, the </w:t>
      </w:r>
      <w:r>
        <w:rPr>
          <w:rFonts w:ascii="Arial" w:cs="Arial" w:eastAsia="Arial" w:hAnsi="Arial"/>
          <w:sz w:val="19"/>
          <w:szCs w:val="19"/>
          <w:u w:val="single" w:color="auto"/>
          <w:color w:val="0000FF"/>
        </w:rPr>
        <w:t>Eleventh Amended and Restated</w:t>
      </w:r>
      <w:r>
        <w:rPr>
          <w:rFonts w:ascii="Arial" w:cs="Arial" w:eastAsia="Arial" w:hAnsi="Arial"/>
          <w:sz w:val="19"/>
          <w:szCs w:val="19"/>
          <w:color w:val="auto"/>
        </w:rPr>
        <w:t xml:space="preserve"> Fee Letter, dated as of the date hereof, in the case of Wells Fargo, or in the case of any other Lender, the date of the Assignment and Acceptance related to such Lender, among the Borrower, Wells Fargo Bank, National Association and the Deal Agent, in the case of Wells Fargo and among the Borrower, the Servicer, the Deal Agent and the related Lender, in the case of any other Lender,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23</w:t>
      </w:r>
    </w:p>
    <w:p>
      <w:pPr>
        <w:sectPr>
          <w:pgSz w:w="11900" w:h="16838" w:orient="portrait"/>
          <w:cols w:equalWidth="0" w:num="1">
            <w:col w:w="11140"/>
          </w:cols>
          <w:pgMar w:left="320" w:top="1428" w:right="439" w:bottom="1440" w:gutter="0" w:footer="0" w:header="0"/>
        </w:sectPr>
      </w:pPr>
    </w:p>
    <w:bookmarkStart w:id="291" w:name="page292"/>
    <w:bookmarkEnd w:id="291"/>
    <w:p>
      <w:pPr>
        <w:ind w:left="700"/>
        <w:spacing w:after="0"/>
        <w:rPr>
          <w:sz w:val="20"/>
          <w:szCs w:val="20"/>
          <w:color w:val="auto"/>
        </w:rPr>
      </w:pPr>
      <w:r>
        <w:rPr>
          <w:rFonts w:ascii="Arial" w:cs="Arial" w:eastAsia="Arial" w:hAnsi="Arial"/>
          <w:sz w:val="22"/>
          <w:szCs w:val="22"/>
          <w:color w:val="auto"/>
        </w:rPr>
        <w:t>as any such letter may be amended, modified, supplemented, restated or replaced from time to time.</w:t>
      </w:r>
    </w:p>
    <w:p>
      <w:pPr>
        <w:spacing w:after="0" w:line="247" w:lineRule="exact"/>
        <w:rPr>
          <w:sz w:val="20"/>
          <w:szCs w:val="20"/>
          <w:color w:val="auto"/>
        </w:rPr>
      </w:pPr>
    </w:p>
    <w:p>
      <w:pPr>
        <w:ind w:left="660" w:right="500" w:firstLine="648"/>
        <w:spacing w:after="0" w:line="263" w:lineRule="auto"/>
        <w:rPr>
          <w:sz w:val="20"/>
          <w:szCs w:val="20"/>
          <w:color w:val="auto"/>
        </w:rPr>
      </w:pPr>
      <w:r>
        <w:rPr>
          <w:rFonts w:ascii="Arial" w:cs="Arial" w:eastAsia="Arial" w:hAnsi="Arial"/>
          <w:sz w:val="22"/>
          <w:szCs w:val="22"/>
          <w:u w:val="single" w:color="auto"/>
          <w:color w:val="0000FF"/>
        </w:rPr>
        <w:t>Fifth Amendment Effective Date: The date Amendment No. 5 to the Sixth Amended and Restated Loan and Security Agreement becomes effective, which shall be February [_], 2021.</w:t>
      </w:r>
    </w:p>
    <w:p>
      <w:pPr>
        <w:spacing w:after="0" w:line="377"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Final Score</w:t>
      </w:r>
      <w:r>
        <w:rPr>
          <w:rFonts w:ascii="Arial" w:cs="Arial" w:eastAsia="Arial" w:hAnsi="Arial"/>
          <w:sz w:val="22"/>
          <w:szCs w:val="22"/>
          <w:color w:val="auto"/>
        </w:rPr>
        <w:t>: The final output from the Originator’s credit scoring process.</w:t>
      </w:r>
    </w:p>
    <w:p>
      <w:pPr>
        <w:spacing w:after="0" w:line="166" w:lineRule="exact"/>
        <w:rPr>
          <w:sz w:val="20"/>
          <w:szCs w:val="20"/>
          <w:color w:val="auto"/>
        </w:rPr>
      </w:pPr>
    </w:p>
    <w:p>
      <w:pPr>
        <w:ind w:left="700" w:right="60" w:firstLine="648"/>
        <w:spacing w:after="0" w:line="343" w:lineRule="auto"/>
        <w:rPr>
          <w:sz w:val="20"/>
          <w:szCs w:val="20"/>
          <w:color w:val="auto"/>
        </w:rPr>
      </w:pPr>
      <w:r>
        <w:rPr>
          <w:rFonts w:ascii="Arial" w:cs="Arial" w:eastAsia="Arial" w:hAnsi="Arial"/>
          <w:sz w:val="19"/>
          <w:szCs w:val="19"/>
          <w:u w:val="single" w:color="auto"/>
          <w:color w:val="auto"/>
        </w:rPr>
        <w:t>Financed Vehicle</w:t>
      </w:r>
      <w:r>
        <w:rPr>
          <w:rFonts w:ascii="Arial" w:cs="Arial" w:eastAsia="Arial" w:hAnsi="Arial"/>
          <w:sz w:val="19"/>
          <w:szCs w:val="19"/>
          <w:color w:val="auto"/>
        </w:rPr>
        <w:t>: With respect to a Contract, any new or used automobile, light-duty truck, minivan or sport utility vehicle, together with all accessories thereto, securing the related Obligor’s indebtedness thereunder.</w:t>
      </w:r>
    </w:p>
    <w:p>
      <w:pPr>
        <w:spacing w:after="0" w:line="50" w:lineRule="exact"/>
        <w:rPr>
          <w:sz w:val="20"/>
          <w:szCs w:val="20"/>
          <w:color w:val="auto"/>
        </w:rPr>
      </w:pPr>
    </w:p>
    <w:p>
      <w:pPr>
        <w:jc w:val="both"/>
        <w:ind w:left="700" w:right="40" w:firstLine="648"/>
        <w:spacing w:after="0" w:line="253" w:lineRule="auto"/>
        <w:rPr>
          <w:sz w:val="20"/>
          <w:szCs w:val="20"/>
          <w:color w:val="auto"/>
        </w:rPr>
      </w:pP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As of any applicable date of determination, the ratio of (a) Consolidated Income Available for Fixed Charges for the previous four (4) consecutive fiscal quarters of Credit Acceptance most recently ended at such time to (b) Consolidated Fixed Charges for such period.</w:t>
      </w:r>
    </w:p>
    <w:p>
      <w:pPr>
        <w:spacing w:after="0" w:line="212" w:lineRule="exact"/>
        <w:rPr>
          <w:sz w:val="20"/>
          <w:szCs w:val="20"/>
          <w:color w:val="auto"/>
        </w:rPr>
      </w:pPr>
    </w:p>
    <w:p>
      <w:pPr>
        <w:ind w:left="660" w:right="40" w:firstLine="648"/>
        <w:spacing w:after="0" w:line="311" w:lineRule="auto"/>
        <w:rPr>
          <w:sz w:val="20"/>
          <w:szCs w:val="20"/>
          <w:color w:val="auto"/>
        </w:rPr>
      </w:pPr>
      <w:r>
        <w:rPr>
          <w:rFonts w:ascii="Arial" w:cs="Arial" w:eastAsia="Arial" w:hAnsi="Arial"/>
          <w:sz w:val="19"/>
          <w:szCs w:val="19"/>
          <w:u w:val="single" w:color="auto"/>
          <w:color w:val="0000FF"/>
        </w:rPr>
        <w:t>Floor: The benchmark rate floor, if any, provided in this Agreement initially (as of the execution of this Agreement, the modification, amendment or renewal of this Agreement or otherwise) with respect to USD LIBOR.</w:t>
      </w:r>
    </w:p>
    <w:p>
      <w:pPr>
        <w:spacing w:after="0" w:line="1" w:lineRule="exact"/>
        <w:rPr>
          <w:sz w:val="20"/>
          <w:szCs w:val="20"/>
          <w:color w:val="auto"/>
        </w:rPr>
      </w:pPr>
    </w:p>
    <w:p>
      <w:pPr>
        <w:jc w:val="both"/>
        <w:ind w:left="700" w:firstLine="648"/>
        <w:spacing w:after="0" w:line="250" w:lineRule="auto"/>
        <w:rPr>
          <w:sz w:val="20"/>
          <w:szCs w:val="20"/>
          <w:color w:val="auto"/>
        </w:rPr>
      </w:pPr>
      <w:r>
        <w:rPr>
          <w:rFonts w:ascii="Arial" w:cs="Arial" w:eastAsia="Arial" w:hAnsi="Arial"/>
          <w:sz w:val="22"/>
          <w:szCs w:val="22"/>
          <w:u w:val="single" w:color="auto"/>
          <w:color w:val="auto"/>
        </w:rPr>
        <w:t>Forecasted Collections</w:t>
      </w:r>
      <w:r>
        <w:rPr>
          <w:rFonts w:ascii="Arial" w:cs="Arial" w:eastAsia="Arial" w:hAnsi="Arial"/>
          <w:sz w:val="22"/>
          <w:szCs w:val="22"/>
          <w:color w:val="auto"/>
        </w:rPr>
        <w:t>: The expected amount of Collections to be received with respect to the Aggregate Outstanding Eligible Loan Balance each month as determined by Credit Acceptance in accordance with its forecasting model, which shall be submitted to the Deal Agent with each Funding Notice related to a proposed Advance when new Pools are pledged to the Collateral Agent.</w:t>
      </w:r>
    </w:p>
    <w:p>
      <w:pPr>
        <w:spacing w:after="0" w:line="26"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Fourth Amended and Restated Loan and Security Agreement Effective Date</w:t>
      </w:r>
      <w:r>
        <w:rPr>
          <w:rFonts w:ascii="Arial" w:cs="Arial" w:eastAsia="Arial" w:hAnsi="Arial"/>
          <w:sz w:val="22"/>
          <w:szCs w:val="22"/>
          <w:color w:val="auto"/>
        </w:rPr>
        <w:t>: June 16,</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2010.</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Funded Debt</w:t>
      </w:r>
      <w:r>
        <w:rPr>
          <w:rFonts w:ascii="Arial" w:cs="Arial" w:eastAsia="Arial" w:hAnsi="Arial"/>
          <w:sz w:val="22"/>
          <w:szCs w:val="22"/>
          <w:color w:val="auto"/>
        </w:rPr>
        <w:t>: Without duplication, (a) all indebtedness of any Person for borrowed money</w:t>
      </w:r>
    </w:p>
    <w:p>
      <w:pPr>
        <w:spacing w:after="0" w:line="58" w:lineRule="exact"/>
        <w:rPr>
          <w:sz w:val="20"/>
          <w:szCs w:val="20"/>
          <w:color w:val="auto"/>
        </w:rPr>
      </w:pPr>
    </w:p>
    <w:p>
      <w:pPr>
        <w:jc w:val="both"/>
        <w:ind w:left="700"/>
        <w:spacing w:after="0" w:line="286" w:lineRule="auto"/>
        <w:rPr>
          <w:sz w:val="20"/>
          <w:szCs w:val="20"/>
          <w:color w:val="auto"/>
        </w:rPr>
      </w:pPr>
      <w:r>
        <w:rPr>
          <w:rFonts w:ascii="Arial" w:cs="Arial" w:eastAsia="Arial" w:hAnsi="Arial"/>
          <w:sz w:val="19"/>
          <w:szCs w:val="19"/>
          <w:color w:val="auto"/>
        </w:rPr>
        <w:t xml:space="preserve">or for the deferred purchase price of property or services as of such date (other than Operating Leases and trade liabilities and royalties payable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of such Person in respect of letters of credit (other than trade letters of credit), bankers acceptances or similar obligations issued or created for the account of such Person, (d) all liabilities of the type described in (a), (b) and (c) above that are secured by any Liens (as defined in the Credit Agreement) on any property owned by such Person as of such date even though such Person has not assumed or otherwise become liable for the payment thereof, in the case of each of the items in clauses (a) through (d), the amount of which is determined in accordance with GAAP;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however, that so long as such Person is not personally liable for any such liability, the amount of such liability shall be deemed to be the lesser of the fair market value at such date of the property subject to the Lien (as defined in the Credit Agreement) securing such liability and the amount of the liability secured, and (e) all guarantee obligations in respect of any liability which constitutes Funded Debt; </w:t>
      </w:r>
      <w:r>
        <w:rPr>
          <w:rFonts w:ascii="Arial" w:cs="Arial" w:eastAsia="Arial" w:hAnsi="Arial"/>
          <w:sz w:val="19"/>
          <w:szCs w:val="19"/>
          <w:i w:val="1"/>
          <w:iCs w:val="1"/>
          <w:color w:val="auto"/>
        </w:rPr>
        <w:t>provided</w:t>
      </w:r>
      <w:r>
        <w:rPr>
          <w:rFonts w:ascii="Arial" w:cs="Arial" w:eastAsia="Arial" w:hAnsi="Arial"/>
          <w:sz w:val="19"/>
          <w:szCs w:val="19"/>
          <w:color w:val="auto"/>
        </w:rPr>
        <w:t>, however, that Funded Debt shall not include any indebtedness under any Hedging Agreement (as defined in the Credit Agreement) prior to the occurrence of a termination event with respect</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24</w:t>
      </w:r>
    </w:p>
    <w:p>
      <w:pPr>
        <w:sectPr>
          <w:pgSz w:w="11900" w:h="16838" w:orient="portrait"/>
          <w:cols w:equalWidth="0" w:num="1">
            <w:col w:w="11140"/>
          </w:cols>
          <w:pgMar w:left="320" w:top="1428" w:right="439" w:bottom="1440" w:gutter="0" w:footer="0" w:header="0"/>
        </w:sectPr>
      </w:pPr>
    </w:p>
    <w:bookmarkStart w:id="292" w:name="page293"/>
    <w:bookmarkEnd w:id="292"/>
    <w:p>
      <w:pPr>
        <w:jc w:val="both"/>
        <w:ind w:left="120" w:right="60"/>
        <w:spacing w:after="0" w:line="261" w:lineRule="auto"/>
        <w:rPr>
          <w:sz w:val="20"/>
          <w:szCs w:val="20"/>
          <w:color w:val="auto"/>
        </w:rPr>
      </w:pPr>
      <w:r>
        <w:rPr>
          <w:rFonts w:ascii="Arial" w:cs="Arial" w:eastAsia="Arial" w:hAnsi="Arial"/>
          <w:sz w:val="21"/>
          <w:szCs w:val="21"/>
          <w:color w:val="auto"/>
        </w:rPr>
        <w:t xml:space="preserve">thereto;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upon the defeasance or satisfaction and discharge of Funded Debt in accordance with the terms of such Funded Debt, such Funded Debt will cease to be “Funded Debt” hereunder (for the avoidance of doubt, including upon the giving or mailing of a notice of redemption and redemption funds being deposited with a trustee or paying agent or otherwise segregated or held in trust or under an escrow or other funding arrangement for the sole purpose of repurchasing, redeeming, defeasing, repaying, satisfying and discharging, or otherwise acquiring or retiring such Funded Debt in accordance with the terms of such Funded Debt).</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Funding</w:t>
      </w:r>
      <w:r>
        <w:rPr>
          <w:rFonts w:ascii="Arial" w:cs="Arial" w:eastAsia="Arial" w:hAnsi="Arial"/>
          <w:sz w:val="22"/>
          <w:szCs w:val="22"/>
          <w:color w:val="auto"/>
        </w:rPr>
        <w:t>: An Advance by a Lender pursuant to Section 2.1 and Section 2.3 hereof.</w:t>
      </w:r>
    </w:p>
    <w:p>
      <w:pPr>
        <w:spacing w:after="0" w:line="247" w:lineRule="exact"/>
        <w:rPr>
          <w:sz w:val="20"/>
          <w:szCs w:val="20"/>
          <w:color w:val="auto"/>
        </w:rPr>
      </w:pPr>
    </w:p>
    <w:p>
      <w:pPr>
        <w:jc w:val="both"/>
        <w:ind w:left="120" w:right="40" w:firstLine="648"/>
        <w:spacing w:after="0" w:line="253" w:lineRule="auto"/>
        <w:rPr>
          <w:sz w:val="20"/>
          <w:szCs w:val="20"/>
          <w:color w:val="auto"/>
        </w:rPr>
      </w:pPr>
      <w:r>
        <w:rPr>
          <w:rFonts w:ascii="Arial" w:cs="Arial" w:eastAsia="Arial" w:hAnsi="Arial"/>
          <w:sz w:val="22"/>
          <w:szCs w:val="22"/>
          <w:u w:val="single" w:color="auto"/>
          <w:color w:val="auto"/>
        </w:rPr>
        <w:t>Funding Date</w:t>
      </w:r>
      <w:r>
        <w:rPr>
          <w:rFonts w:ascii="Arial" w:cs="Arial" w:eastAsia="Arial" w:hAnsi="Arial"/>
          <w:sz w:val="22"/>
          <w:szCs w:val="22"/>
          <w:color w:val="auto"/>
        </w:rPr>
        <w:t>: In the case of the Initial Funding, and as to any Incremental Funding, the second Business Day immediately following receipt by the Deal Agent of a Funding Notice, delivered in accordance with Section 2.3, provided that such Funding Notice is received by 5:00 pm, Charlotte time.</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21"/>
          <w:szCs w:val="21"/>
          <w:u w:val="single" w:color="auto"/>
          <w:color w:val="auto"/>
        </w:rPr>
        <w:t>Funding Notice</w:t>
      </w:r>
      <w:r>
        <w:rPr>
          <w:rFonts w:ascii="Arial" w:cs="Arial" w:eastAsia="Arial" w:hAnsi="Arial"/>
          <w:sz w:val="21"/>
          <w:szCs w:val="21"/>
          <w:color w:val="auto"/>
        </w:rPr>
        <w:t>: The notice, in the form of Exhibit A hereto, delivered in accordance with Section 2.3 hereof.</w:t>
      </w:r>
    </w:p>
    <w:p>
      <w:pPr>
        <w:spacing w:after="0" w:line="25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as in effect from time to time in the United States.</w:t>
      </w:r>
    </w:p>
    <w:p>
      <w:pPr>
        <w:spacing w:after="0" w:line="260" w:lineRule="exact"/>
        <w:rPr>
          <w:sz w:val="20"/>
          <w:szCs w:val="20"/>
          <w:color w:val="auto"/>
        </w:rPr>
      </w:pPr>
    </w:p>
    <w:p>
      <w:pPr>
        <w:jc w:val="both"/>
        <w:ind w:left="120" w:firstLine="648"/>
        <w:spacing w:after="0" w:line="297" w:lineRule="auto"/>
        <w:rPr>
          <w:sz w:val="20"/>
          <w:szCs w:val="20"/>
          <w:color w:val="auto"/>
        </w:rPr>
      </w:pPr>
      <w:r>
        <w:rPr>
          <w:rFonts w:ascii="Arial" w:cs="Arial" w:eastAsia="Arial" w:hAnsi="Arial"/>
          <w:sz w:val="19"/>
          <w:szCs w:val="19"/>
          <w:u w:val="single" w:color="auto"/>
          <w:color w:val="auto"/>
        </w:rPr>
        <w:t>Governmental Authority</w:t>
      </w:r>
      <w:r>
        <w:rPr>
          <w:rFonts w:ascii="Arial" w:cs="Arial" w:eastAsia="Arial" w:hAnsi="Arial"/>
          <w:sz w:val="19"/>
          <w:szCs w:val="19"/>
          <w:color w:val="auto"/>
        </w:rPr>
        <w:t>: Any nation or government, any state or other political subdivision thereof, any central bank (or similar monetary or regulatory authority) thereof, any body or entity exercising executive, legislative, judicial, regulatory or administrative functions of or pertaining to government and any court or arbitrator having jurisdiction over such Person, and any accounting board or authority (whether or not a part of government) which is responsible for the establishment or interpretation of national or international accounting principles, in each case whether foreign or domestic.</w:t>
      </w:r>
    </w:p>
    <w:p>
      <w:pPr>
        <w:spacing w:after="0" w:line="187" w:lineRule="exact"/>
        <w:rPr>
          <w:sz w:val="20"/>
          <w:szCs w:val="20"/>
          <w:color w:val="auto"/>
        </w:rPr>
      </w:pPr>
    </w:p>
    <w:p>
      <w:pPr>
        <w:jc w:val="both"/>
        <w:ind w:left="120" w:right="60" w:firstLine="648"/>
        <w:spacing w:after="0" w:line="263" w:lineRule="auto"/>
        <w:rPr>
          <w:sz w:val="20"/>
          <w:szCs w:val="20"/>
          <w:color w:val="auto"/>
        </w:rPr>
      </w:pPr>
      <w:r>
        <w:rPr>
          <w:rFonts w:ascii="Arial" w:cs="Arial" w:eastAsia="Arial" w:hAnsi="Arial"/>
          <w:sz w:val="22"/>
          <w:szCs w:val="22"/>
          <w:u w:val="single" w:color="auto"/>
          <w:color w:val="auto"/>
        </w:rPr>
        <w:t>Hedge Breakage Costs</w:t>
      </w:r>
      <w:r>
        <w:rPr>
          <w:rFonts w:ascii="Arial" w:cs="Arial" w:eastAsia="Arial" w:hAnsi="Arial"/>
          <w:sz w:val="22"/>
          <w:szCs w:val="22"/>
          <w:color w:val="auto"/>
        </w:rPr>
        <w:t>: For any Hedging Agreement, any amount payable by the Borrower for the early termination of such Hedging Agreement or any portion thereof.</w:t>
      </w:r>
    </w:p>
    <w:p>
      <w:pPr>
        <w:spacing w:after="0" w:line="13" w:lineRule="exact"/>
        <w:rPr>
          <w:sz w:val="20"/>
          <w:szCs w:val="20"/>
          <w:color w:val="auto"/>
        </w:rPr>
      </w:pPr>
    </w:p>
    <w:p>
      <w:pPr>
        <w:jc w:val="both"/>
        <w:ind w:left="120" w:right="40" w:firstLine="648"/>
        <w:spacing w:after="0" w:line="253" w:lineRule="auto"/>
        <w:rPr>
          <w:sz w:val="20"/>
          <w:szCs w:val="20"/>
          <w:color w:val="auto"/>
        </w:rPr>
      </w:pPr>
      <w:r>
        <w:rPr>
          <w:rFonts w:ascii="Arial" w:cs="Arial" w:eastAsia="Arial" w:hAnsi="Arial"/>
          <w:sz w:val="22"/>
          <w:szCs w:val="22"/>
          <w:u w:val="single" w:color="auto"/>
          <w:color w:val="auto"/>
        </w:rPr>
        <w:t>Hedge Costs</w:t>
      </w:r>
      <w:r>
        <w:rPr>
          <w:rFonts w:ascii="Arial" w:cs="Arial" w:eastAsia="Arial" w:hAnsi="Arial"/>
          <w:sz w:val="22"/>
          <w:szCs w:val="22"/>
          <w:color w:val="auto"/>
        </w:rPr>
        <w:t>: For any Hedging Agreement, any amount payable by the Borrower with respect thereto, including any swap payments, any breakage payments, any termination payments, any notional reduction payments and any other amounts due to the Hedge Counterparty.</w:t>
      </w:r>
    </w:p>
    <w:p>
      <w:pPr>
        <w:spacing w:after="0" w:line="77"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21"/>
          <w:szCs w:val="21"/>
          <w:u w:val="single" w:color="auto"/>
          <w:color w:val="auto"/>
        </w:rPr>
        <w:t>Hedge Counterparty</w:t>
      </w:r>
      <w:r>
        <w:rPr>
          <w:rFonts w:ascii="Arial" w:cs="Arial" w:eastAsia="Arial" w:hAnsi="Arial"/>
          <w:sz w:val="21"/>
          <w:szCs w:val="21"/>
          <w:color w:val="auto"/>
        </w:rPr>
        <w:t>: (I) Any entity that (a) on the date of entering into any Hedge Transaction (i) is an interest rate swap dealer and (ii) unless otherwise agreed to by the Deal Agent, has a long-term unsecured debt rating of not less than “A” by S&amp;P and not less than “A2” by Moody’s (“</w:t>
      </w:r>
      <w:r>
        <w:rPr>
          <w:rFonts w:ascii="Arial" w:cs="Arial" w:eastAsia="Arial" w:hAnsi="Arial"/>
          <w:sz w:val="21"/>
          <w:szCs w:val="21"/>
          <w:u w:val="single" w:color="auto"/>
          <w:color w:val="auto"/>
        </w:rPr>
        <w:t>Long-term Rating Requirement</w:t>
      </w:r>
      <w:r>
        <w:rPr>
          <w:rFonts w:ascii="Arial" w:cs="Arial" w:eastAsia="Arial" w:hAnsi="Arial"/>
          <w:sz w:val="21"/>
          <w:szCs w:val="21"/>
          <w:color w:val="auto"/>
        </w:rPr>
        <w:t>”) and a short-term unsecured debt rating of not less than “A-1” by S&amp;P and not less than “P-1” by Moody’s (“</w:t>
      </w:r>
      <w:r>
        <w:rPr>
          <w:rFonts w:ascii="Arial" w:cs="Arial" w:eastAsia="Arial" w:hAnsi="Arial"/>
          <w:sz w:val="21"/>
          <w:szCs w:val="21"/>
          <w:u w:val="single" w:color="auto"/>
          <w:color w:val="auto"/>
        </w:rPr>
        <w:t>Short-term Rating Requirement</w:t>
      </w:r>
      <w:r>
        <w:rPr>
          <w:rFonts w:ascii="Arial" w:cs="Arial" w:eastAsia="Arial" w:hAnsi="Arial"/>
          <w:sz w:val="21"/>
          <w:szCs w:val="21"/>
          <w:color w:val="auto"/>
        </w:rPr>
        <w:t xml:space="preserve">”), and (b) in a Hedging Agreement (i) consents to the assignment of the Borrower’s rights under the Hedging Agreement to the Collateral Agent pursuant to </w:t>
      </w:r>
      <w:r>
        <w:rPr>
          <w:rFonts w:ascii="Arial" w:cs="Arial" w:eastAsia="Arial" w:hAnsi="Arial"/>
          <w:sz w:val="21"/>
          <w:szCs w:val="21"/>
          <w:u w:val="single" w:color="auto"/>
          <w:color w:val="auto"/>
        </w:rPr>
        <w:t>Section 2.2(a)</w:t>
      </w:r>
      <w:r>
        <w:rPr>
          <w:rFonts w:ascii="Arial" w:cs="Arial" w:eastAsia="Arial" w:hAnsi="Arial"/>
          <w:sz w:val="21"/>
          <w:szCs w:val="21"/>
          <w:color w:val="auto"/>
        </w:rPr>
        <w:t xml:space="preserve"> (except in the case of an interest rate cap where such consent is not required) and (ii) agrees that in the event that Moody’s or S&amp;P reduces its long-term unsecured debt rating below the Long-term Rating Requirement, or reduces its short-term unsecured debt rating below the Short-term Rating Requirement, it shall transfer its rights and obligations under each Hedging Agreement to</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25</w:t>
      </w:r>
    </w:p>
    <w:p>
      <w:pPr>
        <w:sectPr>
          <w:pgSz w:w="11900" w:h="16838" w:orient="portrait"/>
          <w:cols w:equalWidth="0" w:num="1">
            <w:col w:w="11140"/>
          </w:cols>
          <w:pgMar w:left="320" w:top="1428" w:right="439" w:bottom="1440" w:gutter="0" w:footer="0" w:header="0"/>
        </w:sectPr>
      </w:pPr>
    </w:p>
    <w:bookmarkStart w:id="293" w:name="page294"/>
    <w:bookmarkEnd w:id="293"/>
    <w:p>
      <w:pPr>
        <w:jc w:val="both"/>
        <w:ind w:left="700" w:right="20"/>
        <w:spacing w:after="0" w:line="286" w:lineRule="auto"/>
        <w:rPr>
          <w:sz w:val="20"/>
          <w:szCs w:val="20"/>
          <w:color w:val="auto"/>
        </w:rPr>
      </w:pPr>
      <w:r>
        <w:rPr>
          <w:rFonts w:ascii="Arial" w:cs="Arial" w:eastAsia="Arial" w:hAnsi="Arial"/>
          <w:sz w:val="19"/>
          <w:szCs w:val="19"/>
          <w:color w:val="auto"/>
        </w:rPr>
        <w:t xml:space="preserve">another entity that meets the requirements of clauses (I)(a) and (I)(b) hereof and has entered into a Hedging Agreement with the Borrower on or prior to the date of such transfer (except in the case of an interest rate cap where such transfer is not required), </w:t>
      </w:r>
      <w:r>
        <w:rPr>
          <w:rFonts w:ascii="Arial" w:cs="Arial" w:eastAsia="Arial" w:hAnsi="Arial"/>
          <w:sz w:val="19"/>
          <w:szCs w:val="19"/>
          <w:u w:val="single" w:color="auto"/>
          <w:color w:val="auto"/>
        </w:rPr>
        <w:t>or</w:t>
      </w:r>
      <w:r>
        <w:rPr>
          <w:rFonts w:ascii="Arial" w:cs="Arial" w:eastAsia="Arial" w:hAnsi="Arial"/>
          <w:sz w:val="19"/>
          <w:szCs w:val="19"/>
          <w:color w:val="auto"/>
        </w:rPr>
        <w:t xml:space="preserve"> (II) in respect of a Hedge Transaction entered into during the period commencing on June 23, 2016 and concluding on the Commitment Termination Date, any entity that (a) on the date of entering into any Hedge Transaction</w:t>
      </w:r>
    </w:p>
    <w:p>
      <w:pPr>
        <w:spacing w:after="0" w:line="3" w:lineRule="exact"/>
        <w:rPr>
          <w:sz w:val="20"/>
          <w:szCs w:val="20"/>
          <w:color w:val="auto"/>
        </w:rPr>
      </w:pPr>
    </w:p>
    <w:p>
      <w:pPr>
        <w:jc w:val="both"/>
        <w:ind w:left="700" w:right="20" w:hanging="9"/>
        <w:spacing w:after="0" w:line="243" w:lineRule="auto"/>
        <w:tabs>
          <w:tab w:leader="none" w:pos="973" w:val="left"/>
        </w:tabs>
        <w:numPr>
          <w:ilvl w:val="0"/>
          <w:numId w:val="289"/>
        </w:numPr>
        <w:rPr>
          <w:rFonts w:ascii="Arial" w:cs="Arial" w:eastAsia="Arial" w:hAnsi="Arial"/>
          <w:sz w:val="22"/>
          <w:szCs w:val="22"/>
          <w:color w:val="auto"/>
        </w:rPr>
      </w:pPr>
      <w:r>
        <w:rPr>
          <w:rFonts w:ascii="Arial" w:cs="Arial" w:eastAsia="Arial" w:hAnsi="Arial"/>
          <w:sz w:val="22"/>
          <w:szCs w:val="22"/>
          <w:color w:val="auto"/>
        </w:rPr>
        <w:t xml:space="preserve">is a bank signatory to the Credit Agreement (other than Israel Discount Bank of New York or an Affiliate) and (ii) unless otherwise agreed to by the Deal Agent, has not experienced a withdrawal or downgrade of its short- or long-term unsecured debt rating since </w:t>
      </w:r>
      <w:r>
        <w:rPr>
          <w:rFonts w:ascii="Arial" w:cs="Arial" w:eastAsia="Arial" w:hAnsi="Arial"/>
          <w:sz w:val="22"/>
          <w:szCs w:val="22"/>
          <w:color w:val="FF0000"/>
          <w:strike w:val="1"/>
        </w:rPr>
        <w:t>July</w:t>
      </w:r>
      <w:r>
        <w:rPr>
          <w:rFonts w:ascii="Arial" w:cs="Arial" w:eastAsia="Arial" w:hAnsi="Arial"/>
          <w:sz w:val="22"/>
          <w:szCs w:val="22"/>
          <w:u w:val="single" w:color="auto"/>
          <w:color w:val="0000FF"/>
        </w:rPr>
        <w:t>June</w:t>
      </w:r>
      <w:r>
        <w:rPr>
          <w:rFonts w:ascii="Arial" w:cs="Arial" w:eastAsia="Arial" w:hAnsi="Arial"/>
          <w:sz w:val="22"/>
          <w:szCs w:val="22"/>
          <w:color w:val="auto"/>
        </w:rPr>
        <w:t xml:space="preserve"> 23, 2016, and (b) in a Hedging Agreement (i) consents to the assignment of the Borrower’s rights under the Hedging Agreement to the Collateral Agent pursuant to </w:t>
      </w:r>
      <w:r>
        <w:rPr>
          <w:rFonts w:ascii="Arial" w:cs="Arial" w:eastAsia="Arial" w:hAnsi="Arial"/>
          <w:sz w:val="22"/>
          <w:szCs w:val="22"/>
          <w:u w:val="single" w:color="auto"/>
          <w:color w:val="auto"/>
        </w:rPr>
        <w:t>Section 2.2(a)</w:t>
      </w:r>
      <w:r>
        <w:rPr>
          <w:rFonts w:ascii="Arial" w:cs="Arial" w:eastAsia="Arial" w:hAnsi="Arial"/>
          <w:sz w:val="22"/>
          <w:szCs w:val="22"/>
          <w:color w:val="auto"/>
        </w:rPr>
        <w:t xml:space="preserve"> (except in the case of an interest rate cap where such consent is not required) and (ii) agrees that in the event that it experiences a withdrawal or reduction of its long-term unsecured debt rating such that it no longer has a minimum rating of “BBB-,” it shall transfer its rights and obligations under each Hedging Agreement to another entity that meets the requirements of clauses (I)(a) and (I)(b) or clauses (II)(a) and (II)(b) hereof and has entered into a Hedging Agreement with the Borrower on or prior to the date of such transfer (except in the case of an interest rate cap where such transfer is not required).</w:t>
      </w:r>
    </w:p>
    <w:p>
      <w:pPr>
        <w:spacing w:after="0" w:line="242" w:lineRule="exact"/>
        <w:rPr>
          <w:sz w:val="20"/>
          <w:szCs w:val="20"/>
          <w:color w:val="auto"/>
        </w:rPr>
      </w:pPr>
    </w:p>
    <w:p>
      <w:pPr>
        <w:ind w:left="700" w:right="20" w:firstLine="648"/>
        <w:spacing w:after="0" w:line="343" w:lineRule="auto"/>
        <w:rPr>
          <w:sz w:val="20"/>
          <w:szCs w:val="20"/>
          <w:color w:val="auto"/>
        </w:rPr>
      </w:pPr>
      <w:r>
        <w:rPr>
          <w:rFonts w:ascii="Arial" w:cs="Arial" w:eastAsia="Arial" w:hAnsi="Arial"/>
          <w:sz w:val="19"/>
          <w:szCs w:val="19"/>
          <w:u w:val="single" w:color="auto"/>
          <w:color w:val="auto"/>
        </w:rPr>
        <w:t>Hedge Transaction</w:t>
      </w:r>
      <w:r>
        <w:rPr>
          <w:rFonts w:ascii="Arial" w:cs="Arial" w:eastAsia="Arial" w:hAnsi="Arial"/>
          <w:sz w:val="19"/>
          <w:szCs w:val="19"/>
          <w:color w:val="auto"/>
        </w:rPr>
        <w:t xml:space="preserve">: Each interest rate swap or other interest rate protection transaction between the Borrower and a Hedge Counterparty that is entered into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hereof and is governed by a Hedging Agreement.</w:t>
      </w:r>
    </w:p>
    <w:p>
      <w:pPr>
        <w:spacing w:after="0" w:line="131" w:lineRule="exact"/>
        <w:rPr>
          <w:sz w:val="20"/>
          <w:szCs w:val="20"/>
          <w:color w:val="auto"/>
        </w:rPr>
      </w:pPr>
    </w:p>
    <w:p>
      <w:pPr>
        <w:jc w:val="both"/>
        <w:ind w:left="700" w:firstLine="648"/>
        <w:spacing w:after="0" w:line="248" w:lineRule="auto"/>
        <w:rPr>
          <w:sz w:val="20"/>
          <w:szCs w:val="20"/>
          <w:color w:val="auto"/>
        </w:rPr>
      </w:pPr>
      <w:r>
        <w:rPr>
          <w:rFonts w:ascii="Arial" w:cs="Arial" w:eastAsia="Arial" w:hAnsi="Arial"/>
          <w:sz w:val="22"/>
          <w:szCs w:val="22"/>
          <w:u w:val="single" w:color="auto"/>
          <w:color w:val="auto"/>
        </w:rPr>
        <w:t>Hedging Agreement</w:t>
      </w:r>
      <w:r>
        <w:rPr>
          <w:rFonts w:ascii="Arial" w:cs="Arial" w:eastAsia="Arial" w:hAnsi="Arial"/>
          <w:sz w:val="22"/>
          <w:szCs w:val="22"/>
          <w:color w:val="auto"/>
        </w:rPr>
        <w:t xml:space="preserve">: Each agreement between the Borrower and a Hedge Counterparty that governs one or more Hedge Transactions entered into pursuant to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hereof, , which agreement shall be in form and substance reasonably satisfactory to the Deal Agent, and each “Confirmation” thereunder confirming the specific terms of each such Hedge Transaction; provided, however, that for the avoidance of doubt no ISDA Master Agreement shall be required for any interest rate cap transaction.</w:t>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19"/>
          <w:szCs w:val="19"/>
          <w:u w:val="single" w:color="auto"/>
          <w:color w:val="auto"/>
        </w:rPr>
        <w:t>Increased Costs</w:t>
      </w:r>
      <w:r>
        <w:rPr>
          <w:rFonts w:ascii="Arial" w:cs="Arial" w:eastAsia="Arial" w:hAnsi="Arial"/>
          <w:sz w:val="19"/>
          <w:szCs w:val="19"/>
          <w:color w:val="auto"/>
        </w:rPr>
        <w:t xml:space="preserve">: Any amounts required to be paid by the Borrower to an Affected Party pursuant to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281" w:lineRule="exact"/>
        <w:rPr>
          <w:sz w:val="20"/>
          <w:szCs w:val="20"/>
          <w:color w:val="auto"/>
        </w:rPr>
      </w:pPr>
    </w:p>
    <w:p>
      <w:pPr>
        <w:jc w:val="both"/>
        <w:ind w:left="700" w:right="20" w:firstLine="648"/>
        <w:spacing w:after="0" w:line="263" w:lineRule="auto"/>
        <w:rPr>
          <w:sz w:val="20"/>
          <w:szCs w:val="20"/>
          <w:color w:val="auto"/>
        </w:rPr>
      </w:pPr>
      <w:r>
        <w:rPr>
          <w:rFonts w:ascii="Arial" w:cs="Arial" w:eastAsia="Arial" w:hAnsi="Arial"/>
          <w:sz w:val="22"/>
          <w:szCs w:val="22"/>
          <w:u w:val="single" w:color="auto"/>
          <w:color w:val="auto"/>
        </w:rPr>
        <w:t>Incremental Funding</w:t>
      </w:r>
      <w:r>
        <w:rPr>
          <w:rFonts w:ascii="Arial" w:cs="Arial" w:eastAsia="Arial" w:hAnsi="Arial"/>
          <w:sz w:val="22"/>
          <w:szCs w:val="22"/>
          <w:color w:val="auto"/>
        </w:rPr>
        <w:t>: Any Advance made after the Initial Funding that increases the aggregate outstanding Capital hereunder.</w:t>
      </w:r>
    </w:p>
    <w:p>
      <w:pPr>
        <w:spacing w:after="0" w:line="310"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Independent Director</w:t>
      </w:r>
      <w:r>
        <w:rPr>
          <w:rFonts w:ascii="Arial" w:cs="Arial" w:eastAsia="Arial" w:hAnsi="Arial"/>
          <w:sz w:val="22"/>
          <w:szCs w:val="22"/>
          <w:color w:val="auto"/>
        </w:rPr>
        <w:t xml:space="preserve">: Defined in Section 5.2(o)(xxvii). </w:t>
      </w:r>
      <w:r>
        <w:rPr>
          <w:rFonts w:ascii="Arial" w:cs="Arial" w:eastAsia="Arial" w:hAnsi="Arial"/>
          <w:sz w:val="22"/>
          <w:szCs w:val="22"/>
          <w:u w:val="single" w:color="auto"/>
          <w:color w:val="auto"/>
        </w:rPr>
        <w:t>Ineligible Contract</w:t>
      </w:r>
      <w:r>
        <w:rPr>
          <w:rFonts w:ascii="Arial" w:cs="Arial" w:eastAsia="Arial" w:hAnsi="Arial"/>
          <w:sz w:val="22"/>
          <w:szCs w:val="22"/>
          <w:color w:val="auto"/>
        </w:rPr>
        <w:t>: Each Contract</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other than an Eligible Contract. </w:t>
      </w:r>
      <w:r>
        <w:rPr>
          <w:rFonts w:ascii="Arial" w:cs="Arial" w:eastAsia="Arial" w:hAnsi="Arial"/>
          <w:sz w:val="22"/>
          <w:szCs w:val="22"/>
          <w:u w:val="single" w:color="auto"/>
          <w:color w:val="auto"/>
        </w:rPr>
        <w:t>Ineligible Loan</w:t>
      </w:r>
      <w:r>
        <w:rPr>
          <w:rFonts w:ascii="Arial" w:cs="Arial" w:eastAsia="Arial" w:hAnsi="Arial"/>
          <w:sz w:val="22"/>
          <w:szCs w:val="22"/>
          <w:color w:val="auto"/>
        </w:rPr>
        <w:t>: Each Loan other than an Eligible Loan.</w:t>
      </w:r>
    </w:p>
    <w:p>
      <w:pPr>
        <w:spacing w:after="0" w:line="220"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Indemnified Amounts</w:t>
      </w:r>
      <w:r>
        <w:rPr>
          <w:rFonts w:ascii="Arial" w:cs="Arial" w:eastAsia="Arial" w:hAnsi="Arial"/>
          <w:sz w:val="22"/>
          <w:szCs w:val="22"/>
          <w:color w:val="auto"/>
        </w:rPr>
        <w:t xml:space="preserve">: Defined in Section 11.1(a). </w:t>
      </w:r>
      <w:r>
        <w:rPr>
          <w:rFonts w:ascii="Arial" w:cs="Arial" w:eastAsia="Arial" w:hAnsi="Arial"/>
          <w:sz w:val="22"/>
          <w:szCs w:val="22"/>
          <w:u w:val="single" w:color="auto"/>
          <w:color w:val="auto"/>
        </w:rPr>
        <w:t>Indemnified Parties</w:t>
      </w:r>
      <w:r>
        <w:rPr>
          <w:rFonts w:ascii="Arial" w:cs="Arial" w:eastAsia="Arial" w:hAnsi="Arial"/>
          <w:sz w:val="22"/>
          <w:szCs w:val="22"/>
          <w:color w:val="auto"/>
        </w:rPr>
        <w:t>: Defined in</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Section 11.1(a).</w:t>
      </w:r>
    </w:p>
    <w:p>
      <w:pPr>
        <w:spacing w:after="0" w:line="112"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Initial Funding</w:t>
      </w:r>
      <w:r>
        <w:rPr>
          <w:rFonts w:ascii="Arial" w:cs="Arial" w:eastAsia="Arial" w:hAnsi="Arial"/>
          <w:sz w:val="22"/>
          <w:szCs w:val="22"/>
          <w:color w:val="auto"/>
        </w:rPr>
        <w:t>: Defined in Section 2.3(a).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26</w:t>
      </w:r>
    </w:p>
    <w:p>
      <w:pPr>
        <w:sectPr>
          <w:pgSz w:w="11900" w:h="16838" w:orient="portrait"/>
          <w:cols w:equalWidth="0" w:num="1">
            <w:col w:w="11140"/>
          </w:cols>
          <w:pgMar w:left="320" w:top="1428" w:right="439" w:bottom="1440" w:gutter="0" w:footer="0" w:header="0"/>
        </w:sectPr>
      </w:pPr>
    </w:p>
    <w:bookmarkStart w:id="294" w:name="page295"/>
    <w:bookmarkEnd w:id="294"/>
    <w:p>
      <w:pPr>
        <w:jc w:val="both"/>
        <w:ind w:left="700" w:firstLine="648"/>
        <w:spacing w:after="0" w:line="257" w:lineRule="auto"/>
        <w:rPr>
          <w:sz w:val="20"/>
          <w:szCs w:val="20"/>
          <w:color w:val="auto"/>
        </w:rPr>
      </w:pPr>
      <w:r>
        <w:rPr>
          <w:rFonts w:ascii="Arial" w:cs="Arial" w:eastAsia="Arial" w:hAnsi="Arial"/>
          <w:sz w:val="21"/>
          <w:szCs w:val="21"/>
          <w:u w:val="single" w:color="auto"/>
          <w:color w:val="auto"/>
        </w:rPr>
        <w:t>Insolvency Event</w:t>
      </w:r>
      <w:r>
        <w:rPr>
          <w:rFonts w:ascii="Arial" w:cs="Arial" w:eastAsia="Arial" w:hAnsi="Arial"/>
          <w:sz w:val="21"/>
          <w:szCs w:val="21"/>
          <w:color w:val="auto"/>
        </w:rPr>
        <w:t>: With respect to a specified Person, (a)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231" w:lineRule="exact"/>
        <w:rPr>
          <w:sz w:val="20"/>
          <w:szCs w:val="20"/>
          <w:color w:val="auto"/>
        </w:rPr>
      </w:pPr>
    </w:p>
    <w:p>
      <w:pPr>
        <w:jc w:val="both"/>
        <w:ind w:left="700" w:right="20" w:firstLine="648"/>
        <w:spacing w:after="0" w:line="253" w:lineRule="auto"/>
        <w:rPr>
          <w:sz w:val="20"/>
          <w:szCs w:val="20"/>
          <w:color w:val="auto"/>
        </w:rPr>
      </w:pPr>
      <w:r>
        <w:rPr>
          <w:rFonts w:ascii="Arial" w:cs="Arial" w:eastAsia="Arial" w:hAnsi="Arial"/>
          <w:sz w:val="22"/>
          <w:szCs w:val="22"/>
          <w:u w:val="single" w:color="auto"/>
          <w:color w:val="auto"/>
        </w:rPr>
        <w:t>Insolvency Laws</w:t>
      </w:r>
      <w:r>
        <w:rPr>
          <w:rFonts w:ascii="Arial" w:cs="Arial" w:eastAsia="Arial" w:hAnsi="Arial"/>
          <w:sz w:val="22"/>
          <w:szCs w:val="22"/>
          <w:color w:val="auto"/>
        </w:rPr>
        <w:t>: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spacing w:after="0" w:line="212" w:lineRule="exact"/>
        <w:rPr>
          <w:sz w:val="20"/>
          <w:szCs w:val="20"/>
          <w:color w:val="auto"/>
        </w:rPr>
      </w:pPr>
    </w:p>
    <w:p>
      <w:pPr>
        <w:jc w:val="both"/>
        <w:ind w:left="700" w:right="40" w:firstLine="648"/>
        <w:spacing w:after="0" w:line="263" w:lineRule="auto"/>
        <w:rPr>
          <w:sz w:val="20"/>
          <w:szCs w:val="20"/>
          <w:color w:val="auto"/>
        </w:rPr>
      </w:pPr>
      <w:r>
        <w:rPr>
          <w:rFonts w:ascii="Arial" w:cs="Arial" w:eastAsia="Arial" w:hAnsi="Arial"/>
          <w:sz w:val="22"/>
          <w:szCs w:val="22"/>
          <w:u w:val="single" w:color="auto"/>
          <w:color w:val="auto"/>
        </w:rPr>
        <w:t>Insolvency Proceeding</w:t>
      </w:r>
      <w:r>
        <w:rPr>
          <w:rFonts w:ascii="Arial" w:cs="Arial" w:eastAsia="Arial" w:hAnsi="Arial"/>
          <w:sz w:val="22"/>
          <w:szCs w:val="22"/>
          <w:color w:val="auto"/>
        </w:rPr>
        <w:t>: Any case, action or proceeding before any court or other Governmental Authority relating to any Insolvency Event.</w:t>
      </w:r>
    </w:p>
    <w:p>
      <w:pPr>
        <w:spacing w:after="0" w:line="215" w:lineRule="exact"/>
        <w:rPr>
          <w:sz w:val="20"/>
          <w:szCs w:val="20"/>
          <w:color w:val="auto"/>
        </w:rPr>
      </w:pPr>
    </w:p>
    <w:p>
      <w:pPr>
        <w:jc w:val="both"/>
        <w:ind w:left="700" w:right="20" w:firstLine="648"/>
        <w:spacing w:after="0" w:line="263" w:lineRule="auto"/>
        <w:rPr>
          <w:sz w:val="20"/>
          <w:szCs w:val="20"/>
          <w:color w:val="auto"/>
        </w:rPr>
      </w:pPr>
      <w:r>
        <w:rPr>
          <w:rFonts w:ascii="Arial" w:cs="Arial" w:eastAsia="Arial" w:hAnsi="Arial"/>
          <w:sz w:val="22"/>
          <w:szCs w:val="22"/>
          <w:u w:val="single" w:color="auto"/>
          <w:color w:val="auto"/>
        </w:rPr>
        <w:t>Instrument</w:t>
      </w:r>
      <w:r>
        <w:rPr>
          <w:rFonts w:ascii="Arial" w:cs="Arial" w:eastAsia="Arial" w:hAnsi="Arial"/>
          <w:sz w:val="22"/>
          <w:szCs w:val="22"/>
          <w:color w:val="auto"/>
        </w:rPr>
        <w:t>: Any “instrument” (as defined in Article 9 of the UCC), other than an instrument that constitutes part of chattel paper.</w:t>
      </w:r>
    </w:p>
    <w:p>
      <w:pPr>
        <w:spacing w:after="0" w:line="202" w:lineRule="exact"/>
        <w:rPr>
          <w:sz w:val="20"/>
          <w:szCs w:val="20"/>
          <w:color w:val="auto"/>
        </w:rPr>
      </w:pPr>
    </w:p>
    <w:p>
      <w:pPr>
        <w:jc w:val="both"/>
        <w:ind w:left="700" w:right="40" w:firstLine="648"/>
        <w:spacing w:after="0" w:line="250" w:lineRule="auto"/>
        <w:rPr>
          <w:sz w:val="20"/>
          <w:szCs w:val="20"/>
          <w:color w:val="auto"/>
        </w:rPr>
      </w:pPr>
      <w:r>
        <w:rPr>
          <w:rFonts w:ascii="Arial" w:cs="Arial" w:eastAsia="Arial" w:hAnsi="Arial"/>
          <w:sz w:val="22"/>
          <w:szCs w:val="22"/>
          <w:u w:val="single" w:color="auto"/>
          <w:color w:val="auto"/>
        </w:rPr>
        <w:t>Investment</w:t>
      </w:r>
      <w:r>
        <w:rPr>
          <w:rFonts w:ascii="Arial" w:cs="Arial" w:eastAsia="Arial" w:hAnsi="Arial"/>
          <w:sz w:val="22"/>
          <w:szCs w:val="22"/>
          <w:color w:val="auto"/>
        </w:rPr>
        <w:t>: With respect to any Person, any direct or indirect loan, advance or investment by such Person in any other Person, whether by means of share purchase, capital contribution, loan or otherwise, excluding the acquisition of assets pursuant to the Contribution Agreement and excluding commission, travel and similar advances to officers, employees and directors made in the ordinary course of business.</w:t>
      </w:r>
    </w:p>
    <w:p>
      <w:pPr>
        <w:spacing w:after="0" w:line="228"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United States Investment Company Act of 1940, as amended.</w:t>
      </w:r>
    </w:p>
    <w:p>
      <w:pPr>
        <w:spacing w:after="0" w:line="247" w:lineRule="exact"/>
        <w:rPr>
          <w:sz w:val="20"/>
          <w:szCs w:val="20"/>
          <w:color w:val="auto"/>
        </w:rPr>
      </w:pPr>
    </w:p>
    <w:p>
      <w:pPr>
        <w:jc w:val="both"/>
        <w:ind w:left="660" w:right="40" w:firstLine="648"/>
        <w:spacing w:after="0" w:line="250" w:lineRule="auto"/>
        <w:rPr>
          <w:sz w:val="20"/>
          <w:szCs w:val="20"/>
          <w:color w:val="auto"/>
        </w:rPr>
      </w:pPr>
      <w:r>
        <w:rPr>
          <w:rFonts w:ascii="Arial" w:cs="Arial" w:eastAsia="Arial" w:hAnsi="Arial"/>
          <w:sz w:val="22"/>
          <w:szCs w:val="22"/>
          <w:u w:val="single" w:color="auto"/>
          <w:color w:val="0000FF"/>
        </w:rPr>
        <w:t>ISDA Definitions: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28" w:lineRule="exact"/>
        <w:rPr>
          <w:sz w:val="20"/>
          <w:szCs w:val="20"/>
          <w:color w:val="auto"/>
        </w:rPr>
      </w:pPr>
    </w:p>
    <w:p>
      <w:pPr>
        <w:ind w:left="700" w:right="40" w:firstLine="648"/>
        <w:spacing w:after="0" w:line="263" w:lineRule="auto"/>
        <w:rPr>
          <w:sz w:val="20"/>
          <w:szCs w:val="20"/>
          <w:color w:val="auto"/>
        </w:rPr>
      </w:pPr>
      <w:r>
        <w:rPr>
          <w:rFonts w:ascii="Arial" w:cs="Arial" w:eastAsia="Arial" w:hAnsi="Arial"/>
          <w:sz w:val="22"/>
          <w:szCs w:val="22"/>
          <w:u w:val="single" w:color="auto"/>
          <w:color w:val="auto"/>
        </w:rPr>
        <w:t>Late Fees</w:t>
      </w:r>
      <w:r>
        <w:rPr>
          <w:rFonts w:ascii="Arial" w:cs="Arial" w:eastAsia="Arial" w:hAnsi="Arial"/>
          <w:sz w:val="22"/>
          <w:szCs w:val="22"/>
          <w:color w:val="auto"/>
        </w:rPr>
        <w:t>: If the Backup Servicer has become the Successor Servicer, any late fees collected with respect to any Contract in accordance with the Collection Guidelines.</w:t>
      </w:r>
    </w:p>
    <w:p>
      <w:pPr>
        <w:spacing w:after="0" w:line="202" w:lineRule="exact"/>
        <w:rPr>
          <w:sz w:val="20"/>
          <w:szCs w:val="20"/>
          <w:color w:val="auto"/>
        </w:rPr>
      </w:pPr>
    </w:p>
    <w:p>
      <w:pPr>
        <w:ind w:left="700" w:right="40" w:firstLine="648"/>
        <w:spacing w:after="0" w:line="263" w:lineRule="auto"/>
        <w:rPr>
          <w:sz w:val="20"/>
          <w:szCs w:val="20"/>
          <w:color w:val="auto"/>
        </w:rPr>
      </w:pPr>
      <w:r>
        <w:rPr>
          <w:rFonts w:ascii="Arial" w:cs="Arial" w:eastAsia="Arial" w:hAnsi="Arial"/>
          <w:sz w:val="22"/>
          <w:szCs w:val="22"/>
          <w:u w:val="single" w:color="auto"/>
          <w:color w:val="auto"/>
        </w:rPr>
        <w:t>Lenders</w:t>
      </w:r>
      <w:r>
        <w:rPr>
          <w:rFonts w:ascii="Arial" w:cs="Arial" w:eastAsia="Arial" w:hAnsi="Arial"/>
          <w:sz w:val="22"/>
          <w:szCs w:val="22"/>
          <w:color w:val="auto"/>
        </w:rPr>
        <w:t>: Collectively, Wells Fargo and any other Person that agrees, pursuant to the pertinent Assignment and Acceptance, to make or maintain Fundings pursuant to this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27</w:t>
      </w:r>
    </w:p>
    <w:p>
      <w:pPr>
        <w:sectPr>
          <w:pgSz w:w="11900" w:h="16838" w:orient="portrait"/>
          <w:cols w:equalWidth="0" w:num="1">
            <w:col w:w="11140"/>
          </w:cols>
          <w:pgMar w:left="320" w:top="1428" w:right="439" w:bottom="1440" w:gutter="0" w:footer="0" w:header="0"/>
        </w:sectPr>
      </w:pPr>
    </w:p>
    <w:bookmarkStart w:id="295" w:name="page296"/>
    <w:bookmarkEnd w:id="295"/>
    <w:p>
      <w:pPr>
        <w:ind w:left="700" w:right="40" w:firstLine="648"/>
        <w:spacing w:after="0" w:line="263" w:lineRule="auto"/>
        <w:rPr>
          <w:sz w:val="20"/>
          <w:szCs w:val="20"/>
          <w:color w:val="auto"/>
        </w:rPr>
      </w:pPr>
      <w:r>
        <w:rPr>
          <w:rFonts w:ascii="Arial" w:cs="Arial" w:eastAsia="Arial" w:hAnsi="Arial"/>
          <w:sz w:val="22"/>
          <w:szCs w:val="22"/>
          <w:u w:val="single" w:color="auto"/>
          <w:color w:val="FF0000"/>
        </w:rPr>
        <w:t>LIBOR Rate</w:t>
      </w:r>
      <w:r>
        <w:rPr>
          <w:rFonts w:ascii="Arial" w:cs="Arial" w:eastAsia="Arial" w:hAnsi="Arial"/>
          <w:sz w:val="22"/>
          <w:szCs w:val="22"/>
          <w:color w:val="FF0000"/>
        </w:rPr>
        <w:t xml:space="preserve">: For any portion of Capital and any day during any Accrual Period, an interest rate per annum </w:t>
      </w:r>
      <w:r>
        <w:rPr>
          <w:rFonts w:ascii="Arial" w:cs="Arial" w:eastAsia="Arial" w:hAnsi="Arial"/>
          <w:sz w:val="22"/>
          <w:szCs w:val="22"/>
          <w:color w:val="FF0000"/>
          <w:strike w:val="1"/>
        </w:rPr>
        <w:t>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-260350</wp:posOffset>
            </wp:positionV>
            <wp:extent cx="62026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02680" cy="8255"/>
                    </a:xfrm>
                    <a:prstGeom prst="rect">
                      <a:avLst/>
                    </a:prstGeom>
                    <a:noFill/>
                  </pic:spPr>
                </pic:pic>
              </a:graphicData>
            </a:graphic>
          </wp:anchor>
        </w:drawing>
      </w:r>
    </w:p>
    <w:p>
      <w:pPr>
        <w:spacing w:after="0" w:line="195" w:lineRule="exact"/>
        <w:rPr>
          <w:sz w:val="20"/>
          <w:szCs w:val="20"/>
          <w:color w:val="auto"/>
        </w:rPr>
      </w:pPr>
    </w:p>
    <w:p>
      <w:pPr>
        <w:jc w:val="both"/>
        <w:ind w:left="1340" w:right="40" w:firstLine="648"/>
        <w:spacing w:after="0" w:line="247" w:lineRule="auto"/>
        <w:tabs>
          <w:tab w:leader="none" w:pos="2609" w:val="left"/>
        </w:tabs>
        <w:numPr>
          <w:ilvl w:val="0"/>
          <w:numId w:val="290"/>
        </w:numPr>
        <w:rPr>
          <w:rFonts w:ascii="Arial" w:cs="Arial" w:eastAsia="Arial" w:hAnsi="Arial"/>
          <w:sz w:val="22"/>
          <w:szCs w:val="22"/>
          <w:color w:val="FF0000"/>
          <w:strike w:val="1"/>
        </w:rPr>
      </w:pPr>
      <w:r>
        <w:rPr>
          <w:rFonts w:ascii="Arial" w:cs="Arial" w:eastAsia="Arial" w:hAnsi="Arial"/>
          <w:sz w:val="22"/>
          <w:szCs w:val="22"/>
          <w:color w:val="FF0000"/>
          <w:strike w:val="1"/>
        </w:rPr>
        <w:t xml:space="preserve">the London interbank offered rate as administered by ICE Benchmark Administration Limited (“ICE”) (or its successor) for United States dollar deposits in the London interbank market for the posted rate for thirty (30) day deposits in United States dollars appearing on the display page designated as “BBAM” on the information service operated by Bloomberg L.P. (or a successor source) as of </w:t>
      </w:r>
      <w:r>
        <w:rPr>
          <w:rFonts w:ascii="Arial" w:cs="Arial" w:eastAsia="Arial" w:hAnsi="Arial"/>
          <w:sz w:val="22"/>
          <w:szCs w:val="22"/>
          <w:color w:val="007F00"/>
          <w:strike w:val="1"/>
        </w:rPr>
        <w:t>11:00 a.m. (London time) on the</w:t>
      </w:r>
      <w:r>
        <w:rPr>
          <w:rFonts w:ascii="Arial" w:cs="Arial" w:eastAsia="Arial" w:hAnsi="Arial"/>
          <w:sz w:val="22"/>
          <w:szCs w:val="22"/>
          <w:color w:val="FF0000"/>
          <w:strike w:val="1"/>
        </w:rPr>
        <w:t xml:space="preserve"> Business Day which is the second Business Day immediately preceding the first day of the applicable Accrual Period; or</w:t>
      </w:r>
    </w:p>
    <w:p>
      <w:pPr>
        <w:spacing w:after="0" w:line="219" w:lineRule="exact"/>
        <w:rPr>
          <w:rFonts w:ascii="Arial" w:cs="Arial" w:eastAsia="Arial" w:hAnsi="Arial"/>
          <w:sz w:val="22"/>
          <w:szCs w:val="22"/>
          <w:color w:val="FF0000"/>
          <w:strike w:val="1"/>
        </w:rPr>
      </w:pPr>
    </w:p>
    <w:p>
      <w:pPr>
        <w:jc w:val="both"/>
        <w:ind w:left="1340" w:firstLine="648"/>
        <w:spacing w:after="0" w:line="246" w:lineRule="auto"/>
        <w:tabs>
          <w:tab w:leader="none" w:pos="2609" w:val="left"/>
        </w:tabs>
        <w:numPr>
          <w:ilvl w:val="0"/>
          <w:numId w:val="290"/>
        </w:numPr>
        <w:rPr>
          <w:rFonts w:ascii="Arial" w:cs="Arial" w:eastAsia="Arial" w:hAnsi="Arial"/>
          <w:sz w:val="22"/>
          <w:szCs w:val="22"/>
          <w:color w:val="FF0000"/>
          <w:strike w:val="1"/>
        </w:rPr>
      </w:pPr>
      <w:r>
        <w:rPr>
          <w:rFonts w:ascii="Arial" w:cs="Arial" w:eastAsia="Arial" w:hAnsi="Arial"/>
          <w:sz w:val="22"/>
          <w:szCs w:val="22"/>
          <w:color w:val="FF0000"/>
          <w:strike w:val="1"/>
        </w:rPr>
        <w:t xml:space="preserve">if no such rate appears on the display page designated as “BBAM” at such time and day, then the LIBOR Rate shall be determined by Wells Fargo Bank, National Association at its office in Charlotte, North Carolina as its rate (each such determination, absent manifest error, to be conclusive and binding on all parties hereto and their assignees) at which thirty (30) day deposits in United States dollars are being, have been, or would be offered or quoted by Wells Fargo Bank, National Association to major banks in the applicable interbank market for Eurodollar deposits at or about 11:00 a.m. (Charlotte, North Carolina time) on such day;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that if as so determined the LIBOR Rate shall be less than zero, such rate shall be deemed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-248285</wp:posOffset>
            </wp:positionV>
            <wp:extent cx="6223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14" w:lineRule="exact"/>
        <w:rPr>
          <w:sz w:val="20"/>
          <w:szCs w:val="20"/>
          <w:color w:val="auto"/>
        </w:rPr>
      </w:pPr>
    </w:p>
    <w:p>
      <w:pPr>
        <w:jc w:val="both"/>
        <w:ind w:left="700" w:right="40" w:firstLine="648"/>
        <w:spacing w:after="0" w:line="250" w:lineRule="auto"/>
        <w:rPr>
          <w:sz w:val="20"/>
          <w:szCs w:val="20"/>
          <w:color w:val="auto"/>
        </w:rPr>
      </w:pPr>
      <w:r>
        <w:rPr>
          <w:rFonts w:ascii="Arial" w:cs="Arial" w:eastAsia="Arial" w:hAnsi="Arial"/>
          <w:sz w:val="22"/>
          <w:szCs w:val="22"/>
          <w:u w:val="single" w:color="auto"/>
          <w:color w:val="auto"/>
        </w:rPr>
        <w:t>Lien</w:t>
      </w:r>
      <w:r>
        <w:rPr>
          <w:rFonts w:ascii="Arial" w:cs="Arial" w:eastAsia="Arial" w:hAnsi="Arial"/>
          <w:sz w:val="22"/>
          <w:szCs w:val="22"/>
          <w:color w:val="auto"/>
        </w:rPr>
        <w:t>: With respect to any Loan, Dealer Agreement or Contract, any mortgage, lien, pledge, charge, security interest or encumbrance of any kind (other than any Permitted Lien, mechanics’ liens, liens of collection attorneys or agents collecting the property subject to such Permitted Lien or mechanics’ lien and any liens which attach thereto by operation of law).</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Loan</w:t>
      </w:r>
      <w:r>
        <w:rPr>
          <w:rFonts w:ascii="Arial" w:cs="Arial" w:eastAsia="Arial" w:hAnsi="Arial"/>
          <w:sz w:val="22"/>
          <w:szCs w:val="22"/>
          <w:color w:val="auto"/>
        </w:rPr>
        <w:t>: Any Dealer Loan or Purchased Loan.</w:t>
      </w:r>
    </w:p>
    <w:p>
      <w:pPr>
        <w:spacing w:after="0" w:line="166" w:lineRule="exact"/>
        <w:rPr>
          <w:sz w:val="20"/>
          <w:szCs w:val="20"/>
          <w:color w:val="auto"/>
        </w:rPr>
      </w:pPr>
    </w:p>
    <w:p>
      <w:pPr>
        <w:jc w:val="both"/>
        <w:ind w:left="700" w:right="40" w:firstLine="648"/>
        <w:spacing w:after="0" w:line="263" w:lineRule="auto"/>
        <w:rPr>
          <w:sz w:val="20"/>
          <w:szCs w:val="20"/>
          <w:color w:val="auto"/>
        </w:rPr>
      </w:pPr>
      <w:r>
        <w:rPr>
          <w:rFonts w:ascii="Arial" w:cs="Arial" w:eastAsia="Arial" w:hAnsi="Arial"/>
          <w:sz w:val="22"/>
          <w:szCs w:val="22"/>
          <w:u w:val="single" w:color="auto"/>
          <w:color w:val="auto"/>
        </w:rPr>
        <w:t>Loan Loss Reserve</w:t>
      </w:r>
      <w:r>
        <w:rPr>
          <w:rFonts w:ascii="Arial" w:cs="Arial" w:eastAsia="Arial" w:hAnsi="Arial"/>
          <w:sz w:val="22"/>
          <w:szCs w:val="22"/>
          <w:color w:val="auto"/>
        </w:rPr>
        <w:t>: The loan loss reserve, calculated in accordance with Credit Acceptance’s accounting policies.</w:t>
      </w:r>
    </w:p>
    <w:p>
      <w:pPr>
        <w:spacing w:after="0" w:line="121" w:lineRule="exact"/>
        <w:rPr>
          <w:sz w:val="20"/>
          <w:szCs w:val="20"/>
          <w:color w:val="auto"/>
        </w:rPr>
      </w:pPr>
    </w:p>
    <w:p>
      <w:pPr>
        <w:jc w:val="both"/>
        <w:ind w:left="700" w:right="40" w:firstLine="648"/>
        <w:spacing w:after="0" w:line="343" w:lineRule="auto"/>
        <w:rPr>
          <w:sz w:val="20"/>
          <w:szCs w:val="20"/>
          <w:color w:val="auto"/>
        </w:rPr>
      </w:pPr>
      <w:r>
        <w:rPr>
          <w:rFonts w:ascii="Arial" w:cs="Arial" w:eastAsia="Arial" w:hAnsi="Arial"/>
          <w:sz w:val="19"/>
          <w:szCs w:val="19"/>
          <w:u w:val="single" w:color="auto"/>
          <w:color w:val="auto"/>
        </w:rPr>
        <w:t>Mandatory Take-Out</w:t>
      </w:r>
      <w:r>
        <w:rPr>
          <w:rFonts w:ascii="Arial" w:cs="Arial" w:eastAsia="Arial" w:hAnsi="Arial"/>
          <w:sz w:val="19"/>
          <w:szCs w:val="19"/>
          <w:color w:val="auto"/>
        </w:rPr>
        <w:t>: The release of certain Loans and the related contracts from the Lien of this Agreement and the reduction of the Capital by at least the lesser of (a) 85% of currently outstanding Capital or (b) $100,000,000.</w:t>
      </w:r>
    </w:p>
    <w:p>
      <w:pPr>
        <w:spacing w:after="0" w:line="50" w:lineRule="exact"/>
        <w:rPr>
          <w:sz w:val="20"/>
          <w:szCs w:val="20"/>
          <w:color w:val="auto"/>
        </w:rPr>
      </w:pPr>
    </w:p>
    <w:p>
      <w:pPr>
        <w:jc w:val="both"/>
        <w:ind w:left="700" w:firstLine="648"/>
        <w:spacing w:after="0" w:line="292" w:lineRule="auto"/>
        <w:rPr>
          <w:sz w:val="20"/>
          <w:szCs w:val="20"/>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With respect to any event or circumstance, means a material adverse effect on (a) the business, condition (financial or otherwise), operations, performance, properties or prospects of the Originator, the Servicer or the Borrower, (b) the validity, enforceability or collectibility of this Agreement or any other Transaction Document or the validity, enforceability or collectibility of the Loans, (c) the rights and remedies of the Deal Agent, the Collateral Agent or the Secured Parties, (d) the ability of the Borrower, the Originator or the Servicer to perform its obligations under this Agreement or any other Transaction Document, or (e) the status, existence, perfection, priority or enforceability of the Collateral Agent’s or any Secured Party’s interest in the Collateral.</w:t>
      </w:r>
    </w:p>
    <w:p>
      <w:pPr>
        <w:spacing w:after="0" w:line="191"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Material Debt</w:t>
      </w:r>
      <w:r>
        <w:rPr>
          <w:rFonts w:ascii="Arial" w:cs="Arial" w:eastAsia="Arial" w:hAnsi="Arial"/>
          <w:sz w:val="22"/>
          <w:szCs w:val="22"/>
          <w:color w:val="auto"/>
        </w:rPr>
        <w:t>: Defined in Section 6.11(i).</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28</w:t>
      </w:r>
    </w:p>
    <w:p>
      <w:pPr>
        <w:sectPr>
          <w:pgSz w:w="11900" w:h="16838" w:orient="portrait"/>
          <w:cols w:equalWidth="0" w:num="1">
            <w:col w:w="11140"/>
          </w:cols>
          <w:pgMar w:left="320" w:top="1428" w:right="439" w:bottom="1440" w:gutter="0" w:footer="0" w:header="0"/>
        </w:sectPr>
      </w:pPr>
    </w:p>
    <w:bookmarkStart w:id="296" w:name="page297"/>
    <w:bookmarkEnd w:id="296"/>
    <w:p>
      <w:pPr>
        <w:ind w:left="740"/>
        <w:spacing w:after="0"/>
        <w:rPr>
          <w:sz w:val="20"/>
          <w:szCs w:val="20"/>
          <w:color w:val="auto"/>
        </w:rPr>
      </w:pPr>
      <w:r>
        <w:rPr>
          <w:rFonts w:ascii="Arial" w:cs="Arial" w:eastAsia="Arial" w:hAnsi="Arial"/>
          <w:sz w:val="22"/>
          <w:szCs w:val="22"/>
          <w:u w:val="single" w:color="auto"/>
          <w:color w:val="auto"/>
        </w:rPr>
        <w:t>Minimum Weighted Average Spread Rate</w:t>
      </w:r>
      <w:r>
        <w:rPr>
          <w:rFonts w:ascii="Arial" w:cs="Arial" w:eastAsia="Arial" w:hAnsi="Arial"/>
          <w:sz w:val="22"/>
          <w:szCs w:val="22"/>
          <w:color w:val="auto"/>
        </w:rPr>
        <w:t>: 25.0%.</w:t>
      </w:r>
    </w:p>
    <w:p>
      <w:pPr>
        <w:spacing w:after="0" w:line="260" w:lineRule="exact"/>
        <w:rPr>
          <w:sz w:val="20"/>
          <w:szCs w:val="20"/>
          <w:color w:val="auto"/>
        </w:rPr>
      </w:pPr>
    </w:p>
    <w:p>
      <w:pPr>
        <w:ind w:left="100" w:right="40" w:firstLine="648"/>
        <w:spacing w:after="0" w:line="263" w:lineRule="auto"/>
        <w:rPr>
          <w:sz w:val="20"/>
          <w:szCs w:val="20"/>
          <w:color w:val="auto"/>
        </w:rPr>
      </w:pPr>
      <w:r>
        <w:rPr>
          <w:rFonts w:ascii="Arial" w:cs="Arial" w:eastAsia="Arial" w:hAnsi="Arial"/>
          <w:sz w:val="22"/>
          <w:szCs w:val="22"/>
          <w:u w:val="single" w:color="auto"/>
          <w:color w:val="auto"/>
        </w:rPr>
        <w:t>Monthly Principal Payment Amount</w:t>
      </w:r>
      <w:r>
        <w:rPr>
          <w:rFonts w:ascii="Arial" w:cs="Arial" w:eastAsia="Arial" w:hAnsi="Arial"/>
          <w:sz w:val="22"/>
          <w:szCs w:val="22"/>
          <w:color w:val="auto"/>
        </w:rPr>
        <w:t>: With respect to any Payment Date, the amount, if any, necessary to reduce the Capital to the Borrowing Base.</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2"/>
          <w:szCs w:val="22"/>
          <w:u w:val="single" w:color="auto"/>
          <w:color w:val="auto"/>
        </w:rPr>
        <w:t>Monthly Report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6.5(a)</w:t>
      </w:r>
      <w:r>
        <w:rPr>
          <w:rFonts w:ascii="Arial" w:cs="Arial" w:eastAsia="Arial" w:hAnsi="Arial"/>
          <w:sz w:val="22"/>
          <w:szCs w:val="22"/>
          <w:color w:val="auto"/>
        </w:rPr>
        <w:t>.</w:t>
      </w:r>
    </w:p>
    <w:p>
      <w:pPr>
        <w:spacing w:after="0" w:line="260" w:lineRule="exact"/>
        <w:rPr>
          <w:sz w:val="20"/>
          <w:szCs w:val="20"/>
          <w:color w:val="auto"/>
        </w:rPr>
      </w:pPr>
    </w:p>
    <w:p>
      <w:pPr>
        <w:ind w:left="740"/>
        <w:spacing w:after="0"/>
        <w:rPr>
          <w:sz w:val="20"/>
          <w:szCs w:val="20"/>
          <w:color w:val="auto"/>
        </w:rPr>
      </w:pP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 and any successor thereto.</w:t>
      </w:r>
    </w:p>
    <w:p>
      <w:pPr>
        <w:spacing w:after="0" w:line="247" w:lineRule="exact"/>
        <w:rPr>
          <w:sz w:val="20"/>
          <w:szCs w:val="20"/>
          <w:color w:val="auto"/>
        </w:rPr>
      </w:pPr>
    </w:p>
    <w:p>
      <w:pPr>
        <w:jc w:val="both"/>
        <w:ind w:left="100" w:firstLine="648"/>
        <w:spacing w:after="0" w:line="253" w:lineRule="auto"/>
        <w:rPr>
          <w:sz w:val="20"/>
          <w:szCs w:val="20"/>
          <w:color w:val="auto"/>
        </w:rPr>
      </w:pPr>
      <w:r>
        <w:rPr>
          <w:rFonts w:ascii="Arial" w:cs="Arial" w:eastAsia="Arial" w:hAnsi="Arial"/>
          <w:sz w:val="22"/>
          <w:szCs w:val="22"/>
          <w:u w:val="single" w:color="auto"/>
          <w:color w:val="auto"/>
        </w:rPr>
        <w:t>Multiemployer Plan</w:t>
      </w:r>
      <w:r>
        <w:rPr>
          <w:rFonts w:ascii="Arial" w:cs="Arial" w:eastAsia="Arial" w:hAnsi="Arial"/>
          <w:sz w:val="22"/>
          <w:szCs w:val="22"/>
          <w:color w:val="auto"/>
        </w:rPr>
        <w:t>: A “multiemployer plan” as defined in Section 4001(a)(3) of ERISA that is or was at any time during the current year or the immediately preceding five years contributed to by the Borrower or any ERISA Affiliate on behalf of its employees.</w:t>
      </w:r>
    </w:p>
    <w:p>
      <w:pPr>
        <w:spacing w:after="0" w:line="226" w:lineRule="exact"/>
        <w:rPr>
          <w:sz w:val="20"/>
          <w:szCs w:val="20"/>
          <w:color w:val="auto"/>
        </w:rPr>
      </w:pPr>
    </w:p>
    <w:p>
      <w:pPr>
        <w:ind w:left="740"/>
        <w:spacing w:after="0"/>
        <w:rPr>
          <w:sz w:val="20"/>
          <w:szCs w:val="20"/>
          <w:color w:val="auto"/>
        </w:rPr>
      </w:pPr>
      <w:r>
        <w:rPr>
          <w:rFonts w:ascii="Arial" w:cs="Arial" w:eastAsia="Arial" w:hAnsi="Arial"/>
          <w:sz w:val="22"/>
          <w:szCs w:val="22"/>
          <w:u w:val="single" w:color="auto"/>
          <w:color w:val="auto"/>
        </w:rPr>
        <w:t>Net Advance Rate</w:t>
      </w:r>
      <w:r>
        <w:rPr>
          <w:rFonts w:ascii="Arial" w:cs="Arial" w:eastAsia="Arial" w:hAnsi="Arial"/>
          <w:sz w:val="22"/>
          <w:szCs w:val="22"/>
          <w:color w:val="auto"/>
        </w:rPr>
        <w:t>: 80%.</w:t>
      </w:r>
    </w:p>
    <w:p>
      <w:pPr>
        <w:spacing w:after="0" w:line="260" w:lineRule="exact"/>
        <w:rPr>
          <w:sz w:val="20"/>
          <w:szCs w:val="20"/>
          <w:color w:val="auto"/>
        </w:rPr>
      </w:pPr>
    </w:p>
    <w:p>
      <w:pPr>
        <w:jc w:val="both"/>
        <w:ind w:left="100" w:right="40" w:firstLine="647"/>
        <w:spacing w:after="0" w:line="263" w:lineRule="auto"/>
        <w:rPr>
          <w:sz w:val="20"/>
          <w:szCs w:val="20"/>
          <w:color w:val="auto"/>
        </w:rPr>
      </w:pPr>
      <w:r>
        <w:rPr>
          <w:rFonts w:ascii="Arial" w:cs="Arial" w:eastAsia="Arial" w:hAnsi="Arial"/>
          <w:sz w:val="22"/>
          <w:szCs w:val="22"/>
          <w:u w:val="single" w:color="auto"/>
          <w:color w:val="auto"/>
        </w:rPr>
        <w:t>Net Loan Balance</w:t>
      </w:r>
      <w:r>
        <w:rPr>
          <w:rFonts w:ascii="Arial" w:cs="Arial" w:eastAsia="Arial" w:hAnsi="Arial"/>
          <w:sz w:val="22"/>
          <w:szCs w:val="22"/>
          <w:color w:val="auto"/>
        </w:rPr>
        <w:t>: With respect to any Loan, the excess of the related Outstanding Balance over the related Loan Loss Reserve.</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22"/>
          <w:szCs w:val="22"/>
          <w:u w:val="single" w:color="auto"/>
          <w:color w:val="auto"/>
        </w:rPr>
        <w:t>Nonconforming Contract</w:t>
      </w:r>
      <w:r>
        <w:rPr>
          <w:rFonts w:ascii="Arial" w:cs="Arial" w:eastAsia="Arial" w:hAnsi="Arial"/>
          <w:sz w:val="22"/>
          <w:szCs w:val="22"/>
          <w:color w:val="auto"/>
        </w:rPr>
        <w:t>: Defined in Section 6.2(c)(ii).</w:t>
      </w:r>
    </w:p>
    <w:p>
      <w:pPr>
        <w:spacing w:after="0" w:line="260" w:lineRule="exact"/>
        <w:rPr>
          <w:sz w:val="20"/>
          <w:szCs w:val="20"/>
          <w:color w:val="auto"/>
        </w:rPr>
      </w:pPr>
    </w:p>
    <w:p>
      <w:pPr>
        <w:jc w:val="both"/>
        <w:ind w:left="100" w:right="40" w:firstLine="647"/>
        <w:spacing w:after="0" w:line="263" w:lineRule="auto"/>
        <w:rPr>
          <w:sz w:val="20"/>
          <w:szCs w:val="20"/>
          <w:color w:val="auto"/>
        </w:rPr>
      </w:pPr>
      <w:r>
        <w:rPr>
          <w:rFonts w:ascii="Arial" w:cs="Arial" w:eastAsia="Arial" w:hAnsi="Arial"/>
          <w:sz w:val="22"/>
          <w:szCs w:val="22"/>
          <w:u w:val="single" w:color="auto"/>
          <w:color w:val="auto"/>
        </w:rPr>
        <w:t>Notes</w:t>
      </w:r>
      <w:r>
        <w:rPr>
          <w:rFonts w:ascii="Arial" w:cs="Arial" w:eastAsia="Arial" w:hAnsi="Arial"/>
          <w:sz w:val="22"/>
          <w:szCs w:val="22"/>
          <w:color w:val="auto"/>
        </w:rPr>
        <w:t>: The Variable Funding Notes of the Borrower, issued to the Lenders pursuant to Section 2.1(c) hereof substantially in the form of Exhibit G hereto.</w:t>
      </w:r>
    </w:p>
    <w:p>
      <w:pPr>
        <w:spacing w:after="0" w:line="202" w:lineRule="exact"/>
        <w:rPr>
          <w:sz w:val="20"/>
          <w:szCs w:val="20"/>
          <w:color w:val="auto"/>
        </w:rPr>
      </w:pPr>
    </w:p>
    <w:p>
      <w:pPr>
        <w:jc w:val="both"/>
        <w:ind w:left="100" w:right="20" w:firstLine="648"/>
        <w:spacing w:after="0" w:line="287" w:lineRule="auto"/>
        <w:rPr>
          <w:sz w:val="20"/>
          <w:szCs w:val="20"/>
          <w:color w:val="auto"/>
        </w:rPr>
      </w:pPr>
      <w:r>
        <w:rPr>
          <w:rFonts w:ascii="Arial" w:cs="Arial" w:eastAsia="Arial" w:hAnsi="Arial"/>
          <w:sz w:val="21"/>
          <w:szCs w:val="21"/>
          <w:u w:val="single" w:color="auto"/>
          <w:color w:val="auto"/>
        </w:rPr>
        <w:t>Obligor</w:t>
      </w:r>
      <w:r>
        <w:rPr>
          <w:rFonts w:ascii="Arial" w:cs="Arial" w:eastAsia="Arial" w:hAnsi="Arial"/>
          <w:sz w:val="21"/>
          <w:szCs w:val="21"/>
          <w:color w:val="auto"/>
        </w:rPr>
        <w:t>: With respect to any Loan, Dealer Agreement or Contract, the Person or Persons obligated to make payments with respect to such Dealer Agreement, Loan or Contract, respectively, including any guarantor thereof.</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The United States Department of the Treasury’s Office of Foreign Assets Control.</w:t>
      </w:r>
    </w:p>
    <w:p>
      <w:pPr>
        <w:spacing w:after="0" w:line="260" w:lineRule="exact"/>
        <w:rPr>
          <w:sz w:val="20"/>
          <w:szCs w:val="20"/>
          <w:color w:val="auto"/>
        </w:rPr>
      </w:pPr>
    </w:p>
    <w:p>
      <w:pPr>
        <w:jc w:val="both"/>
        <w:ind w:left="100" w:right="40" w:firstLine="648"/>
        <w:spacing w:after="0" w:line="263" w:lineRule="auto"/>
        <w:rPr>
          <w:sz w:val="20"/>
          <w:szCs w:val="20"/>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 certificate signed by any officer of the Borrower or the Servicer, as the case may be, and delivered to the Collateral Agent.</w:t>
      </w:r>
    </w:p>
    <w:p>
      <w:pPr>
        <w:spacing w:after="0" w:line="202" w:lineRule="exact"/>
        <w:rPr>
          <w:sz w:val="20"/>
          <w:szCs w:val="20"/>
          <w:color w:val="auto"/>
        </w:rPr>
      </w:pPr>
    </w:p>
    <w:p>
      <w:pPr>
        <w:ind w:left="100" w:firstLine="648"/>
        <w:spacing w:after="0" w:line="263" w:lineRule="auto"/>
        <w:rPr>
          <w:sz w:val="20"/>
          <w:szCs w:val="20"/>
          <w:color w:val="auto"/>
        </w:rPr>
      </w:pPr>
      <w:r>
        <w:rPr>
          <w:rFonts w:ascii="Arial" w:cs="Arial" w:eastAsia="Arial" w:hAnsi="Arial"/>
          <w:sz w:val="22"/>
          <w:szCs w:val="22"/>
          <w:u w:val="single" w:color="auto"/>
          <w:color w:val="auto"/>
        </w:rPr>
        <w:t>Open Pool</w:t>
      </w:r>
      <w:r>
        <w:rPr>
          <w:rFonts w:ascii="Arial" w:cs="Arial" w:eastAsia="Arial" w:hAnsi="Arial"/>
          <w:sz w:val="22"/>
          <w:szCs w:val="22"/>
          <w:color w:val="auto"/>
        </w:rPr>
        <w:t>: With respect to any Dealer Loan, a Pool as to which, pursuant to the terms of the related Dealer Agreement, additional Dealer Loan Contracts may be allocated.</w:t>
      </w:r>
    </w:p>
    <w:p>
      <w:pPr>
        <w:spacing w:after="0" w:line="215" w:lineRule="exact"/>
        <w:rPr>
          <w:sz w:val="20"/>
          <w:szCs w:val="20"/>
          <w:color w:val="auto"/>
        </w:rPr>
      </w:pPr>
    </w:p>
    <w:p>
      <w:pPr>
        <w:jc w:val="both"/>
        <w:ind w:left="100" w:right="20" w:firstLine="648"/>
        <w:spacing w:after="0" w:line="265" w:lineRule="auto"/>
        <w:rPr>
          <w:sz w:val="20"/>
          <w:szCs w:val="20"/>
          <w:color w:val="auto"/>
        </w:rPr>
      </w:pPr>
      <w:r>
        <w:rPr>
          <w:rFonts w:ascii="Arial" w:cs="Arial" w:eastAsia="Arial" w:hAnsi="Arial"/>
          <w:sz w:val="21"/>
          <w:szCs w:val="21"/>
          <w:u w:val="single" w:color="auto"/>
          <w:color w:val="auto"/>
        </w:rPr>
        <w:t>Operating Lease</w:t>
      </w:r>
      <w:r>
        <w:rPr>
          <w:rFonts w:ascii="Arial" w:cs="Arial" w:eastAsia="Arial" w:hAnsi="Arial"/>
          <w:sz w:val="21"/>
          <w:szCs w:val="21"/>
          <w:color w:val="auto"/>
        </w:rPr>
        <w:t>: Any lease, whether now existing or hereafter entered into, under which Credit Acceptance or any Credit Agreement Subsidiary is a lessee, other than a Capitalized Lease, including all leases of such Person that are or would have been treated as operating leases for purposes of GAAP prior to the issuance on February 25, 2016 of the ASU 2016-02 (ASC 842, Leases), in each case for purposes of this Agreement.</w:t>
      </w:r>
    </w:p>
    <w:p>
      <w:pPr>
        <w:spacing w:after="0" w:line="202" w:lineRule="exact"/>
        <w:rPr>
          <w:sz w:val="20"/>
          <w:szCs w:val="20"/>
          <w:color w:val="auto"/>
        </w:rPr>
      </w:pPr>
    </w:p>
    <w:p>
      <w:pPr>
        <w:jc w:val="both"/>
        <w:ind w:left="100" w:right="40" w:firstLine="648"/>
        <w:spacing w:after="0" w:line="263" w:lineRule="auto"/>
        <w:rPr>
          <w:sz w:val="20"/>
          <w:szCs w:val="20"/>
          <w:color w:val="auto"/>
        </w:rPr>
      </w:pPr>
      <w:r>
        <w:rPr>
          <w:rFonts w:ascii="Arial" w:cs="Arial" w:eastAsia="Arial" w:hAnsi="Arial"/>
          <w:sz w:val="22"/>
          <w:szCs w:val="22"/>
          <w:u w:val="single" w:color="auto"/>
          <w:color w:val="auto"/>
        </w:rPr>
        <w:t>Operating Rental</w:t>
      </w:r>
      <w:r>
        <w:rPr>
          <w:rFonts w:ascii="Arial" w:cs="Arial" w:eastAsia="Arial" w:hAnsi="Arial"/>
          <w:sz w:val="22"/>
          <w:szCs w:val="22"/>
          <w:color w:val="auto"/>
        </w:rPr>
        <w:t>: All rental payments that Credit Acceptance or any of its Credit Agreement Subsidiaries, as lessee, is required to make under the terms of any Operating Lease.</w:t>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9"/>
          <w:szCs w:val="19"/>
          <w:u w:val="single" w:color="auto"/>
          <w:color w:val="auto"/>
        </w:rPr>
        <w:t>Opinion of Counsel</w:t>
      </w:r>
      <w:r>
        <w:rPr>
          <w:rFonts w:ascii="Arial" w:cs="Arial" w:eastAsia="Arial" w:hAnsi="Arial"/>
          <w:sz w:val="19"/>
          <w:szCs w:val="19"/>
          <w:color w:val="auto"/>
        </w:rPr>
        <w:t>: A written opinion of counsel, which opinion and counsel are reasonably acceptable to the Deal</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Agent.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29</w:t>
      </w:r>
    </w:p>
    <w:p>
      <w:pPr>
        <w:sectPr>
          <w:pgSz w:w="11900" w:h="16838" w:orient="portrait"/>
          <w:cols w:equalWidth="0" w:num="1">
            <w:col w:w="11140"/>
          </w:cols>
          <w:pgMar w:left="320" w:top="1428" w:right="439" w:bottom="1440" w:gutter="0" w:footer="0" w:header="0"/>
        </w:sectPr>
      </w:pPr>
    </w:p>
    <w:bookmarkStart w:id="297" w:name="page298"/>
    <w:bookmarkEnd w:id="297"/>
    <w:p>
      <w:pPr>
        <w:jc w:val="both"/>
        <w:ind w:left="120" w:firstLine="648"/>
        <w:spacing w:after="0" w:line="312" w:lineRule="auto"/>
        <w:rPr>
          <w:sz w:val="20"/>
          <w:szCs w:val="20"/>
          <w:color w:val="auto"/>
        </w:rPr>
      </w:pPr>
      <w:r>
        <w:rPr>
          <w:rFonts w:ascii="Arial" w:cs="Arial" w:eastAsia="Arial" w:hAnsi="Arial"/>
          <w:sz w:val="19"/>
          <w:szCs w:val="19"/>
          <w:u w:val="single" w:color="auto"/>
          <w:color w:val="auto"/>
        </w:rPr>
        <w:t>Optional Take-Out</w:t>
      </w:r>
      <w:r>
        <w:rPr>
          <w:rFonts w:ascii="Arial" w:cs="Arial" w:eastAsia="Arial" w:hAnsi="Arial"/>
          <w:sz w:val="19"/>
          <w:szCs w:val="19"/>
          <w:color w:val="auto"/>
        </w:rPr>
        <w:t>: The release of certain Loans and the related contracts from the Lien of this Agreement and the reduction of the Capital (other than pursuant to a Mandatory Take- Out) by at least $10,000,000 in connection with a refinancing (which may take the form of a sale) of such Loans by the Borrower using an affiliated special purpose entity.</w:t>
      </w:r>
    </w:p>
    <w:p>
      <w:pPr>
        <w:spacing w:after="0" w:line="174" w:lineRule="exact"/>
        <w:rPr>
          <w:sz w:val="20"/>
          <w:szCs w:val="20"/>
          <w:color w:val="auto"/>
        </w:rPr>
      </w:pPr>
    </w:p>
    <w:p>
      <w:pPr>
        <w:jc w:val="both"/>
        <w:ind w:left="120" w:right="60" w:firstLine="648"/>
        <w:spacing w:after="0" w:line="250" w:lineRule="auto"/>
        <w:rPr>
          <w:sz w:val="20"/>
          <w:szCs w:val="20"/>
          <w:color w:val="auto"/>
        </w:rPr>
      </w:pPr>
      <w:r>
        <w:rPr>
          <w:rFonts w:ascii="Arial" w:cs="Arial" w:eastAsia="Arial" w:hAnsi="Arial"/>
          <w:sz w:val="22"/>
          <w:szCs w:val="22"/>
          <w:u w:val="single" w:color="auto"/>
          <w:color w:val="auto"/>
        </w:rPr>
        <w:t>Original Advance Rate</w:t>
      </w:r>
      <w:r>
        <w:rPr>
          <w:rFonts w:ascii="Arial" w:cs="Arial" w:eastAsia="Arial" w:hAnsi="Arial"/>
          <w:sz w:val="22"/>
          <w:szCs w:val="22"/>
          <w:color w:val="auto"/>
        </w:rPr>
        <w:t>: With respect to any Dealer, the ratio, expressed as a percentage, where the numerator is equal to the Outstanding Balance of all Eligible Loans of such Dealer on the dates such Eligible Loans were originated and the denominator is equal to the sum of payments due under all Eligible Contracts related to such Dealer on their dates of origination.</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Originator</w:t>
      </w:r>
      <w:r>
        <w:rPr>
          <w:rFonts w:ascii="Arial" w:cs="Arial" w:eastAsia="Arial" w:hAnsi="Arial"/>
          <w:sz w:val="22"/>
          <w:szCs w:val="22"/>
          <w:color w:val="auto"/>
        </w:rPr>
        <w:t>: Defined in the preamble of this Agreement.</w:t>
      </w:r>
    </w:p>
    <w:p>
      <w:pPr>
        <w:spacing w:after="0" w:line="260" w:lineRule="exact"/>
        <w:rPr>
          <w:sz w:val="20"/>
          <w:szCs w:val="20"/>
          <w:color w:val="auto"/>
        </w:rPr>
      </w:pPr>
    </w:p>
    <w:p>
      <w:pPr>
        <w:jc w:val="both"/>
        <w:ind w:left="120" w:right="40" w:firstLine="648"/>
        <w:spacing w:after="0" w:line="253" w:lineRule="auto"/>
        <w:rPr>
          <w:sz w:val="20"/>
          <w:szCs w:val="20"/>
          <w:color w:val="auto"/>
        </w:rPr>
      </w:pPr>
      <w:r>
        <w:rPr>
          <w:rFonts w:ascii="Arial" w:cs="Arial" w:eastAsia="Arial" w:hAnsi="Arial"/>
          <w:sz w:val="22"/>
          <w:szCs w:val="22"/>
          <w:u w:val="single" w:color="auto"/>
          <w:color w:val="auto"/>
        </w:rPr>
        <w:t>Other Taxes</w:t>
      </w:r>
      <w:r>
        <w:rPr>
          <w:rFonts w:ascii="Arial" w:cs="Arial" w:eastAsia="Arial" w:hAnsi="Arial"/>
          <w:sz w:val="22"/>
          <w:szCs w:val="22"/>
          <w:color w:val="auto"/>
        </w:rPr>
        <w:t>: Any and all present or future stamp, court or documentary, intangible, recording, filing or similar Taxes that arise from any payment made under this Agreement or from the execution, delivery, performance, enforcement of, or otherwise with respect to, this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Outstanding Balance</w:t>
      </w:r>
      <w:r>
        <w:rPr>
          <w:rFonts w:ascii="Arial" w:cs="Arial" w:eastAsia="Arial" w:hAnsi="Arial"/>
          <w:sz w:val="22"/>
          <w:szCs w:val="22"/>
          <w:color w:val="auto"/>
        </w:rPr>
        <w:t>:</w:t>
      </w:r>
    </w:p>
    <w:p>
      <w:pPr>
        <w:spacing w:after="0" w:line="260" w:lineRule="exact"/>
        <w:rPr>
          <w:sz w:val="20"/>
          <w:szCs w:val="20"/>
          <w:color w:val="auto"/>
        </w:rPr>
      </w:pPr>
    </w:p>
    <w:p>
      <w:pPr>
        <w:jc w:val="both"/>
        <w:ind w:left="120" w:right="40" w:firstLine="644"/>
        <w:spacing w:after="0" w:line="263" w:lineRule="auto"/>
        <w:tabs>
          <w:tab w:leader="none" w:pos="1297" w:val="left"/>
        </w:tabs>
        <w:numPr>
          <w:ilvl w:val="1"/>
          <w:numId w:val="291"/>
        </w:numPr>
        <w:rPr>
          <w:rFonts w:ascii="Arial" w:cs="Arial" w:eastAsia="Arial" w:hAnsi="Arial"/>
          <w:sz w:val="21"/>
          <w:szCs w:val="21"/>
          <w:color w:val="auto"/>
        </w:rPr>
      </w:pPr>
      <w:r>
        <w:rPr>
          <w:rFonts w:ascii="Arial" w:cs="Arial" w:eastAsia="Arial" w:hAnsi="Arial"/>
          <w:sz w:val="21"/>
          <w:szCs w:val="21"/>
          <w:color w:val="auto"/>
        </w:rPr>
        <w:t>With respect to any Contract on any date of determination, all amounts owing under such Contract (whether considered principal or as finance charges) on such date of determination. The Outstanding Balance with respect to a Contract shall be deemed to have been created at the end of the day on the Date of Processing of such Contract; which shall be greater than or equal to zero (except in the case of a Contract as to which the final payment on such Contract is in excess of the amount owed on such Contract on the date of such final payment);</w:t>
      </w:r>
    </w:p>
    <w:p>
      <w:pPr>
        <w:spacing w:after="0" w:line="215" w:lineRule="exact"/>
        <w:rPr>
          <w:rFonts w:ascii="Arial" w:cs="Arial" w:eastAsia="Arial" w:hAnsi="Arial"/>
          <w:sz w:val="21"/>
          <w:szCs w:val="21"/>
          <w:color w:val="auto"/>
        </w:rPr>
      </w:pPr>
    </w:p>
    <w:p>
      <w:pPr>
        <w:jc w:val="both"/>
        <w:ind w:left="120" w:firstLine="644"/>
        <w:spacing w:after="0" w:line="297" w:lineRule="auto"/>
        <w:tabs>
          <w:tab w:leader="none" w:pos="1099" w:val="left"/>
        </w:tabs>
        <w:numPr>
          <w:ilvl w:val="1"/>
          <w:numId w:val="291"/>
        </w:numPr>
        <w:rPr>
          <w:rFonts w:ascii="Arial" w:cs="Arial" w:eastAsia="Arial" w:hAnsi="Arial"/>
          <w:sz w:val="19"/>
          <w:szCs w:val="19"/>
          <w:color w:val="auto"/>
        </w:rPr>
      </w:pPr>
      <w:r>
        <w:rPr>
          <w:rFonts w:ascii="Arial" w:cs="Arial" w:eastAsia="Arial" w:hAnsi="Arial"/>
          <w:sz w:val="19"/>
          <w:szCs w:val="19"/>
          <w:color w:val="auto"/>
        </w:rPr>
        <w:t>with respect to any Dealer Loan on any date of determination, the aggregate amount advanced under such Dealer Loan plus revenue accrued with respect to such Dealer Loan in accordance with Credit Acceptance’s accounting policies, recoveries on such Dealer Loan if it has been written off and the payment of monies to a Dealer under the related Dealer Agreement, less collections on the related Dealer Loan Contracts applied through such date of determination in accordance with the related Dealer Agreement to the reduction of the balance of such Loan and write offs of such Dealer Loan;</w:t>
      </w:r>
    </w:p>
    <w:p>
      <w:pPr>
        <w:spacing w:after="0" w:line="173" w:lineRule="exact"/>
        <w:rPr>
          <w:rFonts w:ascii="Arial" w:cs="Arial" w:eastAsia="Arial" w:hAnsi="Arial"/>
          <w:sz w:val="19"/>
          <w:szCs w:val="19"/>
          <w:color w:val="auto"/>
        </w:rPr>
      </w:pPr>
    </w:p>
    <w:p>
      <w:pPr>
        <w:jc w:val="both"/>
        <w:ind w:left="120" w:right="40" w:firstLine="644"/>
        <w:spacing w:after="0" w:line="297" w:lineRule="auto"/>
        <w:tabs>
          <w:tab w:leader="none" w:pos="1308" w:val="left"/>
        </w:tabs>
        <w:numPr>
          <w:ilvl w:val="1"/>
          <w:numId w:val="291"/>
        </w:numPr>
        <w:rPr>
          <w:rFonts w:ascii="Arial" w:cs="Arial" w:eastAsia="Arial" w:hAnsi="Arial"/>
          <w:sz w:val="19"/>
          <w:szCs w:val="19"/>
          <w:color w:val="auto"/>
        </w:rPr>
      </w:pPr>
      <w:r>
        <w:rPr>
          <w:rFonts w:ascii="Arial" w:cs="Arial" w:eastAsia="Arial" w:hAnsi="Arial"/>
          <w:sz w:val="19"/>
          <w:szCs w:val="19"/>
          <w:color w:val="auto"/>
        </w:rPr>
        <w:t>with respect to any Purchased Loan (other than any Purchased Loan arising from a Dealer Collections Purchase Agreement) on any date of determination, the aggregate amount advanced under such Purchased Loan plus revenue accrued with respect to such Purchased Loan in accordance with Credit Acceptance’s accounting policies and recoveries on such Purchased Loan if it has been written off, less Collections on the related Purchased Loan Contract applied through the date of determination to the reduction of the balance of such Purchased Loan and write offs of such Purchased Loan; and</w:t>
      </w:r>
    </w:p>
    <w:p>
      <w:pPr>
        <w:spacing w:after="0" w:line="187" w:lineRule="exact"/>
        <w:rPr>
          <w:rFonts w:ascii="Arial" w:cs="Arial" w:eastAsia="Arial" w:hAnsi="Arial"/>
          <w:sz w:val="19"/>
          <w:szCs w:val="19"/>
          <w:color w:val="auto"/>
        </w:rPr>
      </w:pPr>
    </w:p>
    <w:p>
      <w:pPr>
        <w:ind w:left="120" w:right="40" w:firstLine="644"/>
        <w:spacing w:after="0" w:line="251" w:lineRule="auto"/>
        <w:tabs>
          <w:tab w:leader="none" w:pos="1296" w:val="left"/>
        </w:tabs>
        <w:numPr>
          <w:ilvl w:val="1"/>
          <w:numId w:val="291"/>
        </w:numPr>
        <w:rPr>
          <w:rFonts w:ascii="Arial" w:cs="Arial" w:eastAsia="Arial" w:hAnsi="Arial"/>
          <w:sz w:val="22"/>
          <w:szCs w:val="22"/>
          <w:color w:val="auto"/>
        </w:rPr>
      </w:pPr>
      <w:r>
        <w:rPr>
          <w:rFonts w:ascii="Arial" w:cs="Arial" w:eastAsia="Arial" w:hAnsi="Arial"/>
          <w:sz w:val="22"/>
          <w:szCs w:val="22"/>
          <w:color w:val="auto"/>
        </w:rPr>
        <w:t>with respect to any Purchased Loan arising from a Dealer Collections Purchase Agreement on any date of determination, (A) such Purchased Loan’s pro rata share of the sum of</w:t>
      </w:r>
    </w:p>
    <w:p>
      <w:pPr>
        <w:spacing w:after="0" w:line="1" w:lineRule="exact"/>
        <w:rPr>
          <w:rFonts w:ascii="Arial" w:cs="Arial" w:eastAsia="Arial" w:hAnsi="Arial"/>
          <w:sz w:val="22"/>
          <w:szCs w:val="22"/>
          <w:color w:val="auto"/>
        </w:rPr>
      </w:pPr>
    </w:p>
    <w:p>
      <w:pPr>
        <w:jc w:val="both"/>
        <w:ind w:left="120" w:right="60" w:hanging="4"/>
        <w:spacing w:after="0" w:line="245" w:lineRule="auto"/>
        <w:tabs>
          <w:tab w:leader="none" w:pos="442" w:val="left"/>
        </w:tabs>
        <w:numPr>
          <w:ilvl w:val="0"/>
          <w:numId w:val="292"/>
        </w:numPr>
        <w:rPr>
          <w:rFonts w:ascii="Arial" w:cs="Arial" w:eastAsia="Arial" w:hAnsi="Arial"/>
          <w:sz w:val="22"/>
          <w:szCs w:val="22"/>
          <w:color w:val="auto"/>
        </w:rPr>
      </w:pPr>
      <w:r>
        <w:rPr>
          <w:rFonts w:ascii="Arial" w:cs="Arial" w:eastAsia="Arial" w:hAnsi="Arial"/>
          <w:sz w:val="22"/>
          <w:szCs w:val="22"/>
          <w:color w:val="auto"/>
        </w:rPr>
        <w:t>the Outstanding Balance of the related Dealer Loan as of the date of the related Dealer Collections Purchase and (y) the Dealer Collections Purchase Price with respect to such Dealer Loan (such pro rata share determined based on such Purchased Loan’s pro rata share of the</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30</w:t>
      </w:r>
    </w:p>
    <w:p>
      <w:pPr>
        <w:sectPr>
          <w:pgSz w:w="11900" w:h="16838" w:orient="portrait"/>
          <w:cols w:equalWidth="0" w:num="1">
            <w:col w:w="11140"/>
          </w:cols>
          <w:pgMar w:left="320" w:top="1428" w:right="439" w:bottom="1440" w:gutter="0" w:footer="0" w:header="0"/>
        </w:sectPr>
      </w:pPr>
    </w:p>
    <w:bookmarkStart w:id="298" w:name="page299"/>
    <w:bookmarkEnd w:id="298"/>
    <w:p>
      <w:pPr>
        <w:ind w:left="120" w:right="60"/>
        <w:spacing w:after="0" w:line="251" w:lineRule="auto"/>
        <w:rPr>
          <w:sz w:val="20"/>
          <w:szCs w:val="20"/>
          <w:color w:val="auto"/>
        </w:rPr>
      </w:pPr>
      <w:r>
        <w:rPr>
          <w:rFonts w:ascii="Arial" w:cs="Arial" w:eastAsia="Arial" w:hAnsi="Arial"/>
          <w:sz w:val="22"/>
          <w:szCs w:val="22"/>
          <w:color w:val="auto"/>
        </w:rPr>
        <w:t>forecasted collections on the pool of Purchased Loans which previously constituted Dealer Loan Contracts securing such Dealer Loan), plus following the acquisition of such Purchased Loan</w:t>
      </w:r>
    </w:p>
    <w:p>
      <w:pPr>
        <w:spacing w:after="0" w:line="2" w:lineRule="exact"/>
        <w:rPr>
          <w:sz w:val="20"/>
          <w:szCs w:val="20"/>
          <w:color w:val="auto"/>
        </w:rPr>
      </w:pPr>
    </w:p>
    <w:p>
      <w:pPr>
        <w:jc w:val="both"/>
        <w:ind w:left="120" w:right="40" w:hanging="4"/>
        <w:spacing w:after="0" w:line="244" w:lineRule="auto"/>
        <w:tabs>
          <w:tab w:leader="none" w:pos="651" w:val="left"/>
        </w:tabs>
        <w:numPr>
          <w:ilvl w:val="0"/>
          <w:numId w:val="293"/>
        </w:numPr>
        <w:rPr>
          <w:rFonts w:ascii="Arial" w:cs="Arial" w:eastAsia="Arial" w:hAnsi="Arial"/>
          <w:sz w:val="22"/>
          <w:szCs w:val="22"/>
          <w:color w:val="auto"/>
        </w:rPr>
      </w:pPr>
      <w:r>
        <w:rPr>
          <w:rFonts w:ascii="Arial" w:cs="Arial" w:eastAsia="Arial" w:hAnsi="Arial"/>
          <w:sz w:val="22"/>
          <w:szCs w:val="22"/>
          <w:color w:val="auto"/>
        </w:rPr>
        <w:t>revenue accrued with respect to such Purchased Loan in accordance with Credit Acceptance’s accounting policies and recoveries on such Purchased Loan if it has been written off, less (C) Collections on the related Purchased Loan Contract applied through the date of determination to the reduction of the balance of such Purchased Loan and write offs of such Purchased Loan.</w:t>
      </w:r>
    </w:p>
    <w:p>
      <w:pPr>
        <w:spacing w:after="0" w:line="236" w:lineRule="exact"/>
        <w:rPr>
          <w:sz w:val="20"/>
          <w:szCs w:val="20"/>
          <w:color w:val="auto"/>
        </w:rPr>
      </w:pPr>
    </w:p>
    <w:p>
      <w:pPr>
        <w:jc w:val="both"/>
        <w:ind w:left="120" w:right="40" w:firstLine="648"/>
        <w:spacing w:after="0" w:line="271" w:lineRule="auto"/>
        <w:rPr>
          <w:sz w:val="20"/>
          <w:szCs w:val="20"/>
          <w:color w:val="auto"/>
        </w:rPr>
      </w:pPr>
      <w:r>
        <w:rPr>
          <w:rFonts w:ascii="Arial" w:cs="Arial" w:eastAsia="Arial" w:hAnsi="Arial"/>
          <w:sz w:val="21"/>
          <w:szCs w:val="21"/>
          <w:u w:val="single" w:color="auto"/>
          <w:color w:val="auto"/>
        </w:rPr>
        <w:t>Overconcentration Loan Amount</w:t>
      </w:r>
      <w:r>
        <w:rPr>
          <w:rFonts w:ascii="Arial" w:cs="Arial" w:eastAsia="Arial" w:hAnsi="Arial"/>
          <w:sz w:val="21"/>
          <w:szCs w:val="21"/>
          <w:color w:val="auto"/>
        </w:rPr>
        <w:t>: With respect to any Dealer and any date of determination, the amount by which the aggregate Net Loan Balance of Dealer Loans (measured as of the end of the immediately preceding Collection Period) made to such Dealer as of such date of determination exceeds the Dealer Concentration Limit.</w:t>
      </w:r>
    </w:p>
    <w:p>
      <w:pPr>
        <w:spacing w:after="0" w:line="289" w:lineRule="exact"/>
        <w:rPr>
          <w:sz w:val="20"/>
          <w:szCs w:val="20"/>
          <w:color w:val="auto"/>
        </w:rPr>
      </w:pPr>
    </w:p>
    <w:p>
      <w:pPr>
        <w:ind w:left="760" w:right="2560"/>
        <w:spacing w:after="0" w:line="397" w:lineRule="auto"/>
        <w:rPr>
          <w:sz w:val="20"/>
          <w:szCs w:val="20"/>
          <w:color w:val="auto"/>
        </w:rPr>
      </w:pP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Defined in Section 13.1(e) of this Agreement. </w:t>
      </w:r>
      <w:r>
        <w:rPr>
          <w:rFonts w:ascii="Arial" w:cs="Arial" w:eastAsia="Arial" w:hAnsi="Arial"/>
          <w:sz w:val="22"/>
          <w:szCs w:val="22"/>
          <w:u w:val="single" w:color="auto"/>
          <w:color w:val="auto"/>
        </w:rPr>
        <w:t>Patriot Act</w:t>
      </w:r>
      <w:r>
        <w:rPr>
          <w:rFonts w:ascii="Arial" w:cs="Arial" w:eastAsia="Arial" w:hAnsi="Arial"/>
          <w:sz w:val="22"/>
          <w:szCs w:val="22"/>
          <w:color w:val="auto"/>
        </w:rPr>
        <w:t>: Defined in Section 4.1(z) of this Agreement.</w:t>
      </w:r>
    </w:p>
    <w:p>
      <w:pPr>
        <w:jc w:val="both"/>
        <w:ind w:left="120" w:right="60" w:firstLine="648"/>
        <w:spacing w:after="0" w:line="263" w:lineRule="auto"/>
        <w:rPr>
          <w:sz w:val="20"/>
          <w:szCs w:val="20"/>
          <w:color w:val="auto"/>
        </w:rPr>
      </w:pPr>
      <w:r>
        <w:rPr>
          <w:rFonts w:ascii="Arial" w:cs="Arial" w:eastAsia="Arial" w:hAnsi="Arial"/>
          <w:sz w:val="22"/>
          <w:szCs w:val="22"/>
          <w:u w:val="single" w:color="auto"/>
          <w:color w:val="auto"/>
        </w:rPr>
        <w:t>Payment Date</w:t>
      </w:r>
      <w:r>
        <w:rPr>
          <w:rFonts w:ascii="Arial" w:cs="Arial" w:eastAsia="Arial" w:hAnsi="Arial"/>
          <w:sz w:val="22"/>
          <w:szCs w:val="22"/>
          <w:color w:val="auto"/>
        </w:rPr>
        <w:t>: The fifteenth (15</w:t>
      </w:r>
      <w:r>
        <w:rPr>
          <w:rFonts w:ascii="Arial" w:cs="Arial" w:eastAsia="Arial" w:hAnsi="Arial"/>
          <w:sz w:val="12"/>
          <w:szCs w:val="12"/>
          <w:color w:val="auto"/>
        </w:rPr>
        <w:t>th</w:t>
      </w:r>
      <w:r>
        <w:rPr>
          <w:rFonts w:ascii="Arial" w:cs="Arial" w:eastAsia="Arial" w:hAnsi="Arial"/>
          <w:sz w:val="22"/>
          <w:szCs w:val="22"/>
          <w:color w:val="auto"/>
        </w:rPr>
        <w:t>) day of each calendar month or, if such day is not a Business Day, the next succeeding Business Day.</w:t>
      </w:r>
    </w:p>
    <w:p>
      <w:pPr>
        <w:spacing w:after="0" w:line="202" w:lineRule="exact"/>
        <w:rPr>
          <w:sz w:val="20"/>
          <w:szCs w:val="20"/>
          <w:color w:val="auto"/>
        </w:rPr>
      </w:pPr>
    </w:p>
    <w:p>
      <w:pPr>
        <w:jc w:val="both"/>
        <w:ind w:left="120" w:firstLine="648"/>
        <w:spacing w:after="0" w:line="302" w:lineRule="auto"/>
        <w:rPr>
          <w:sz w:val="20"/>
          <w:szCs w:val="20"/>
          <w:color w:val="auto"/>
        </w:rPr>
      </w:pPr>
      <w:r>
        <w:rPr>
          <w:rFonts w:ascii="Arial" w:cs="Arial" w:eastAsia="Arial" w:hAnsi="Arial"/>
          <w:sz w:val="19"/>
          <w:szCs w:val="19"/>
          <w:u w:val="single" w:color="auto"/>
          <w:color w:val="auto"/>
        </w:rPr>
        <w:t>Payment Rate</w:t>
      </w:r>
      <w:r>
        <w:rPr>
          <w:rFonts w:ascii="Arial" w:cs="Arial" w:eastAsia="Arial" w:hAnsi="Arial"/>
          <w:sz w:val="19"/>
          <w:szCs w:val="19"/>
          <w:color w:val="auto"/>
        </w:rPr>
        <w:t>: For any Collection Period in which a Take-Out does not occur, the ratio, expressed as a percentage, the numerator of which is equal to Collections received during such Collection Period and the denominator of which is equal to the Aggregate Outstanding Eligible Loan Net Balance as of the first day of such Collection Period. For the avoidance of doubt, the Payment Rate will not be required to be calculated for any Collection Period in which a Take- Out occurs.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Permitted Investments</w:t>
      </w:r>
      <w:r>
        <w:rPr>
          <w:rFonts w:ascii="Arial" w:cs="Arial" w:eastAsia="Arial" w:hAnsi="Arial"/>
          <w:sz w:val="22"/>
          <w:szCs w:val="22"/>
          <w:color w:val="auto"/>
        </w:rPr>
        <w:t>: Any one or more of the following types of investments:</w:t>
      </w:r>
    </w:p>
    <w:p>
      <w:pPr>
        <w:spacing w:after="0" w:line="260" w:lineRule="exact"/>
        <w:rPr>
          <w:sz w:val="20"/>
          <w:szCs w:val="20"/>
          <w:color w:val="auto"/>
        </w:rPr>
      </w:pPr>
    </w:p>
    <w:p>
      <w:pPr>
        <w:ind w:left="120" w:firstLine="644"/>
        <w:spacing w:after="0" w:line="343" w:lineRule="auto"/>
        <w:tabs>
          <w:tab w:leader="none" w:pos="1305" w:val="left"/>
        </w:tabs>
        <w:numPr>
          <w:ilvl w:val="0"/>
          <w:numId w:val="294"/>
        </w:numPr>
        <w:rPr>
          <w:rFonts w:ascii="Arial" w:cs="Arial" w:eastAsia="Arial" w:hAnsi="Arial"/>
          <w:sz w:val="19"/>
          <w:szCs w:val="19"/>
          <w:color w:val="auto"/>
        </w:rPr>
      </w:pPr>
      <w:r>
        <w:rPr>
          <w:rFonts w:ascii="Arial" w:cs="Arial" w:eastAsia="Arial" w:hAnsi="Arial"/>
          <w:sz w:val="19"/>
          <w:szCs w:val="19"/>
          <w:color w:val="auto"/>
        </w:rPr>
        <w:t>marketable obligations of the United States, the full and timely payment of which are backed by the full faith and credit of the United States of America and that have a maturity of not more than 270 days from the date of acquisition;</w:t>
      </w:r>
    </w:p>
    <w:p>
      <w:pPr>
        <w:spacing w:after="0" w:line="131" w:lineRule="exact"/>
        <w:rPr>
          <w:rFonts w:ascii="Arial" w:cs="Arial" w:eastAsia="Arial" w:hAnsi="Arial"/>
          <w:sz w:val="19"/>
          <w:szCs w:val="19"/>
          <w:color w:val="auto"/>
        </w:rPr>
      </w:pPr>
    </w:p>
    <w:p>
      <w:pPr>
        <w:ind w:left="120" w:right="40" w:firstLine="644"/>
        <w:spacing w:after="0" w:line="287" w:lineRule="auto"/>
        <w:tabs>
          <w:tab w:leader="none" w:pos="1303" w:val="left"/>
        </w:tabs>
        <w:numPr>
          <w:ilvl w:val="0"/>
          <w:numId w:val="294"/>
        </w:numPr>
        <w:rPr>
          <w:rFonts w:ascii="Arial" w:cs="Arial" w:eastAsia="Arial" w:hAnsi="Arial"/>
          <w:sz w:val="21"/>
          <w:szCs w:val="21"/>
          <w:color w:val="auto"/>
        </w:rPr>
      </w:pPr>
      <w:r>
        <w:rPr>
          <w:rFonts w:ascii="Arial" w:cs="Arial" w:eastAsia="Arial" w:hAnsi="Arial"/>
          <w:sz w:val="21"/>
          <w:szCs w:val="21"/>
          <w:color w:val="auto"/>
        </w:rPr>
        <w:t>marketable obligations, the full and timely payment of which are directly and fully guaranteed by the full faith and credit of the United States and that have a maturity of not more than 270 days from the date of acquisition;</w:t>
      </w:r>
    </w:p>
    <w:p>
      <w:pPr>
        <w:spacing w:after="0" w:line="191" w:lineRule="exact"/>
        <w:rPr>
          <w:rFonts w:ascii="Arial" w:cs="Arial" w:eastAsia="Arial" w:hAnsi="Arial"/>
          <w:sz w:val="21"/>
          <w:szCs w:val="21"/>
          <w:color w:val="auto"/>
        </w:rPr>
      </w:pPr>
    </w:p>
    <w:p>
      <w:pPr>
        <w:jc w:val="both"/>
        <w:ind w:left="120" w:right="60" w:firstLine="644"/>
        <w:spacing w:after="0" w:line="250" w:lineRule="auto"/>
        <w:tabs>
          <w:tab w:leader="none" w:pos="1305" w:val="left"/>
        </w:tabs>
        <w:numPr>
          <w:ilvl w:val="0"/>
          <w:numId w:val="294"/>
        </w:numPr>
        <w:rPr>
          <w:rFonts w:ascii="Arial" w:cs="Arial" w:eastAsia="Arial" w:hAnsi="Arial"/>
          <w:sz w:val="22"/>
          <w:szCs w:val="22"/>
          <w:color w:val="auto"/>
        </w:rPr>
      </w:pPr>
      <w:r>
        <w:rPr>
          <w:rFonts w:ascii="Arial" w:cs="Arial" w:eastAsia="Arial" w:hAnsi="Arial"/>
          <w:sz w:val="22"/>
          <w:szCs w:val="22"/>
          <w:color w:val="auto"/>
        </w:rPr>
        <w:t>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are rated at least A-1 by S&amp;P and P-1 by Moody’s;</w:t>
      </w:r>
    </w:p>
    <w:p>
      <w:pPr>
        <w:spacing w:after="0" w:line="214" w:lineRule="exact"/>
        <w:rPr>
          <w:rFonts w:ascii="Arial" w:cs="Arial" w:eastAsia="Arial" w:hAnsi="Arial"/>
          <w:sz w:val="22"/>
          <w:szCs w:val="22"/>
          <w:color w:val="auto"/>
        </w:rPr>
      </w:pPr>
    </w:p>
    <w:p>
      <w:pPr>
        <w:ind w:left="120" w:right="60" w:firstLine="644"/>
        <w:spacing w:after="0" w:line="263" w:lineRule="auto"/>
        <w:tabs>
          <w:tab w:leader="none" w:pos="1303" w:val="left"/>
        </w:tabs>
        <w:numPr>
          <w:ilvl w:val="0"/>
          <w:numId w:val="294"/>
        </w:numPr>
        <w:rPr>
          <w:rFonts w:ascii="Arial" w:cs="Arial" w:eastAsia="Arial" w:hAnsi="Arial"/>
          <w:sz w:val="22"/>
          <w:szCs w:val="22"/>
          <w:color w:val="auto"/>
        </w:rPr>
      </w:pPr>
      <w:r>
        <w:rPr>
          <w:rFonts w:ascii="Arial" w:cs="Arial" w:eastAsia="Arial" w:hAnsi="Arial"/>
          <w:sz w:val="22"/>
          <w:szCs w:val="22"/>
          <w:color w:val="auto"/>
        </w:rPr>
        <w:t>repurchase obligations with a term of not more than ten days for underlying securities of the types described in clauses (a), (b) and (c) above entered into with any bank of the type described in clause (c)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31</w:t>
      </w:r>
    </w:p>
    <w:p>
      <w:pPr>
        <w:sectPr>
          <w:pgSz w:w="11900" w:h="16838" w:orient="portrait"/>
          <w:cols w:equalWidth="0" w:num="1">
            <w:col w:w="11140"/>
          </w:cols>
          <w:pgMar w:left="320" w:top="1428" w:right="439" w:bottom="1440" w:gutter="0" w:footer="0" w:header="0"/>
        </w:sectPr>
      </w:pPr>
    </w:p>
    <w:bookmarkStart w:id="299" w:name="page300"/>
    <w:bookmarkEnd w:id="299"/>
    <w:p>
      <w:pPr>
        <w:ind w:left="1400" w:hanging="636"/>
        <w:spacing w:after="0"/>
        <w:tabs>
          <w:tab w:leader="none" w:pos="1400" w:val="left"/>
        </w:tabs>
        <w:numPr>
          <w:ilvl w:val="0"/>
          <w:numId w:val="295"/>
        </w:numPr>
        <w:rPr>
          <w:rFonts w:ascii="Arial" w:cs="Arial" w:eastAsia="Arial" w:hAnsi="Arial"/>
          <w:sz w:val="22"/>
          <w:szCs w:val="22"/>
          <w:color w:val="auto"/>
        </w:rPr>
      </w:pPr>
      <w:r>
        <w:rPr>
          <w:rFonts w:ascii="Arial" w:cs="Arial" w:eastAsia="Arial" w:hAnsi="Arial"/>
          <w:sz w:val="22"/>
          <w:szCs w:val="22"/>
          <w:color w:val="auto"/>
        </w:rPr>
        <w:t>commercial paper rated at least A-1 by S&amp;P and P-1 by Moody’s;</w:t>
      </w:r>
    </w:p>
    <w:p>
      <w:pPr>
        <w:spacing w:after="0" w:line="260" w:lineRule="exact"/>
        <w:rPr>
          <w:rFonts w:ascii="Arial" w:cs="Arial" w:eastAsia="Arial" w:hAnsi="Arial"/>
          <w:sz w:val="22"/>
          <w:szCs w:val="22"/>
          <w:color w:val="auto"/>
        </w:rPr>
      </w:pPr>
    </w:p>
    <w:p>
      <w:pPr>
        <w:jc w:val="both"/>
        <w:ind w:left="120" w:right="40" w:firstLine="644"/>
        <w:spacing w:after="0" w:line="247" w:lineRule="auto"/>
        <w:tabs>
          <w:tab w:leader="none" w:pos="1308" w:val="left"/>
        </w:tabs>
        <w:numPr>
          <w:ilvl w:val="0"/>
          <w:numId w:val="295"/>
        </w:numPr>
        <w:rPr>
          <w:rFonts w:ascii="Arial" w:cs="Arial" w:eastAsia="Arial" w:hAnsi="Arial"/>
          <w:sz w:val="22"/>
          <w:szCs w:val="22"/>
          <w:color w:val="auto"/>
        </w:rPr>
      </w:pPr>
      <w:r>
        <w:rPr>
          <w:rFonts w:ascii="Arial" w:cs="Arial" w:eastAsia="Arial" w:hAnsi="Arial"/>
          <w:sz w:val="22"/>
          <w:szCs w:val="22"/>
          <w:color w:val="auto"/>
        </w:rPr>
        <w:t xml:space="preserve">demand deposits, time deposits or certificates of deposit (having original maturities of no more than 365 days) of depository institutions or trust companies incorporated under the laws of the United States of America or any state thereof (or domestic branches of any foreign bank) and subject to supervision and examination by federal or state banking or depository institution authorities;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at the time such investment, or the commitment to make such investment, is entered into, the short-term debt rating of such depository institution or trust company shall be at least A-1 by S&amp;P and P-1 by Moody’s; and</w:t>
      </w:r>
    </w:p>
    <w:p>
      <w:pPr>
        <w:spacing w:after="0" w:line="219" w:lineRule="exact"/>
        <w:rPr>
          <w:rFonts w:ascii="Arial" w:cs="Arial" w:eastAsia="Arial" w:hAnsi="Arial"/>
          <w:sz w:val="22"/>
          <w:szCs w:val="22"/>
          <w:color w:val="auto"/>
        </w:rPr>
      </w:pPr>
    </w:p>
    <w:p>
      <w:pPr>
        <w:jc w:val="both"/>
        <w:ind w:left="120" w:right="40" w:firstLine="644"/>
        <w:spacing w:after="0" w:line="253" w:lineRule="auto"/>
        <w:tabs>
          <w:tab w:leader="none" w:pos="1303" w:val="left"/>
        </w:tabs>
        <w:numPr>
          <w:ilvl w:val="0"/>
          <w:numId w:val="295"/>
        </w:numPr>
        <w:rPr>
          <w:rFonts w:ascii="Arial" w:cs="Arial" w:eastAsia="Arial" w:hAnsi="Arial"/>
          <w:sz w:val="22"/>
          <w:szCs w:val="22"/>
          <w:color w:val="auto"/>
        </w:rPr>
      </w:pPr>
      <w:r>
        <w:rPr>
          <w:rFonts w:ascii="Arial" w:cs="Arial" w:eastAsia="Arial" w:hAnsi="Arial"/>
          <w:sz w:val="22"/>
          <w:szCs w:val="22"/>
          <w:color w:val="auto"/>
        </w:rPr>
        <w:t>money market mutual funds (including funds for which the Collateral Agent may act as a sponsor or advisor or for which the Collateral Agent may receive fee income) having a rating, at the time of such investment, from S&amp;P or Moody’s in the highest investment category granted thereby.</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Each of the Permitted Investments may be purchased by the Collateral Agent or through an Affiliate of the Collateral</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Agent.</w:t>
      </w:r>
    </w:p>
    <w:p>
      <w:pPr>
        <w:spacing w:after="0" w:line="229" w:lineRule="exact"/>
        <w:rPr>
          <w:sz w:val="20"/>
          <w:szCs w:val="20"/>
          <w:color w:val="auto"/>
        </w:rPr>
      </w:pPr>
    </w:p>
    <w:p>
      <w:pPr>
        <w:jc w:val="both"/>
        <w:ind w:left="120" w:right="60" w:firstLine="648"/>
        <w:spacing w:after="0" w:line="253" w:lineRule="auto"/>
        <w:rPr>
          <w:sz w:val="20"/>
          <w:szCs w:val="20"/>
          <w:color w:val="auto"/>
        </w:rPr>
      </w:pPr>
      <w:r>
        <w:rPr>
          <w:rFonts w:ascii="Arial" w:cs="Arial" w:eastAsia="Arial" w:hAnsi="Arial"/>
          <w:sz w:val="22"/>
          <w:szCs w:val="22"/>
          <w:u w:val="single" w:color="auto"/>
          <w:color w:val="auto"/>
        </w:rPr>
        <w:t>Permitted Liens</w:t>
      </w:r>
      <w:r>
        <w:rPr>
          <w:rFonts w:ascii="Arial" w:cs="Arial" w:eastAsia="Arial" w:hAnsi="Arial"/>
          <w:sz w:val="22"/>
          <w:szCs w:val="22"/>
          <w:color w:val="auto"/>
        </w:rPr>
        <w:t>: Liens for state, municipal or other local taxes if such taxes shall not at the time be due and payable and Liens granted pursuant to the Transaction Documents and with respect to the Dealer Loan Contracts, the second priority lien of the related Dealer therein as set forth in the related Dealer Agreement.</w:t>
      </w:r>
    </w:p>
    <w:p>
      <w:pPr>
        <w:spacing w:after="0" w:line="226" w:lineRule="exact"/>
        <w:rPr>
          <w:sz w:val="20"/>
          <w:szCs w:val="20"/>
          <w:color w:val="auto"/>
        </w:rPr>
      </w:pPr>
    </w:p>
    <w:p>
      <w:pPr>
        <w:jc w:val="both"/>
        <w:ind w:left="120" w:right="40" w:firstLine="648"/>
        <w:spacing w:after="0" w:line="253" w:lineRule="auto"/>
        <w:rPr>
          <w:sz w:val="20"/>
          <w:szCs w:val="20"/>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An individual, partnership, corporation (including a business trust), limited liability company, joint stock company, trust, unincorporated association, sole proprietorship, joint venture, government (or any agency or political subdivision thereof) or other entity.</w:t>
      </w:r>
    </w:p>
    <w:p>
      <w:pPr>
        <w:spacing w:after="0" w:line="226" w:lineRule="exact"/>
        <w:rPr>
          <w:sz w:val="20"/>
          <w:szCs w:val="20"/>
          <w:color w:val="auto"/>
        </w:rPr>
      </w:pPr>
    </w:p>
    <w:p>
      <w:pPr>
        <w:jc w:val="both"/>
        <w:ind w:left="120" w:right="40" w:firstLine="648"/>
        <w:spacing w:after="0" w:line="253" w:lineRule="auto"/>
        <w:rPr>
          <w:sz w:val="20"/>
          <w:szCs w:val="20"/>
          <w:color w:val="auto"/>
        </w:rPr>
      </w:pPr>
      <w:r>
        <w:rPr>
          <w:rFonts w:ascii="Arial" w:cs="Arial" w:eastAsia="Arial" w:hAnsi="Arial"/>
          <w:sz w:val="22"/>
          <w:szCs w:val="22"/>
          <w:u w:val="single" w:color="auto"/>
          <w:color w:val="auto"/>
        </w:rPr>
        <w:t>Pool</w:t>
      </w:r>
      <w:r>
        <w:rPr>
          <w:rFonts w:ascii="Arial" w:cs="Arial" w:eastAsia="Arial" w:hAnsi="Arial"/>
          <w:sz w:val="22"/>
          <w:szCs w:val="22"/>
          <w:color w:val="auto"/>
        </w:rPr>
        <w:t>: An identifiable group of Dealer Loan Contracts related to a particular Dealer Agreement identified on Schedule IV hereto, which, for the avoidance of doubt, may take the form of an Open Pool or Closed Pool at the time it is pledged hereunder.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1"/>
          <w:szCs w:val="21"/>
          <w:u w:val="single" w:color="auto"/>
          <w:color w:val="auto"/>
        </w:rPr>
        <w:t>Prepayment Fee</w:t>
      </w:r>
      <w:r>
        <w:rPr>
          <w:rFonts w:ascii="Arial" w:cs="Arial" w:eastAsia="Arial" w:hAnsi="Arial"/>
          <w:sz w:val="21"/>
          <w:szCs w:val="21"/>
          <w:color w:val="auto"/>
        </w:rPr>
        <w:t>: With respect to each Lender, as defined in the applicable Fee Letter relating to such Lender.</w:t>
      </w:r>
    </w:p>
    <w:p>
      <w:pPr>
        <w:spacing w:after="0" w:line="272"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The rate announced by Wells Fargo from time to time as its prime rate in the United States, such rate to change as and when such designated rate changes. The Prime Rate is not intended to be the lowest rate of interest charged by Wells Fargo in connection with extensions of credit to debtors.</w:t>
      </w:r>
    </w:p>
    <w:p>
      <w:pPr>
        <w:spacing w:after="0" w:line="212" w:lineRule="exact"/>
        <w:rPr>
          <w:sz w:val="20"/>
          <w:szCs w:val="20"/>
          <w:color w:val="auto"/>
        </w:rPr>
      </w:pPr>
    </w:p>
    <w:p>
      <w:pPr>
        <w:jc w:val="both"/>
        <w:ind w:left="120" w:right="40" w:firstLine="648"/>
        <w:spacing w:after="0" w:line="250" w:lineRule="auto"/>
        <w:rPr>
          <w:sz w:val="20"/>
          <w:szCs w:val="20"/>
          <w:color w:val="auto"/>
        </w:rPr>
      </w:pPr>
      <w:r>
        <w:rPr>
          <w:rFonts w:ascii="Arial" w:cs="Arial" w:eastAsia="Arial" w:hAnsi="Arial"/>
          <w:sz w:val="22"/>
          <w:szCs w:val="22"/>
          <w:u w:val="single" w:color="auto"/>
          <w:color w:val="auto"/>
        </w:rPr>
        <w:t>Proceeds</w:t>
      </w:r>
      <w:r>
        <w:rPr>
          <w:rFonts w:ascii="Arial" w:cs="Arial" w:eastAsia="Arial" w:hAnsi="Arial"/>
          <w:sz w:val="22"/>
          <w:szCs w:val="22"/>
          <w:color w:val="auto"/>
        </w:rPr>
        <w:t>: With respect to any portion of the Collateral, all “proceeds” as such term is defined in Article 9 of the UCC, including, whatever is receivable or received when such portion of Collateral is sold, liquidated, foreclosed, exchanged, or otherwise disposed of, whether such disposition is voluntary or involuntary, and includes all rights to payment with respect to any insurance relating thereto.</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Program Fee</w:t>
      </w:r>
      <w:r>
        <w:rPr>
          <w:rFonts w:ascii="Arial" w:cs="Arial" w:eastAsia="Arial" w:hAnsi="Arial"/>
          <w:sz w:val="22"/>
          <w:szCs w:val="22"/>
          <w:color w:val="auto"/>
        </w:rPr>
        <w:t>: With respect to each Lender, as defined in the applicable Fee Letter related to such Lender.</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32</w:t>
      </w:r>
    </w:p>
    <w:p>
      <w:pPr>
        <w:sectPr>
          <w:pgSz w:w="11900" w:h="16838" w:orient="portrait"/>
          <w:cols w:equalWidth="0" w:num="1">
            <w:col w:w="11140"/>
          </w:cols>
          <w:pgMar w:left="320" w:top="1428" w:right="439" w:bottom="1440" w:gutter="0" w:footer="0" w:header="0"/>
        </w:sectPr>
      </w:pPr>
    </w:p>
    <w:bookmarkStart w:id="300" w:name="page301"/>
    <w:bookmarkEnd w:id="300"/>
    <w:p>
      <w:pPr>
        <w:jc w:val="both"/>
        <w:ind w:left="700" w:right="80" w:firstLine="648"/>
        <w:spacing w:after="0" w:line="263" w:lineRule="auto"/>
        <w:rPr>
          <w:sz w:val="20"/>
          <w:szCs w:val="20"/>
          <w:color w:val="auto"/>
        </w:rPr>
      </w:pPr>
      <w:r>
        <w:rPr>
          <w:rFonts w:ascii="Arial" w:cs="Arial" w:eastAsia="Arial" w:hAnsi="Arial"/>
          <w:sz w:val="22"/>
          <w:szCs w:val="22"/>
          <w:u w:val="single" w:color="auto"/>
          <w:color w:val="auto"/>
        </w:rPr>
        <w:t>Purchase Agreement</w:t>
      </w:r>
      <w:r>
        <w:rPr>
          <w:rFonts w:ascii="Arial" w:cs="Arial" w:eastAsia="Arial" w:hAnsi="Arial"/>
          <w:sz w:val="22"/>
          <w:szCs w:val="22"/>
          <w:color w:val="auto"/>
        </w:rPr>
        <w:t>: Each agreement between Credit Acceptance and any Dealer in substantially the form attached hereto as Exhibit K, together with any Dealer Collections Purchase Agreement.</w:t>
      </w:r>
    </w:p>
    <w:p>
      <w:pPr>
        <w:spacing w:after="0" w:line="215" w:lineRule="exact"/>
        <w:rPr>
          <w:sz w:val="20"/>
          <w:szCs w:val="20"/>
          <w:color w:val="auto"/>
        </w:rPr>
      </w:pPr>
    </w:p>
    <w:p>
      <w:pPr>
        <w:jc w:val="both"/>
        <w:ind w:left="700" w:right="80" w:firstLine="648"/>
        <w:spacing w:after="0" w:line="250" w:lineRule="auto"/>
        <w:rPr>
          <w:sz w:val="20"/>
          <w:szCs w:val="20"/>
          <w:color w:val="auto"/>
        </w:rPr>
      </w:pPr>
      <w:r>
        <w:rPr>
          <w:rFonts w:ascii="Arial" w:cs="Arial" w:eastAsia="Arial" w:hAnsi="Arial"/>
          <w:sz w:val="22"/>
          <w:szCs w:val="22"/>
          <w:u w:val="single" w:color="auto"/>
          <w:color w:val="auto"/>
        </w:rPr>
        <w:t>Purchased Loan</w:t>
      </w:r>
      <w:r>
        <w:rPr>
          <w:rFonts w:ascii="Arial" w:cs="Arial" w:eastAsia="Arial" w:hAnsi="Arial"/>
          <w:sz w:val="22"/>
          <w:szCs w:val="22"/>
          <w:color w:val="auto"/>
        </w:rPr>
        <w:t>: A motor vehicle retail installment loan relating to the sale of an automobile or light-duty truck originated by a Dealer, purchased by the Originator from such Dealer and evidenced by a Purchased Loan Contract; provided, however, that the term “Purchased Loan” shall, for purposes of this Agreement, include only those Purchased Loans identified from time to time on Schedule IV hereto.</w:t>
      </w:r>
    </w:p>
    <w:p>
      <w:pPr>
        <w:spacing w:after="0" w:line="215" w:lineRule="exact"/>
        <w:rPr>
          <w:sz w:val="20"/>
          <w:szCs w:val="20"/>
          <w:color w:val="auto"/>
        </w:rPr>
      </w:pPr>
    </w:p>
    <w:p>
      <w:pPr>
        <w:jc w:val="both"/>
        <w:ind w:left="700" w:right="80" w:firstLine="648"/>
        <w:spacing w:after="0" w:line="263" w:lineRule="auto"/>
        <w:rPr>
          <w:sz w:val="20"/>
          <w:szCs w:val="20"/>
          <w:color w:val="auto"/>
        </w:rPr>
      </w:pPr>
      <w:r>
        <w:rPr>
          <w:rFonts w:ascii="Arial" w:cs="Arial" w:eastAsia="Arial" w:hAnsi="Arial"/>
          <w:sz w:val="22"/>
          <w:szCs w:val="22"/>
          <w:u w:val="single" w:color="auto"/>
          <w:color w:val="auto"/>
        </w:rPr>
        <w:t>Purchased Loan Contract</w:t>
      </w:r>
      <w:r>
        <w:rPr>
          <w:rFonts w:ascii="Arial" w:cs="Arial" w:eastAsia="Arial" w:hAnsi="Arial"/>
          <w:sz w:val="22"/>
          <w:szCs w:val="22"/>
          <w:color w:val="auto"/>
        </w:rPr>
        <w:t>: Each motor vehicle retail installment sales contract, in substantially one of the forms attached hereto as Exhibit I, relating to a Purchased Loan.</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Qualified Institution</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47" w:lineRule="exact"/>
        <w:rPr>
          <w:sz w:val="20"/>
          <w:szCs w:val="20"/>
          <w:color w:val="auto"/>
        </w:rPr>
      </w:pPr>
    </w:p>
    <w:p>
      <w:pPr>
        <w:jc w:val="both"/>
        <w:ind w:left="700" w:right="60" w:firstLine="648"/>
        <w:spacing w:after="0" w:line="265" w:lineRule="auto"/>
        <w:rPr>
          <w:sz w:val="20"/>
          <w:szCs w:val="20"/>
          <w:color w:val="auto"/>
        </w:rPr>
      </w:pPr>
      <w:r>
        <w:rPr>
          <w:rFonts w:ascii="Arial" w:cs="Arial" w:eastAsia="Arial" w:hAnsi="Arial"/>
          <w:sz w:val="21"/>
          <w:szCs w:val="21"/>
          <w:u w:val="single" w:color="auto"/>
          <w:color w:val="auto"/>
        </w:rPr>
        <w:t>Records</w:t>
      </w:r>
      <w:r>
        <w:rPr>
          <w:rFonts w:ascii="Arial" w:cs="Arial" w:eastAsia="Arial" w:hAnsi="Arial"/>
          <w:sz w:val="21"/>
          <w:szCs w:val="21"/>
          <w:color w:val="auto"/>
        </w:rPr>
        <w:t>: The Dealer Agreements, Contracts, Contract Files and all other documents, books, records and other information (including, without limitation, computer programs, tapes, discs, punch cards, data processing software and related contracts, records and other media for storage of information) in each case whether tangible or electronic that are maintained with respect to the Loans and the Contracts and the related Obligors.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FF0000"/>
        </w:rPr>
        <w:t>Reference Bank</w:t>
      </w:r>
      <w:r>
        <w:rPr>
          <w:rFonts w:ascii="Arial" w:cs="Arial" w:eastAsia="Arial" w:hAnsi="Arial"/>
          <w:sz w:val="21"/>
          <w:szCs w:val="21"/>
          <w:color w:val="FF0000"/>
        </w:rPr>
        <w:t>: Any bank that furnishes information for purposes of determining the Adjusted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-62230</wp:posOffset>
            </wp:positionV>
            <wp:extent cx="6181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81725" cy="8890"/>
                    </a:xfrm>
                    <a:prstGeom prst="rect">
                      <a:avLst/>
                    </a:prstGeom>
                    <a:noFill/>
                  </pic:spPr>
                </pic:pic>
              </a:graphicData>
            </a:graphic>
          </wp:anchor>
        </w:drawing>
      </w:r>
    </w:p>
    <w:p>
      <w:pPr>
        <w:spacing w:after="0" w:line="252" w:lineRule="exact"/>
        <w:rPr>
          <w:sz w:val="20"/>
          <w:szCs w:val="20"/>
          <w:color w:val="auto"/>
        </w:rPr>
      </w:pPr>
    </w:p>
    <w:p>
      <w:pPr>
        <w:ind w:left="660"/>
        <w:spacing w:after="0" w:line="312" w:lineRule="auto"/>
        <w:rPr>
          <w:sz w:val="20"/>
          <w:szCs w:val="20"/>
          <w:color w:val="auto"/>
        </w:rPr>
      </w:pPr>
      <w:r>
        <w:rPr>
          <w:rFonts w:ascii="Arial" w:cs="Arial" w:eastAsia="Arial" w:hAnsi="Arial"/>
          <w:sz w:val="19"/>
          <w:szCs w:val="19"/>
          <w:u w:val="single" w:color="auto"/>
          <w:color w:val="0000FF"/>
        </w:rPr>
        <w:t xml:space="preserve">Reference Time: With respect to any setting of the then-current Benchmark, (1) if such Benchmark is USD LIBOR, </w:t>
      </w:r>
      <w:r>
        <w:rPr>
          <w:rFonts w:ascii="Arial" w:cs="Arial" w:eastAsia="Arial" w:hAnsi="Arial"/>
          <w:sz w:val="19"/>
          <w:szCs w:val="19"/>
          <w:u w:val="single" w:color="auto"/>
          <w:color w:val="007F00"/>
        </w:rPr>
        <w:t>11:00</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7F00"/>
        </w:rPr>
        <w:t xml:space="preserve">a.m. (London time) on the </w:t>
      </w:r>
      <w:r>
        <w:rPr>
          <w:rFonts w:ascii="Arial" w:cs="Arial" w:eastAsia="Arial" w:hAnsi="Arial"/>
          <w:sz w:val="19"/>
          <w:szCs w:val="19"/>
          <w:u w:val="single" w:color="auto"/>
          <w:color w:val="0000FF"/>
        </w:rPr>
        <w:t>day that is two (2) London banking days preceding the date of such setting, and (2) if such</w:t>
      </w:r>
      <w:r>
        <w:rPr>
          <w:rFonts w:ascii="Arial" w:cs="Arial" w:eastAsia="Arial" w:hAnsi="Arial"/>
          <w:sz w:val="19"/>
          <w:szCs w:val="19"/>
          <w:u w:val="single" w:color="auto"/>
          <w:color w:val="007F00"/>
        </w:rPr>
        <w:t xml:space="preserve"> </w:t>
      </w:r>
      <w:r>
        <w:rPr>
          <w:rFonts w:ascii="Arial" w:cs="Arial" w:eastAsia="Arial" w:hAnsi="Arial"/>
          <w:sz w:val="19"/>
          <w:szCs w:val="19"/>
          <w:u w:val="single" w:color="auto"/>
          <w:color w:val="0000FF"/>
        </w:rPr>
        <w:t>Benchmark is not USD LIBOR, the time determined by the Deal Agent in its reasonable discretion.</w:t>
      </w:r>
    </w:p>
    <w:p>
      <w:pPr>
        <w:spacing w:after="0" w:line="174"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13.1(c)</w:t>
      </w:r>
      <w:r>
        <w:rPr>
          <w:rFonts w:ascii="Arial" w:cs="Arial" w:eastAsia="Arial" w:hAnsi="Arial"/>
          <w:sz w:val="22"/>
          <w:szCs w:val="22"/>
          <w:color w:val="auto"/>
        </w:rPr>
        <w:t>.</w:t>
      </w:r>
    </w:p>
    <w:p>
      <w:pPr>
        <w:spacing w:after="0" w:line="247"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Related Security</w:t>
      </w:r>
      <w:r>
        <w:rPr>
          <w:rFonts w:ascii="Arial" w:cs="Arial" w:eastAsia="Arial" w:hAnsi="Arial"/>
          <w:sz w:val="22"/>
          <w:szCs w:val="22"/>
          <w:color w:val="auto"/>
        </w:rPr>
        <w:t>: With respect to any Loan all of Credit Acceptance’s and the Borrower’s interest in:</w:t>
      </w:r>
    </w:p>
    <w:p>
      <w:pPr>
        <w:spacing w:after="0" w:line="260" w:lineRule="exact"/>
        <w:rPr>
          <w:sz w:val="20"/>
          <w:szCs w:val="20"/>
          <w:color w:val="auto"/>
        </w:rPr>
      </w:pPr>
    </w:p>
    <w:p>
      <w:pPr>
        <w:jc w:val="both"/>
        <w:ind w:left="1340" w:right="80" w:firstLine="648"/>
        <w:spacing w:after="0" w:line="265" w:lineRule="auto"/>
        <w:tabs>
          <w:tab w:leader="none" w:pos="2598" w:val="left"/>
        </w:tabs>
        <w:numPr>
          <w:ilvl w:val="0"/>
          <w:numId w:val="296"/>
        </w:numPr>
        <w:rPr>
          <w:rFonts w:ascii="Arial" w:cs="Arial" w:eastAsia="Arial" w:hAnsi="Arial"/>
          <w:sz w:val="21"/>
          <w:szCs w:val="21"/>
          <w:color w:val="auto"/>
        </w:rPr>
      </w:pPr>
      <w:r>
        <w:rPr>
          <w:rFonts w:ascii="Arial" w:cs="Arial" w:eastAsia="Arial" w:hAnsi="Arial"/>
          <w:sz w:val="21"/>
          <w:szCs w:val="21"/>
          <w:color w:val="auto"/>
        </w:rPr>
        <w:t>the Dealer Agreements (other than Excluded Dealer Agreement Rights, but including Credit Acceptance’s rights to service the Loans and the related Contracts and receive the related collection fee and receive reimbursement of certain repossession and recovery expenses, in accordance with the terms of the Dealer Agreements) and Contracts securing payment of such Loan;</w:t>
      </w:r>
    </w:p>
    <w:p>
      <w:pPr>
        <w:spacing w:after="0" w:line="202" w:lineRule="exact"/>
        <w:rPr>
          <w:rFonts w:ascii="Arial" w:cs="Arial" w:eastAsia="Arial" w:hAnsi="Arial"/>
          <w:sz w:val="21"/>
          <w:szCs w:val="21"/>
          <w:color w:val="auto"/>
        </w:rPr>
      </w:pPr>
    </w:p>
    <w:p>
      <w:pPr>
        <w:jc w:val="both"/>
        <w:ind w:left="1340" w:right="80" w:firstLine="648"/>
        <w:spacing w:after="0" w:line="265" w:lineRule="auto"/>
        <w:tabs>
          <w:tab w:leader="none" w:pos="2589" w:val="left"/>
        </w:tabs>
        <w:numPr>
          <w:ilvl w:val="0"/>
          <w:numId w:val="296"/>
        </w:numPr>
        <w:rPr>
          <w:rFonts w:ascii="Arial" w:cs="Arial" w:eastAsia="Arial" w:hAnsi="Arial"/>
          <w:sz w:val="21"/>
          <w:szCs w:val="21"/>
          <w:color w:val="auto"/>
        </w:rPr>
      </w:pPr>
      <w:r>
        <w:rPr>
          <w:rFonts w:ascii="Arial" w:cs="Arial" w:eastAsia="Arial" w:hAnsi="Arial"/>
          <w:sz w:val="21"/>
          <w:szCs w:val="21"/>
          <w:color w:val="auto"/>
        </w:rPr>
        <w:t>all security interests or liens purporting to secure payment of such Loan, whether pursuant to such Loan, the related Dealer Agreement or otherwise, together with all financing statements signed by the related Obligor describing any collateral securing such Loan and all other property obtained upon foreclosure of any security interest securing payment of such Loan or any related Contract;</w:t>
      </w:r>
    </w:p>
    <w:p>
      <w:pPr>
        <w:spacing w:after="0" w:line="215" w:lineRule="exact"/>
        <w:rPr>
          <w:rFonts w:ascii="Arial" w:cs="Arial" w:eastAsia="Arial" w:hAnsi="Arial"/>
          <w:sz w:val="21"/>
          <w:szCs w:val="21"/>
          <w:color w:val="auto"/>
        </w:rPr>
      </w:pPr>
    </w:p>
    <w:p>
      <w:pPr>
        <w:ind w:left="1340" w:right="80" w:firstLine="648"/>
        <w:spacing w:after="0" w:line="263" w:lineRule="auto"/>
        <w:tabs>
          <w:tab w:leader="none" w:pos="2595" w:val="left"/>
        </w:tabs>
        <w:numPr>
          <w:ilvl w:val="0"/>
          <w:numId w:val="296"/>
        </w:numPr>
        <w:rPr>
          <w:rFonts w:ascii="Arial" w:cs="Arial" w:eastAsia="Arial" w:hAnsi="Arial"/>
          <w:sz w:val="22"/>
          <w:szCs w:val="22"/>
          <w:color w:val="auto"/>
        </w:rPr>
      </w:pPr>
      <w:r>
        <w:rPr>
          <w:rFonts w:ascii="Arial" w:cs="Arial" w:eastAsia="Arial" w:hAnsi="Arial"/>
          <w:sz w:val="22"/>
          <w:szCs w:val="22"/>
          <w:color w:val="auto"/>
        </w:rPr>
        <w:t>all guarantees, insurance or other agreements or arrangements of any kind from time to time supporting or securing payment of each Contract whether pursuant to</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33</w:t>
      </w:r>
    </w:p>
    <w:p>
      <w:pPr>
        <w:sectPr>
          <w:pgSz w:w="11900" w:h="16838" w:orient="portrait"/>
          <w:cols w:equalWidth="0" w:num="1">
            <w:col w:w="11180"/>
          </w:cols>
          <w:pgMar w:left="320" w:top="1428" w:right="399" w:bottom="1440" w:gutter="0" w:footer="0" w:header="0"/>
        </w:sectPr>
      </w:pPr>
    </w:p>
    <w:bookmarkStart w:id="301" w:name="page302"/>
    <w:bookmarkEnd w:id="301"/>
    <w:p>
      <w:pPr>
        <w:ind w:left="1340" w:right="60"/>
        <w:spacing w:after="0" w:line="263" w:lineRule="auto"/>
        <w:rPr>
          <w:sz w:val="20"/>
          <w:szCs w:val="20"/>
          <w:color w:val="auto"/>
        </w:rPr>
      </w:pPr>
      <w:r>
        <w:rPr>
          <w:rFonts w:ascii="Arial" w:cs="Arial" w:eastAsia="Arial" w:hAnsi="Arial"/>
          <w:sz w:val="22"/>
          <w:szCs w:val="22"/>
          <w:color w:val="auto"/>
        </w:rPr>
        <w:t>such Contract or otherwise, including any of the foregoing relating to any Contract securing payment of such Loan;</w:t>
      </w:r>
    </w:p>
    <w:p>
      <w:pPr>
        <w:spacing w:after="0" w:line="215" w:lineRule="exact"/>
        <w:rPr>
          <w:sz w:val="20"/>
          <w:szCs w:val="20"/>
          <w:color w:val="auto"/>
        </w:rPr>
      </w:pPr>
    </w:p>
    <w:p>
      <w:pPr>
        <w:ind w:left="2600" w:hanging="612"/>
        <w:spacing w:after="0"/>
        <w:tabs>
          <w:tab w:leader="none" w:pos="2600" w:val="left"/>
        </w:tabs>
        <w:numPr>
          <w:ilvl w:val="0"/>
          <w:numId w:val="297"/>
        </w:numPr>
        <w:rPr>
          <w:rFonts w:ascii="Arial" w:cs="Arial" w:eastAsia="Arial" w:hAnsi="Arial"/>
          <w:sz w:val="19"/>
          <w:szCs w:val="19"/>
          <w:color w:val="auto"/>
        </w:rPr>
      </w:pPr>
      <w:r>
        <w:rPr>
          <w:rFonts w:ascii="Arial" w:cs="Arial" w:eastAsia="Arial" w:hAnsi="Arial"/>
          <w:sz w:val="19"/>
          <w:szCs w:val="19"/>
          <w:color w:val="auto"/>
        </w:rPr>
        <w:t>all of the Borrower’s interest in all Records, documents and writing evidencing or related to such</w:t>
      </w:r>
    </w:p>
    <w:p>
      <w:pPr>
        <w:spacing w:after="0" w:line="5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Loan;</w:t>
      </w:r>
    </w:p>
    <w:p>
      <w:pPr>
        <w:spacing w:after="0" w:line="229" w:lineRule="exact"/>
        <w:rPr>
          <w:sz w:val="20"/>
          <w:szCs w:val="20"/>
          <w:color w:val="auto"/>
        </w:rPr>
      </w:pPr>
    </w:p>
    <w:p>
      <w:pPr>
        <w:ind w:left="2640" w:hanging="652"/>
        <w:spacing w:after="0"/>
        <w:tabs>
          <w:tab w:leader="none" w:pos="264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all rights of recovery of the Borrower against the Originator;</w:t>
      </w:r>
    </w:p>
    <w:p>
      <w:pPr>
        <w:spacing w:after="0" w:line="260" w:lineRule="exact"/>
        <w:rPr>
          <w:rFonts w:ascii="Arial" w:cs="Arial" w:eastAsia="Arial" w:hAnsi="Arial"/>
          <w:sz w:val="22"/>
          <w:szCs w:val="22"/>
          <w:color w:val="auto"/>
        </w:rPr>
      </w:pPr>
    </w:p>
    <w:p>
      <w:pPr>
        <w:ind w:left="1340" w:right="40" w:firstLine="648"/>
        <w:spacing w:after="0" w:line="263" w:lineRule="auto"/>
        <w:tabs>
          <w:tab w:leader="none" w:pos="2597"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all Collections (other than Dealer Collections), the Collection Account, the Reserve Account, and all amounts on deposit therein and investments thereof;</w:t>
      </w:r>
    </w:p>
    <w:p>
      <w:pPr>
        <w:spacing w:after="0" w:line="201" w:lineRule="exact"/>
        <w:rPr>
          <w:rFonts w:ascii="Arial" w:cs="Arial" w:eastAsia="Arial" w:hAnsi="Arial"/>
          <w:sz w:val="22"/>
          <w:szCs w:val="22"/>
          <w:color w:val="auto"/>
        </w:rPr>
      </w:pPr>
    </w:p>
    <w:p>
      <w:pPr>
        <w:ind w:left="1340" w:right="60" w:firstLine="648"/>
        <w:spacing w:after="0" w:line="263" w:lineRule="auto"/>
        <w:tabs>
          <w:tab w:leader="none" w:pos="2589"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all of the Borrower’s right, title and interest in and to (but not its obligations under) any Hedging Agreement and any payment from time to time due thereunder;</w:t>
      </w:r>
    </w:p>
    <w:p>
      <w:pPr>
        <w:spacing w:after="0" w:line="215" w:lineRule="exact"/>
        <w:rPr>
          <w:rFonts w:ascii="Arial" w:cs="Arial" w:eastAsia="Arial" w:hAnsi="Arial"/>
          <w:sz w:val="22"/>
          <w:szCs w:val="22"/>
          <w:color w:val="auto"/>
        </w:rPr>
      </w:pPr>
    </w:p>
    <w:p>
      <w:pPr>
        <w:jc w:val="both"/>
        <w:ind w:left="1340" w:right="40" w:firstLine="648"/>
        <w:spacing w:after="0" w:line="253" w:lineRule="auto"/>
        <w:tabs>
          <w:tab w:leader="none" w:pos="2595" w:val="left"/>
        </w:tabs>
        <w:numPr>
          <w:ilvl w:val="0"/>
          <w:numId w:val="298"/>
        </w:numPr>
        <w:rPr>
          <w:rFonts w:ascii="Arial" w:cs="Arial" w:eastAsia="Arial" w:hAnsi="Arial"/>
          <w:sz w:val="22"/>
          <w:szCs w:val="22"/>
          <w:color w:val="auto"/>
        </w:rPr>
      </w:pPr>
      <w:r>
        <w:rPr>
          <w:rFonts w:ascii="Arial" w:cs="Arial" w:eastAsia="Arial" w:hAnsi="Arial"/>
          <w:sz w:val="22"/>
          <w:szCs w:val="22"/>
          <w:color w:val="auto"/>
        </w:rPr>
        <w:t>all of the Borrower’s right, title and interest in and to the Contribution Agreement and the assignment to the Collateral Agent of all UCC financing statements filed by the Borrower against the Originator under or in connection with the Contribution Agreement; and</w:t>
      </w:r>
    </w:p>
    <w:p>
      <w:pPr>
        <w:spacing w:after="0" w:line="225" w:lineRule="exact"/>
        <w:rPr>
          <w:rFonts w:ascii="Arial" w:cs="Arial" w:eastAsia="Arial" w:hAnsi="Arial"/>
          <w:sz w:val="22"/>
          <w:szCs w:val="22"/>
          <w:color w:val="auto"/>
        </w:rPr>
      </w:pPr>
    </w:p>
    <w:p>
      <w:pPr>
        <w:ind w:left="2620" w:hanging="632"/>
        <w:spacing w:after="0"/>
        <w:tabs>
          <w:tab w:leader="none" w:pos="262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the Proceeds of each of the foregoing.</w:t>
      </w:r>
    </w:p>
    <w:p>
      <w:pPr>
        <w:spacing w:after="0" w:line="247" w:lineRule="exact"/>
        <w:rPr>
          <w:sz w:val="20"/>
          <w:szCs w:val="20"/>
          <w:color w:val="auto"/>
        </w:rPr>
      </w:pPr>
    </w:p>
    <w:p>
      <w:pPr>
        <w:jc w:val="both"/>
        <w:ind w:left="1340" w:right="20"/>
        <w:spacing w:after="0" w:line="248" w:lineRule="auto"/>
        <w:rPr>
          <w:sz w:val="20"/>
          <w:szCs w:val="20"/>
          <w:color w:val="auto"/>
        </w:rPr>
      </w:pPr>
      <w:r>
        <w:rPr>
          <w:rFonts w:ascii="Arial" w:cs="Arial" w:eastAsia="Arial" w:hAnsi="Arial"/>
          <w:sz w:val="22"/>
          <w:szCs w:val="22"/>
          <w:color w:val="auto"/>
        </w:rPr>
        <w:t>For the avoidance of doubt, the term “Related Security” with respect to any Dealer Loan includes all rights arising under such Dealer Loan which rights are attributable to advances made under such Dealer Loan as the result of such Dealer Loan being secured by an Open Pool on the date such Dealer Loan was sold and Dealer Loan Contracts being added to such Open Pool.</w:t>
      </w:r>
      <w:r>
        <w:rPr>
          <w:rFonts w:ascii="Arial" w:cs="Arial" w:eastAsia="Arial" w:hAnsi="Arial"/>
          <w:sz w:val="22"/>
          <w:szCs w:val="22"/>
          <w:u w:val="single" w:color="auto"/>
          <w:color w:val="auto"/>
        </w:rPr>
        <w:t>Release Date</w:t>
      </w:r>
      <w:r>
        <w:rPr>
          <w:rFonts w:ascii="Arial" w:cs="Arial" w:eastAsia="Arial" w:hAnsi="Arial"/>
          <w:sz w:val="22"/>
          <w:szCs w:val="22"/>
          <w:color w:val="auto"/>
        </w:rPr>
        <w:t xml:space="preserve">: As defined in Section 4.5(b). </w:t>
      </w:r>
      <w:r>
        <w:rPr>
          <w:rFonts w:ascii="Arial" w:cs="Arial" w:eastAsia="Arial" w:hAnsi="Arial"/>
          <w:sz w:val="22"/>
          <w:szCs w:val="22"/>
          <w:u w:val="single" w:color="auto"/>
          <w:color w:val="auto"/>
        </w:rPr>
        <w:t>Release Price</w:t>
      </w:r>
      <w:r>
        <w:rPr>
          <w:rFonts w:ascii="Arial" w:cs="Arial" w:eastAsia="Arial" w:hAnsi="Arial"/>
          <w:sz w:val="22"/>
          <w:szCs w:val="22"/>
          <w:color w:val="auto"/>
        </w:rPr>
        <w:t>: As defined in Section 4.5(a).</w:t>
      </w:r>
    </w:p>
    <w:p>
      <w:pPr>
        <w:spacing w:after="0" w:line="232" w:lineRule="exact"/>
        <w:rPr>
          <w:sz w:val="20"/>
          <w:szCs w:val="20"/>
          <w:color w:val="auto"/>
        </w:rPr>
      </w:pPr>
    </w:p>
    <w:p>
      <w:pPr>
        <w:jc w:val="both"/>
        <w:ind w:left="700" w:right="60" w:firstLine="648"/>
        <w:spacing w:after="0" w:line="271" w:lineRule="auto"/>
        <w:rPr>
          <w:sz w:val="20"/>
          <w:szCs w:val="20"/>
          <w:color w:val="auto"/>
        </w:rPr>
      </w:pPr>
      <w:r>
        <w:rPr>
          <w:rFonts w:ascii="Arial" w:cs="Arial" w:eastAsia="Arial" w:hAnsi="Arial"/>
          <w:sz w:val="21"/>
          <w:szCs w:val="21"/>
          <w:u w:val="single" w:color="auto"/>
          <w:color w:val="auto"/>
        </w:rPr>
        <w:t>Relevant Governmental Body</w:t>
      </w:r>
      <w:r>
        <w:rPr>
          <w:rFonts w:ascii="Arial" w:cs="Arial" w:eastAsia="Arial" w:hAnsi="Arial"/>
          <w:sz w:val="21"/>
          <w:szCs w:val="21"/>
          <w:color w:val="auto"/>
        </w:rPr>
        <w:t xml:space="preserve">: The </w:t>
      </w:r>
      <w:r>
        <w:rPr>
          <w:rFonts w:ascii="Arial" w:cs="Arial" w:eastAsia="Arial" w:hAnsi="Arial"/>
          <w:sz w:val="21"/>
          <w:szCs w:val="21"/>
          <w:u w:val="single" w:color="auto"/>
          <w:color w:val="0000FF"/>
        </w:rPr>
        <w:t>Board of Governors of the</w:t>
      </w:r>
      <w:r>
        <w:rPr>
          <w:rFonts w:ascii="Arial" w:cs="Arial" w:eastAsia="Arial" w:hAnsi="Arial"/>
          <w:sz w:val="21"/>
          <w:szCs w:val="21"/>
          <w:color w:val="auto"/>
        </w:rPr>
        <w:t xml:space="preserve"> Federal Reserve </w:t>
      </w:r>
      <w:r>
        <w:rPr>
          <w:rFonts w:ascii="Arial" w:cs="Arial" w:eastAsia="Arial" w:hAnsi="Arial"/>
          <w:sz w:val="21"/>
          <w:szCs w:val="21"/>
          <w:color w:val="FF0000"/>
          <w:strike w:val="1"/>
        </w:rPr>
        <w:t>Board</w:t>
      </w:r>
      <w:r>
        <w:rPr>
          <w:rFonts w:ascii="Arial" w:cs="Arial" w:eastAsia="Arial" w:hAnsi="Arial"/>
          <w:sz w:val="21"/>
          <w:szCs w:val="21"/>
          <w:u w:val="single" w:color="auto"/>
          <w:color w:val="0000FF"/>
        </w:rPr>
        <w:t>System</w:t>
      </w:r>
      <w:r>
        <w:rPr>
          <w:rFonts w:ascii="Arial" w:cs="Arial" w:eastAsia="Arial" w:hAnsi="Arial"/>
          <w:sz w:val="21"/>
          <w:szCs w:val="21"/>
          <w:color w:val="auto"/>
        </w:rPr>
        <w:t xml:space="preserve"> or the Federal Reserve Bank of New York, or a committee officially endorsed or convened by the </w:t>
      </w:r>
      <w:r>
        <w:rPr>
          <w:rFonts w:ascii="Arial" w:cs="Arial" w:eastAsia="Arial" w:hAnsi="Arial"/>
          <w:sz w:val="21"/>
          <w:szCs w:val="21"/>
          <w:u w:val="single" w:color="auto"/>
          <w:color w:val="0000FF"/>
        </w:rPr>
        <w:t>Board of Governors of the</w:t>
      </w:r>
      <w:r>
        <w:rPr>
          <w:rFonts w:ascii="Arial" w:cs="Arial" w:eastAsia="Arial" w:hAnsi="Arial"/>
          <w:sz w:val="21"/>
          <w:szCs w:val="21"/>
          <w:color w:val="auto"/>
        </w:rPr>
        <w:t xml:space="preserve"> Federal Reserve </w:t>
      </w:r>
      <w:r>
        <w:rPr>
          <w:rFonts w:ascii="Arial" w:cs="Arial" w:eastAsia="Arial" w:hAnsi="Arial"/>
          <w:sz w:val="21"/>
          <w:szCs w:val="21"/>
          <w:color w:val="FF0000"/>
          <w:strike w:val="1"/>
        </w:rPr>
        <w:t>Board</w:t>
      </w:r>
      <w:r>
        <w:rPr>
          <w:rFonts w:ascii="Arial" w:cs="Arial" w:eastAsia="Arial" w:hAnsi="Arial"/>
          <w:sz w:val="21"/>
          <w:szCs w:val="21"/>
          <w:u w:val="single" w:color="auto"/>
          <w:color w:val="0000FF"/>
        </w:rPr>
        <w:t>System</w:t>
      </w:r>
      <w:r>
        <w:rPr>
          <w:rFonts w:ascii="Arial" w:cs="Arial" w:eastAsia="Arial" w:hAnsi="Arial"/>
          <w:sz w:val="21"/>
          <w:szCs w:val="21"/>
          <w:color w:val="auto"/>
        </w:rPr>
        <w:t xml:space="preserve"> or the Federal Reserve Bank of New York</w:t>
      </w:r>
      <w:r>
        <w:rPr>
          <w:rFonts w:ascii="Arial" w:cs="Arial" w:eastAsia="Arial" w:hAnsi="Arial"/>
          <w:sz w:val="21"/>
          <w:szCs w:val="21"/>
          <w:color w:val="0000FF"/>
        </w:rPr>
        <w:t>,</w:t>
      </w:r>
      <w:r>
        <w:rPr>
          <w:rFonts w:ascii="Arial" w:cs="Arial" w:eastAsia="Arial" w:hAnsi="Arial"/>
          <w:sz w:val="21"/>
          <w:szCs w:val="21"/>
          <w:color w:val="auto"/>
        </w:rPr>
        <w:t xml:space="preserve"> or any successor thereto.</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Reliening Expenses</w:t>
      </w:r>
      <w:r>
        <w:rPr>
          <w:rFonts w:ascii="Arial" w:cs="Arial" w:eastAsia="Arial" w:hAnsi="Arial"/>
          <w:sz w:val="22"/>
          <w:szCs w:val="22"/>
          <w:color w:val="auto"/>
        </w:rPr>
        <w:t>: Defined in Section 6.2(d)(ii).</w:t>
      </w:r>
    </w:p>
    <w:p>
      <w:pPr>
        <w:spacing w:after="0" w:line="260" w:lineRule="exact"/>
        <w:rPr>
          <w:sz w:val="20"/>
          <w:szCs w:val="20"/>
          <w:color w:val="auto"/>
        </w:rPr>
      </w:pPr>
    </w:p>
    <w:p>
      <w:pPr>
        <w:jc w:val="both"/>
        <w:ind w:left="700" w:firstLine="648"/>
        <w:spacing w:after="0" w:line="302" w:lineRule="auto"/>
        <w:rPr>
          <w:sz w:val="20"/>
          <w:szCs w:val="20"/>
          <w:color w:val="auto"/>
        </w:rPr>
      </w:pPr>
      <w:r>
        <w:rPr>
          <w:rFonts w:ascii="Arial" w:cs="Arial" w:eastAsia="Arial" w:hAnsi="Arial"/>
          <w:sz w:val="19"/>
          <w:szCs w:val="19"/>
          <w:u w:val="single" w:color="auto"/>
          <w:color w:val="auto"/>
        </w:rPr>
        <w:t>Repossession Expenses</w:t>
      </w:r>
      <w:r>
        <w:rPr>
          <w:rFonts w:ascii="Arial" w:cs="Arial" w:eastAsia="Arial" w:hAnsi="Arial"/>
          <w:sz w:val="19"/>
          <w:szCs w:val="19"/>
          <w:color w:val="auto"/>
        </w:rPr>
        <w:t>: For any Collection Period, any expenses payable pursuant to the terms of this Agreement, incurred by the Backup Servicer, if it has become the Successor Servicer, in connection with the liquidation or repossession of any Financed Vehicle, in an aggregate amount not to exceed the cash proceeds received by the Backup Servicer, if it has become the Successor Servicer, from the disposition of the Financed Vehicles.</w:t>
      </w:r>
    </w:p>
    <w:p>
      <w:pPr>
        <w:spacing w:after="0" w:line="183" w:lineRule="exact"/>
        <w:rPr>
          <w:sz w:val="20"/>
          <w:szCs w:val="20"/>
          <w:color w:val="auto"/>
        </w:rPr>
      </w:pPr>
    </w:p>
    <w:p>
      <w:pPr>
        <w:ind w:left="1340"/>
        <w:spacing w:after="0"/>
        <w:rPr>
          <w:sz w:val="20"/>
          <w:szCs w:val="20"/>
          <w:color w:val="auto"/>
        </w:rPr>
      </w:pPr>
      <w:r>
        <w:rPr>
          <w:rFonts w:ascii="Arial" w:cs="Arial" w:eastAsia="Arial" w:hAnsi="Arial"/>
          <w:sz w:val="21"/>
          <w:szCs w:val="21"/>
          <w:u w:val="single" w:color="auto"/>
          <w:color w:val="auto"/>
        </w:rPr>
        <w:t>Required Lenders</w:t>
      </w:r>
      <w:r>
        <w:rPr>
          <w:rFonts w:ascii="Arial" w:cs="Arial" w:eastAsia="Arial" w:hAnsi="Arial"/>
          <w:sz w:val="21"/>
          <w:szCs w:val="21"/>
          <w:color w:val="auto"/>
        </w:rPr>
        <w:t>: At a particular time, Lenders with Commitments in excess of 50% of the Facility Limit.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34</w:t>
      </w:r>
    </w:p>
    <w:p>
      <w:pPr>
        <w:sectPr>
          <w:pgSz w:w="11900" w:h="16838" w:orient="portrait"/>
          <w:cols w:equalWidth="0" w:num="1">
            <w:col w:w="11140"/>
          </w:cols>
          <w:pgMar w:left="320" w:top="1428" w:right="439" w:bottom="1440" w:gutter="0" w:footer="0" w:header="0"/>
        </w:sectPr>
      </w:pPr>
    </w:p>
    <w:bookmarkStart w:id="302" w:name="page303"/>
    <w:bookmarkEnd w:id="302"/>
    <w:p>
      <w:pPr>
        <w:jc w:val="both"/>
        <w:ind w:left="120" w:right="60" w:firstLine="648"/>
        <w:spacing w:after="0" w:line="248" w:lineRule="auto"/>
        <w:rPr>
          <w:sz w:val="20"/>
          <w:szCs w:val="20"/>
          <w:color w:val="auto"/>
        </w:rPr>
      </w:pPr>
      <w:r>
        <w:rPr>
          <w:rFonts w:ascii="Arial" w:cs="Arial" w:eastAsia="Arial" w:hAnsi="Arial"/>
          <w:sz w:val="22"/>
          <w:szCs w:val="22"/>
          <w:u w:val="single" w:color="auto"/>
          <w:color w:val="auto"/>
        </w:rPr>
        <w:t>Required Reserve Account Amount</w:t>
      </w:r>
      <w:r>
        <w:rPr>
          <w:rFonts w:ascii="Arial" w:cs="Arial" w:eastAsia="Arial" w:hAnsi="Arial"/>
          <w:sz w:val="22"/>
          <w:szCs w:val="22"/>
          <w:color w:val="auto"/>
        </w:rPr>
        <w:t xml:space="preserve">: With respect to any date of determination, an amount equal to the product of (i) 1.0% and (ii) the Capital on such date (after the application of funds pursuant to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on the related Payment Date plus all amounts required to be maintained by the Borrower pursuant to </w:t>
      </w:r>
      <w:r>
        <w:rPr>
          <w:rFonts w:ascii="Arial" w:cs="Arial" w:eastAsia="Arial" w:hAnsi="Arial"/>
          <w:sz w:val="22"/>
          <w:szCs w:val="22"/>
          <w:u w:val="single" w:color="auto"/>
          <w:color w:val="auto"/>
        </w:rPr>
        <w:t>Section 6.2(c)(ii)</w:t>
      </w:r>
      <w:r>
        <w:rPr>
          <w:rFonts w:ascii="Arial" w:cs="Arial" w:eastAsia="Arial" w:hAnsi="Arial"/>
          <w:sz w:val="22"/>
          <w:szCs w:val="22"/>
          <w:color w:val="auto"/>
        </w:rPr>
        <w:t xml:space="preserv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the Required Reserve Account Amount shall at no time be less than $300,000 (unless the Capital is zero, in which case the Required Reserve Account Amount shall be $0.00).</w:t>
      </w:r>
    </w:p>
    <w:p>
      <w:pPr>
        <w:spacing w:after="0" w:line="232" w:lineRule="exact"/>
        <w:rPr>
          <w:sz w:val="20"/>
          <w:szCs w:val="20"/>
          <w:color w:val="auto"/>
        </w:rPr>
      </w:pPr>
    </w:p>
    <w:p>
      <w:pPr>
        <w:jc w:val="both"/>
        <w:ind w:left="120" w:right="60" w:firstLine="648"/>
        <w:spacing w:after="0" w:line="263" w:lineRule="auto"/>
        <w:rPr>
          <w:sz w:val="20"/>
          <w:szCs w:val="20"/>
          <w:color w:val="auto"/>
        </w:rPr>
      </w:pPr>
      <w:r>
        <w:rPr>
          <w:rFonts w:ascii="Arial" w:cs="Arial" w:eastAsia="Arial" w:hAnsi="Arial"/>
          <w:sz w:val="22"/>
          <w:szCs w:val="22"/>
          <w:u w:val="single" w:color="auto"/>
          <w:color w:val="auto"/>
        </w:rPr>
        <w:t>Reserve Account</w:t>
      </w:r>
      <w:r>
        <w:rPr>
          <w:rFonts w:ascii="Arial" w:cs="Arial" w:eastAsia="Arial" w:hAnsi="Arial"/>
          <w:sz w:val="22"/>
          <w:szCs w:val="22"/>
          <w:color w:val="auto"/>
        </w:rPr>
        <w:t>: The segregated trust account established at the Collateral Agent for the benefit of the Secured Parties, established pursuant to Section 6.7(a).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Reserve Advance</w:t>
      </w:r>
      <w:r>
        <w:rPr>
          <w:rFonts w:ascii="Arial" w:cs="Arial" w:eastAsia="Arial" w:hAnsi="Arial"/>
          <w:sz w:val="22"/>
          <w:szCs w:val="22"/>
          <w:color w:val="auto"/>
        </w:rPr>
        <w:t>: Defined in Section 2.7(c)(i).</w:t>
      </w:r>
    </w:p>
    <w:p>
      <w:pPr>
        <w:spacing w:after="0" w:line="260" w:lineRule="exact"/>
        <w:rPr>
          <w:sz w:val="20"/>
          <w:szCs w:val="20"/>
          <w:color w:val="auto"/>
        </w:rPr>
      </w:pPr>
    </w:p>
    <w:p>
      <w:pPr>
        <w:jc w:val="both"/>
        <w:ind w:left="120" w:firstLine="648"/>
        <w:spacing w:after="0" w:line="302" w:lineRule="auto"/>
        <w:rPr>
          <w:sz w:val="20"/>
          <w:szCs w:val="20"/>
          <w:color w:val="auto"/>
        </w:rPr>
      </w:pPr>
      <w:r>
        <w:rPr>
          <w:rFonts w:ascii="Arial" w:cs="Arial" w:eastAsia="Arial" w:hAnsi="Arial"/>
          <w:sz w:val="19"/>
          <w:szCs w:val="19"/>
          <w:u w:val="single" w:color="auto"/>
          <w:color w:val="auto"/>
        </w:rPr>
        <w:t>Responsible Officer</w:t>
      </w:r>
      <w:r>
        <w:rPr>
          <w:rFonts w:ascii="Arial" w:cs="Arial" w:eastAsia="Arial" w:hAnsi="Arial"/>
          <w:sz w:val="19"/>
          <w:szCs w:val="19"/>
          <w:color w:val="auto"/>
        </w:rPr>
        <w:t>: As to any Person any officer of such Person (who, in the case of the Collateral Agent or Backup Servicer, is an officer within the Corporate Trust Office) with direct responsibility for the administration of this Agreement and the other Transaction Documents to which such Person is a party, and also, with respect to a particular matter, any other officer to whom such matter is referred because of such officer’s knowledge of and familiarity with the particular subject.</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Retransfer Amount</w:t>
      </w:r>
      <w:r>
        <w:rPr>
          <w:rFonts w:ascii="Arial" w:cs="Arial" w:eastAsia="Arial" w:hAnsi="Arial"/>
          <w:sz w:val="22"/>
          <w:szCs w:val="22"/>
          <w:color w:val="auto"/>
        </w:rPr>
        <w:t>: Defined in Section 4.5(b).</w:t>
      </w:r>
    </w:p>
    <w:p>
      <w:pPr>
        <w:spacing w:after="0" w:line="260" w:lineRule="exact"/>
        <w:rPr>
          <w:sz w:val="20"/>
          <w:szCs w:val="20"/>
          <w:color w:val="auto"/>
        </w:rPr>
      </w:pPr>
    </w:p>
    <w:p>
      <w:pPr>
        <w:ind w:left="120" w:right="60" w:firstLine="648"/>
        <w:spacing w:after="0" w:line="263" w:lineRule="auto"/>
        <w:rPr>
          <w:sz w:val="20"/>
          <w:szCs w:val="20"/>
          <w:color w:val="auto"/>
        </w:rPr>
      </w:pPr>
      <w:r>
        <w:rPr>
          <w:rFonts w:ascii="Arial" w:cs="Arial" w:eastAsia="Arial" w:hAnsi="Arial"/>
          <w:sz w:val="22"/>
          <w:szCs w:val="22"/>
          <w:u w:val="single" w:color="auto"/>
          <w:color w:val="auto"/>
        </w:rPr>
        <w:t>Revolving Period</w:t>
      </w:r>
      <w:r>
        <w:rPr>
          <w:rFonts w:ascii="Arial" w:cs="Arial" w:eastAsia="Arial" w:hAnsi="Arial"/>
          <w:sz w:val="22"/>
          <w:szCs w:val="22"/>
          <w:color w:val="auto"/>
        </w:rPr>
        <w:t>: The period commencing on the Closing Date and ending on the day immediately preceding the first day of the Amortization Period.</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u w:val="single" w:color="auto"/>
          <w:color w:val="auto"/>
        </w:rPr>
        <w:t>S&amp;P</w:t>
      </w:r>
      <w:r>
        <w:rPr>
          <w:rFonts w:ascii="Arial" w:cs="Arial" w:eastAsia="Arial" w:hAnsi="Arial"/>
          <w:sz w:val="22"/>
          <w:szCs w:val="22"/>
          <w:color w:val="auto"/>
        </w:rPr>
        <w:t xml:space="preserve">: </w:t>
      </w:r>
      <w:r>
        <w:rPr>
          <w:rFonts w:ascii="Arial" w:cs="Arial" w:eastAsia="Arial" w:hAnsi="Arial"/>
          <w:sz w:val="22"/>
          <w:szCs w:val="22"/>
          <w:color w:val="010101"/>
        </w:rPr>
        <w:t>S&amp;P Global Ratings</w:t>
      </w:r>
      <w:r>
        <w:rPr>
          <w:rFonts w:ascii="Arial" w:cs="Arial" w:eastAsia="Arial" w:hAnsi="Arial"/>
          <w:sz w:val="22"/>
          <w:szCs w:val="22"/>
          <w:color w:val="auto"/>
        </w:rPr>
        <w:t>, and any successor thereto.</w:t>
      </w:r>
    </w:p>
    <w:p>
      <w:pPr>
        <w:spacing w:after="0" w:line="247" w:lineRule="exact"/>
        <w:rPr>
          <w:sz w:val="20"/>
          <w:szCs w:val="20"/>
          <w:color w:val="auto"/>
        </w:rPr>
      </w:pPr>
    </w:p>
    <w:p>
      <w:pPr>
        <w:jc w:val="both"/>
        <w:ind w:left="120" w:firstLine="648"/>
        <w:spacing w:after="0" w:line="261" w:lineRule="auto"/>
        <w:rPr>
          <w:sz w:val="20"/>
          <w:szCs w:val="20"/>
          <w:color w:val="auto"/>
        </w:rPr>
      </w:pPr>
      <w:r>
        <w:rPr>
          <w:rFonts w:ascii="Arial" w:cs="Arial" w:eastAsia="Arial" w:hAnsi="Arial"/>
          <w:sz w:val="21"/>
          <w:szCs w:val="21"/>
          <w:u w:val="single" w:color="auto"/>
          <w:color w:val="auto"/>
        </w:rPr>
        <w:t>Sanction or Sanctions</w:t>
      </w:r>
      <w:r>
        <w:rPr>
          <w:rFonts w:ascii="Arial" w:cs="Arial" w:eastAsia="Arial" w:hAnsi="Arial"/>
          <w:sz w:val="21"/>
          <w:szCs w:val="21"/>
          <w:color w:val="auto"/>
        </w:rPr>
        <w:t>: Any and all economic or financial sanctions, sectoral sanctions, secondary sanctions, trade embargoes and restrictions and anti-terrorism laws imposed, administered or enforced from time to time by: (a) the United States of America, including those administered by the U.S. Department of the Treasury’s Office of Foreign Assets Control (OFAC), the U.S. Department of State, the U.S. Department of Commerce, or through any existing or future statute or Executive Order, (b) the United Nations Security Council, (c) the European Union, (d) the United Kingdom, (e) any other governmental authority with jurisdiction over Borrower or any member of the Borrowing Group.</w:t>
      </w:r>
    </w:p>
    <w:p>
      <w:pPr>
        <w:spacing w:after="0" w:line="220" w:lineRule="exact"/>
        <w:rPr>
          <w:sz w:val="20"/>
          <w:szCs w:val="20"/>
          <w:color w:val="auto"/>
        </w:rPr>
      </w:pPr>
    </w:p>
    <w:p>
      <w:pPr>
        <w:jc w:val="both"/>
        <w:ind w:left="120" w:right="40" w:firstLine="648"/>
        <w:spacing w:after="0" w:line="287" w:lineRule="auto"/>
        <w:rPr>
          <w:sz w:val="20"/>
          <w:szCs w:val="20"/>
          <w:color w:val="auto"/>
        </w:rPr>
      </w:pPr>
      <w:r>
        <w:rPr>
          <w:rFonts w:ascii="Arial" w:cs="Arial" w:eastAsia="Arial" w:hAnsi="Arial"/>
          <w:sz w:val="21"/>
          <w:szCs w:val="21"/>
          <w:u w:val="single" w:color="auto"/>
          <w:color w:val="auto"/>
        </w:rPr>
        <w:t>Sanctioned Country</w:t>
      </w:r>
      <w:r>
        <w:rPr>
          <w:rFonts w:ascii="Arial" w:cs="Arial" w:eastAsia="Arial" w:hAnsi="Arial"/>
          <w:sz w:val="21"/>
          <w:szCs w:val="21"/>
          <w:color w:val="auto"/>
        </w:rPr>
        <w:t>: Any country subject to a sanctions program identified on the list maintained by OFAC and available at http://www.treas.gov/offices/enforcement/ofac/programs, or as otherwise published from time to time.</w:t>
      </w:r>
    </w:p>
    <w:p>
      <w:pPr>
        <w:spacing w:after="0" w:line="192" w:lineRule="exact"/>
        <w:rPr>
          <w:sz w:val="20"/>
          <w:szCs w:val="20"/>
          <w:color w:val="auto"/>
        </w:rPr>
      </w:pPr>
    </w:p>
    <w:p>
      <w:pPr>
        <w:jc w:val="both"/>
        <w:ind w:left="120" w:right="60" w:firstLine="648"/>
        <w:spacing w:after="0" w:line="247" w:lineRule="auto"/>
        <w:rPr>
          <w:sz w:val="20"/>
          <w:szCs w:val="20"/>
          <w:color w:val="auto"/>
        </w:rPr>
      </w:pPr>
      <w:r>
        <w:rPr>
          <w:rFonts w:ascii="Arial" w:cs="Arial" w:eastAsia="Arial" w:hAnsi="Arial"/>
          <w:sz w:val="22"/>
          <w:szCs w:val="22"/>
          <w:u w:val="single" w:color="auto"/>
          <w:color w:val="auto"/>
        </w:rPr>
        <w:t>Sanctioned Person</w:t>
      </w:r>
      <w:r>
        <w:rPr>
          <w:rFonts w:ascii="Arial" w:cs="Arial" w:eastAsia="Arial" w:hAnsi="Arial"/>
          <w:sz w:val="22"/>
          <w:szCs w:val="22"/>
          <w:color w:val="auto"/>
        </w:rPr>
        <w:t>: (i) a Person named on the list of “Specially Designated Nationals” or “Blocked Persons” maintained by OFAC available at http://www.treas.gov/offices/ enforcement/ofac/sdn, or as otherwise published from time to time, or (ii) (a) an agency of the government of a Sanctioned Country, (b) an organization controlled by a Sanctioned Country or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21"/>
          <w:szCs w:val="21"/>
          <w:color w:val="auto"/>
        </w:rPr>
        <w:t>(c) a Person resident in a Sanctioned Country, to the extent subject to a sanctions program administered by OFAC.</w:t>
      </w:r>
    </w:p>
    <w:p>
      <w:pPr>
        <w:spacing w:after="0" w:line="15" w:lineRule="exact"/>
        <w:rPr>
          <w:sz w:val="20"/>
          <w:szCs w:val="20"/>
          <w:color w:val="auto"/>
        </w:rPr>
      </w:pPr>
    </w:p>
    <w:p>
      <w:pPr>
        <w:jc w:val="both"/>
        <w:ind w:left="120" w:right="40" w:firstLine="648"/>
        <w:spacing w:after="0" w:line="246" w:lineRule="auto"/>
        <w:rPr>
          <w:sz w:val="20"/>
          <w:szCs w:val="20"/>
          <w:color w:val="auto"/>
        </w:rPr>
      </w:pPr>
      <w:r>
        <w:rPr>
          <w:rFonts w:ascii="Arial" w:cs="Arial" w:eastAsia="Arial" w:hAnsi="Arial"/>
          <w:sz w:val="22"/>
          <w:szCs w:val="22"/>
          <w:u w:val="single" w:color="auto"/>
          <w:color w:val="auto"/>
        </w:rPr>
        <w:t>Sanctioned Target</w:t>
      </w:r>
      <w:r>
        <w:rPr>
          <w:rFonts w:ascii="Arial" w:cs="Arial" w:eastAsia="Arial" w:hAnsi="Arial"/>
          <w:sz w:val="22"/>
          <w:szCs w:val="22"/>
          <w:color w:val="auto"/>
        </w:rPr>
        <w:t>: Any target of Sanctions, including: (a) Persons on any list of targets identified or designated pursuant to any Sanctions, (b) Persons, countries, or territories that are</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35</w:t>
      </w:r>
    </w:p>
    <w:p>
      <w:pPr>
        <w:sectPr>
          <w:pgSz w:w="11900" w:h="16838" w:orient="portrait"/>
          <w:cols w:equalWidth="0" w:num="1">
            <w:col w:w="11140"/>
          </w:cols>
          <w:pgMar w:left="320" w:top="1428" w:right="439" w:bottom="1440" w:gutter="0" w:footer="0" w:header="0"/>
        </w:sectPr>
      </w:pPr>
    </w:p>
    <w:bookmarkStart w:id="303" w:name="page304"/>
    <w:bookmarkEnd w:id="303"/>
    <w:p>
      <w:pPr>
        <w:jc w:val="both"/>
        <w:ind w:left="700" w:right="60"/>
        <w:spacing w:after="0" w:line="253" w:lineRule="auto"/>
        <w:rPr>
          <w:sz w:val="20"/>
          <w:szCs w:val="20"/>
          <w:color w:val="auto"/>
        </w:rPr>
      </w:pPr>
      <w:r>
        <w:rPr>
          <w:rFonts w:ascii="Arial" w:cs="Arial" w:eastAsia="Arial" w:hAnsi="Arial"/>
          <w:sz w:val="22"/>
          <w:szCs w:val="22"/>
          <w:color w:val="auto"/>
        </w:rPr>
        <w:t>the target of any territorial or country-based Sanctions program, (c) Persons that are a target of Sanctions due to their ownership or control by any Sanctioned Target(s), or (d) otherwise a target of Sanctions, including vessels and aircraft, that are designated under any Sanctions program.</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0000FF"/>
        </w:rPr>
        <w:t>SEC: The United States Securities and Exchange Commission, or any governmental agencies substituted therefor.</w:t>
      </w:r>
    </w:p>
    <w:p>
      <w:pPr>
        <w:spacing w:after="0" w:line="339" w:lineRule="exact"/>
        <w:rPr>
          <w:sz w:val="20"/>
          <w:szCs w:val="20"/>
          <w:color w:val="auto"/>
        </w:rPr>
      </w:pPr>
    </w:p>
    <w:p>
      <w:pPr>
        <w:jc w:val="both"/>
        <w:ind w:left="700" w:right="60" w:firstLine="648"/>
        <w:spacing w:after="0" w:line="312" w:lineRule="auto"/>
        <w:rPr>
          <w:sz w:val="20"/>
          <w:szCs w:val="20"/>
          <w:color w:val="auto"/>
        </w:rPr>
      </w:pPr>
      <w:r>
        <w:rPr>
          <w:rFonts w:ascii="Arial" w:cs="Arial" w:eastAsia="Arial" w:hAnsi="Arial"/>
          <w:sz w:val="19"/>
          <w:szCs w:val="19"/>
          <w:u w:val="single" w:color="auto"/>
          <w:color w:val="auto"/>
        </w:rPr>
        <w:t>Secured Party</w:t>
      </w:r>
      <w:r>
        <w:rPr>
          <w:rFonts w:ascii="Arial" w:cs="Arial" w:eastAsia="Arial" w:hAnsi="Arial"/>
          <w:sz w:val="19"/>
          <w:szCs w:val="19"/>
          <w:color w:val="auto"/>
        </w:rPr>
        <w:t>: (i) The Collateral Agent, the Deal Agent and each Lender and (ii) each Hedge Counterparty that is either a Lender or an Affiliate of a Lender if that Affiliate that is a Hedge Counterparty executes a counterpart of this Agreement agreeing to be bound by the terms of this Agreement applicable to a Secured Party.</w:t>
      </w:r>
    </w:p>
    <w:p>
      <w:pPr>
        <w:spacing w:after="0" w:line="174"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Securities Act</w:t>
      </w:r>
      <w:r>
        <w:rPr>
          <w:rFonts w:ascii="Arial" w:cs="Arial" w:eastAsia="Arial" w:hAnsi="Arial"/>
          <w:sz w:val="22"/>
          <w:szCs w:val="22"/>
          <w:color w:val="auto"/>
        </w:rPr>
        <w:t>: The United States Securities Act of 1933, as amended.</w:t>
      </w:r>
    </w:p>
    <w:p>
      <w:pPr>
        <w:spacing w:after="0" w:line="247" w:lineRule="exact"/>
        <w:rPr>
          <w:sz w:val="20"/>
          <w:szCs w:val="20"/>
          <w:color w:val="auto"/>
        </w:rPr>
      </w:pPr>
    </w:p>
    <w:p>
      <w:pPr>
        <w:jc w:val="both"/>
        <w:ind w:left="700" w:right="60" w:firstLine="648"/>
        <w:spacing w:after="0" w:line="287" w:lineRule="auto"/>
        <w:rPr>
          <w:sz w:val="20"/>
          <w:szCs w:val="20"/>
          <w:color w:val="auto"/>
        </w:rPr>
      </w:pPr>
      <w:r>
        <w:rPr>
          <w:rFonts w:ascii="Arial" w:cs="Arial" w:eastAsia="Arial" w:hAnsi="Arial"/>
          <w:sz w:val="21"/>
          <w:szCs w:val="21"/>
          <w:u w:val="single" w:color="auto"/>
          <w:color w:val="auto"/>
        </w:rPr>
        <w:t>Servicer</w:t>
      </w:r>
      <w:r>
        <w:rPr>
          <w:rFonts w:ascii="Arial" w:cs="Arial" w:eastAsia="Arial" w:hAnsi="Arial"/>
          <w:sz w:val="21"/>
          <w:szCs w:val="21"/>
          <w:color w:val="auto"/>
        </w:rPr>
        <w:t>: Credit Acceptance, the Backup Servicer, if it has become the Successor Servicer or any other Successor Servicer, appointed in accordance with the terms hereof as the Servicer of the Loans and Contracts.</w:t>
      </w:r>
    </w:p>
    <w:p>
      <w:pPr>
        <w:spacing w:after="0" w:line="300"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Servicer Termination Event</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w:t>
      </w:r>
      <w:r>
        <w:rPr>
          <w:rFonts w:ascii="Arial" w:cs="Arial" w:eastAsia="Arial" w:hAnsi="Arial"/>
          <w:sz w:val="22"/>
          <w:szCs w:val="22"/>
          <w:u w:val="single" w:color="auto"/>
          <w:color w:val="auto"/>
        </w:rPr>
        <w:t>Servicer Termination</w:t>
      </w:r>
    </w:p>
    <w:p>
      <w:pPr>
        <w:spacing w:after="0" w:line="247"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6.11</w:t>
      </w:r>
      <w:r>
        <w:rPr>
          <w:rFonts w:ascii="Arial" w:cs="Arial" w:eastAsia="Arial" w:hAnsi="Arial"/>
          <w:sz w:val="22"/>
          <w:szCs w:val="22"/>
          <w:color w:val="auto"/>
        </w:rPr>
        <w:t>.</w:t>
      </w:r>
    </w:p>
    <w:p>
      <w:pPr>
        <w:spacing w:after="0" w:line="139" w:lineRule="exact"/>
        <w:rPr>
          <w:sz w:val="20"/>
          <w:szCs w:val="20"/>
          <w:color w:val="auto"/>
        </w:rPr>
      </w:pPr>
    </w:p>
    <w:p>
      <w:pPr>
        <w:jc w:val="both"/>
        <w:ind w:left="700" w:right="60" w:firstLine="648"/>
        <w:spacing w:after="0" w:line="253" w:lineRule="auto"/>
        <w:rPr>
          <w:sz w:val="20"/>
          <w:szCs w:val="20"/>
          <w:color w:val="auto"/>
        </w:rPr>
      </w:pPr>
      <w:r>
        <w:rPr>
          <w:rFonts w:ascii="Arial" w:cs="Arial" w:eastAsia="Arial" w:hAnsi="Arial"/>
          <w:sz w:val="22"/>
          <w:szCs w:val="22"/>
          <w:u w:val="single" w:color="auto"/>
          <w:color w:val="auto"/>
        </w:rPr>
        <w:t>Servicer Expenses</w:t>
      </w:r>
      <w:r>
        <w:rPr>
          <w:rFonts w:ascii="Arial" w:cs="Arial" w:eastAsia="Arial" w:hAnsi="Arial"/>
          <w:sz w:val="22"/>
          <w:szCs w:val="22"/>
          <w:color w:val="auto"/>
        </w:rPr>
        <w:t>: Any expenses incurred by the Backup Servicer, if it has become the Successor Servicer hereunder (including to the extent the Backup Servicer is Wells Fargo Bank, National Association any Reliening Expenses), other than Repossession Expenses or Transition Expenses.</w:t>
      </w:r>
    </w:p>
    <w:p>
      <w:pPr>
        <w:spacing w:after="0" w:line="212" w:lineRule="exact"/>
        <w:rPr>
          <w:sz w:val="20"/>
          <w:szCs w:val="20"/>
          <w:color w:val="auto"/>
        </w:rPr>
      </w:pPr>
    </w:p>
    <w:p>
      <w:pPr>
        <w:jc w:val="both"/>
        <w:ind w:left="700" w:firstLine="648"/>
        <w:spacing w:after="0" w:line="288" w:lineRule="auto"/>
        <w:rPr>
          <w:sz w:val="20"/>
          <w:szCs w:val="20"/>
          <w:color w:val="auto"/>
        </w:rPr>
      </w:pPr>
      <w:r>
        <w:rPr>
          <w:rFonts w:ascii="Arial" w:cs="Arial" w:eastAsia="Arial" w:hAnsi="Arial"/>
          <w:sz w:val="19"/>
          <w:szCs w:val="19"/>
          <w:u w:val="single" w:color="auto"/>
          <w:color w:val="auto"/>
        </w:rPr>
        <w:t>Servicing Fee</w:t>
      </w:r>
      <w:r>
        <w:rPr>
          <w:rFonts w:ascii="Arial" w:cs="Arial" w:eastAsia="Arial" w:hAnsi="Arial"/>
          <w:sz w:val="19"/>
          <w:szCs w:val="19"/>
          <w:color w:val="auto"/>
        </w:rPr>
        <w:t xml:space="preserve">: For each Payment Date, a fee payable to the Servicer for services rendered during the related Collection Period, equal to: (i) so long as Credit Acceptance is the Servicer, the product of (A) </w:t>
      </w:r>
      <w:r>
        <w:rPr>
          <w:rFonts w:ascii="Arial" w:cs="Arial" w:eastAsia="Arial" w:hAnsi="Arial"/>
          <w:sz w:val="19"/>
          <w:szCs w:val="19"/>
          <w:color w:val="FF0000"/>
          <w:strike w:val="1"/>
        </w:rPr>
        <w:t>6.00</w:t>
      </w:r>
      <w:r>
        <w:rPr>
          <w:rFonts w:ascii="Arial" w:cs="Arial" w:eastAsia="Arial" w:hAnsi="Arial"/>
          <w:sz w:val="19"/>
          <w:szCs w:val="19"/>
          <w:u w:val="single" w:color="auto"/>
          <w:color w:val="0000FF"/>
        </w:rPr>
        <w:t>4.00</w:t>
      </w:r>
      <w:r>
        <w:rPr>
          <w:rFonts w:ascii="Arial" w:cs="Arial" w:eastAsia="Arial" w:hAnsi="Arial"/>
          <w:sz w:val="19"/>
          <w:szCs w:val="19"/>
          <w:color w:val="auto"/>
        </w:rPr>
        <w:t>% and (B) the total Collections for the related Collection Period (exclusive of amounts received under any Hedging Agreement) and</w:t>
      </w:r>
    </w:p>
    <w:p>
      <w:pPr>
        <w:spacing w:after="0" w:line="1" w:lineRule="exact"/>
        <w:rPr>
          <w:sz w:val="20"/>
          <w:szCs w:val="20"/>
          <w:color w:val="auto"/>
        </w:rPr>
      </w:pPr>
    </w:p>
    <w:p>
      <w:pPr>
        <w:jc w:val="both"/>
        <w:ind w:left="700" w:hanging="9"/>
        <w:spacing w:after="0" w:line="257" w:lineRule="auto"/>
        <w:tabs>
          <w:tab w:leader="none" w:pos="1043" w:val="left"/>
        </w:tabs>
        <w:numPr>
          <w:ilvl w:val="0"/>
          <w:numId w:val="299"/>
        </w:numPr>
        <w:rPr>
          <w:rFonts w:ascii="Arial" w:cs="Arial" w:eastAsia="Arial" w:hAnsi="Arial"/>
          <w:sz w:val="21"/>
          <w:szCs w:val="21"/>
          <w:color w:val="auto"/>
        </w:rPr>
      </w:pPr>
      <w:r>
        <w:rPr>
          <w:rFonts w:ascii="Arial" w:cs="Arial" w:eastAsia="Arial" w:hAnsi="Arial"/>
          <w:sz w:val="21"/>
          <w:szCs w:val="21"/>
          <w:color w:val="auto"/>
        </w:rPr>
        <w:t xml:space="preserve">if the Backup Servicer is the Servicer, the sum of (1) the greatest of: (a) the product of </w:t>
      </w:r>
      <w:r>
        <w:rPr>
          <w:rFonts w:ascii="Arial" w:cs="Arial" w:eastAsia="Arial" w:hAnsi="Arial"/>
          <w:sz w:val="21"/>
          <w:szCs w:val="21"/>
          <w:color w:val="FF0000"/>
          <w:strike w:val="1"/>
        </w:rPr>
        <w:t>10.0</w:t>
      </w:r>
      <w:r>
        <w:rPr>
          <w:rFonts w:ascii="Arial" w:cs="Arial" w:eastAsia="Arial" w:hAnsi="Arial"/>
          <w:sz w:val="21"/>
          <w:szCs w:val="21"/>
          <w:u w:val="single" w:color="auto"/>
          <w:color w:val="0000FF"/>
        </w:rPr>
        <w:t>8.00</w:t>
      </w:r>
      <w:r>
        <w:rPr>
          <w:rFonts w:ascii="Arial" w:cs="Arial" w:eastAsia="Arial" w:hAnsi="Arial"/>
          <w:sz w:val="21"/>
          <w:szCs w:val="21"/>
          <w:color w:val="auto"/>
        </w:rPr>
        <w:t xml:space="preserve">% and the total Collections for the related Collection Period (exclusive of amounts received under any Hedging Agreement), (b) the actual costs incurred by the Backup Servicer as Successor Servicer, and (c) the product of (x) $30.00 and (y) the aggregate number of Contracts serviced by it during the related Collection Period, plus (2) without duplication, Late Fees and Servicer Expenses;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with respect to each Payment Date on which the Backup Servicer is the Servicer, the Servicing Fee shall be at least equal to $5,000</w:t>
      </w:r>
    </w:p>
    <w:p>
      <w:pPr>
        <w:spacing w:after="0" w:line="213" w:lineRule="exact"/>
        <w:rPr>
          <w:sz w:val="20"/>
          <w:szCs w:val="20"/>
          <w:color w:val="auto"/>
        </w:rPr>
      </w:pPr>
    </w:p>
    <w:p>
      <w:pPr>
        <w:jc w:val="both"/>
        <w:ind w:left="740"/>
        <w:spacing w:after="0" w:line="265" w:lineRule="auto"/>
        <w:rPr>
          <w:sz w:val="20"/>
          <w:szCs w:val="20"/>
          <w:color w:val="auto"/>
        </w:rPr>
      </w:pPr>
      <w:r>
        <w:rPr>
          <w:rFonts w:ascii="Arial" w:cs="Arial" w:eastAsia="Arial" w:hAnsi="Arial"/>
          <w:sz w:val="21"/>
          <w:szCs w:val="21"/>
          <w:u w:val="single" w:color="auto"/>
          <w:color w:val="auto"/>
        </w:rPr>
        <w:t>SOFR</w:t>
      </w:r>
      <w:r>
        <w:rPr>
          <w:rFonts w:ascii="Arial" w:cs="Arial" w:eastAsia="Arial" w:hAnsi="Arial"/>
          <w:sz w:val="21"/>
          <w:szCs w:val="21"/>
          <w:color w:val="auto"/>
        </w:rPr>
        <w:t xml:space="preserve">: With respect to any </w:t>
      </w:r>
      <w:r>
        <w:rPr>
          <w:rFonts w:ascii="Arial" w:cs="Arial" w:eastAsia="Arial" w:hAnsi="Arial"/>
          <w:sz w:val="21"/>
          <w:szCs w:val="21"/>
          <w:color w:val="FF0000"/>
          <w:strike w:val="1"/>
        </w:rPr>
        <w:t>day,</w:t>
      </w:r>
      <w:r>
        <w:rPr>
          <w:rFonts w:ascii="Arial" w:cs="Arial" w:eastAsia="Arial" w:hAnsi="Arial"/>
          <w:sz w:val="21"/>
          <w:szCs w:val="21"/>
          <w:color w:val="auto"/>
        </w:rPr>
        <w:t xml:space="preserve"> </w:t>
      </w:r>
      <w:r>
        <w:rPr>
          <w:rFonts w:ascii="Arial" w:cs="Arial" w:eastAsia="Arial" w:hAnsi="Arial"/>
          <w:sz w:val="21"/>
          <w:szCs w:val="21"/>
          <w:u w:val="single" w:color="auto"/>
          <w:color w:val="0000FF"/>
        </w:rPr>
        <w:t>Business Day, a</w:t>
      </w:r>
      <w:r>
        <w:rPr>
          <w:rFonts w:ascii="Arial" w:cs="Arial" w:eastAsia="Arial" w:hAnsi="Arial"/>
          <w:sz w:val="21"/>
          <w:szCs w:val="21"/>
          <w:color w:val="auto"/>
        </w:rPr>
        <w:t xml:space="preserve"> </w:t>
      </w:r>
      <w:r>
        <w:rPr>
          <w:rFonts w:ascii="Arial" w:cs="Arial" w:eastAsia="Arial" w:hAnsi="Arial"/>
          <w:sz w:val="21"/>
          <w:szCs w:val="21"/>
          <w:u w:val="single" w:color="auto"/>
          <w:color w:val="007F00"/>
        </w:rPr>
        <w:t>rate per annum equal to</w:t>
      </w:r>
      <w:r>
        <w:rPr>
          <w:rFonts w:ascii="Arial" w:cs="Arial" w:eastAsia="Arial" w:hAnsi="Arial"/>
          <w:sz w:val="21"/>
          <w:szCs w:val="21"/>
          <w:color w:val="auto"/>
        </w:rPr>
        <w:t xml:space="preserve"> the secured overnight financing rate </w:t>
      </w:r>
      <w:r>
        <w:rPr>
          <w:rFonts w:ascii="Arial" w:cs="Arial" w:eastAsia="Arial" w:hAnsi="Arial"/>
          <w:sz w:val="21"/>
          <w:szCs w:val="21"/>
          <w:color w:val="FF0000"/>
          <w:strike w:val="1"/>
        </w:rPr>
        <w:t>published</w:t>
      </w:r>
      <w:r>
        <w:rPr>
          <w:rFonts w:ascii="Arial" w:cs="Arial" w:eastAsia="Arial" w:hAnsi="Arial"/>
          <w:sz w:val="21"/>
          <w:szCs w:val="21"/>
          <w:color w:val="auto"/>
        </w:rPr>
        <w:t xml:space="preserve"> </w:t>
      </w:r>
      <w:r>
        <w:rPr>
          <w:rFonts w:ascii="Arial" w:cs="Arial" w:eastAsia="Arial" w:hAnsi="Arial"/>
          <w:sz w:val="21"/>
          <w:szCs w:val="21"/>
          <w:color w:val="FF0000"/>
          <w:strike w:val="1"/>
        </w:rPr>
        <w:t xml:space="preserve">for such day by </w:t>
      </w:r>
      <w:r>
        <w:rPr>
          <w:rFonts w:ascii="Arial" w:cs="Arial" w:eastAsia="Arial" w:hAnsi="Arial"/>
          <w:sz w:val="21"/>
          <w:szCs w:val="21"/>
          <w:color w:val="007F00"/>
          <w:strike w:val="1"/>
        </w:rPr>
        <w:t>the Federal Reserve Bank of New York,</w:t>
      </w:r>
      <w:r>
        <w:rPr>
          <w:rFonts w:ascii="Arial" w:cs="Arial" w:eastAsia="Arial" w:hAnsi="Arial"/>
          <w:sz w:val="21"/>
          <w:szCs w:val="21"/>
          <w:color w:val="FF0000"/>
          <w:strike w:val="1"/>
        </w:rPr>
        <w:t xml:space="preserve"> as the administrator of the benchmark (or a successor administrator), on the </w:t>
      </w:r>
      <w:r>
        <w:rPr>
          <w:rFonts w:ascii="Arial" w:cs="Arial" w:eastAsia="Arial" w:hAnsi="Arial"/>
          <w:sz w:val="21"/>
          <w:szCs w:val="21"/>
          <w:color w:val="007F00"/>
          <w:strike w:val="1"/>
        </w:rPr>
        <w:t>Federal Reserve Bank of New</w:t>
      </w:r>
      <w:r>
        <w:rPr>
          <w:rFonts w:ascii="Arial" w:cs="Arial" w:eastAsia="Arial" w:hAnsi="Arial"/>
          <w:sz w:val="21"/>
          <w:szCs w:val="21"/>
          <w:color w:val="FF0000"/>
          <w:strike w:val="1"/>
        </w:rPr>
        <w:t xml:space="preserve"> York’s website.</w:t>
      </w:r>
      <w:r>
        <w:rPr>
          <w:rFonts w:ascii="Arial" w:cs="Arial" w:eastAsia="Arial" w:hAnsi="Arial"/>
          <w:sz w:val="21"/>
          <w:szCs w:val="21"/>
          <w:u w:val="single" w:color="auto"/>
          <w:color w:val="0000FF"/>
          <w:strike w:val="1"/>
        </w:rPr>
        <w:t>for such Business Day published by the SOFR</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Administrator on the SOFR Administrator’s Website on the immediately succeeding Business Day.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36</w:t>
      </w:r>
    </w:p>
    <w:p>
      <w:pPr>
        <w:sectPr>
          <w:pgSz w:w="11900" w:h="16838" w:orient="portrait"/>
          <w:cols w:equalWidth="0" w:num="1">
            <w:col w:w="11140"/>
          </w:cols>
          <w:pgMar w:left="320" w:top="1428" w:right="439" w:bottom="1440" w:gutter="0" w:footer="0" w:header="0"/>
        </w:sectPr>
      </w:pPr>
    </w:p>
    <w:bookmarkStart w:id="304" w:name="page305"/>
    <w:bookmarkEnd w:id="304"/>
    <w:p>
      <w:pPr>
        <w:ind w:left="700" w:right="60" w:firstLine="648"/>
        <w:spacing w:after="0" w:line="263" w:lineRule="auto"/>
        <w:rPr>
          <w:sz w:val="20"/>
          <w:szCs w:val="20"/>
          <w:color w:val="auto"/>
        </w:rPr>
      </w:pPr>
      <w:r>
        <w:rPr>
          <w:rFonts w:ascii="Arial" w:cs="Arial" w:eastAsia="Arial" w:hAnsi="Arial"/>
          <w:sz w:val="22"/>
          <w:szCs w:val="22"/>
          <w:u w:val="single" w:color="auto"/>
          <w:color w:val="0000FF"/>
        </w:rPr>
        <w:t>SOFR Administrator: The Federal Reserve Bank of New York (or a successor administrator of the secured overnight financing rate).</w:t>
      </w:r>
    </w:p>
    <w:p>
      <w:pPr>
        <w:spacing w:after="0" w:line="202" w:lineRule="exact"/>
        <w:rPr>
          <w:sz w:val="20"/>
          <w:szCs w:val="20"/>
          <w:color w:val="auto"/>
        </w:rPr>
      </w:pPr>
    </w:p>
    <w:p>
      <w:pPr>
        <w:jc w:val="both"/>
        <w:ind w:left="740" w:right="60" w:firstLine="567"/>
        <w:spacing w:after="0" w:line="253" w:lineRule="auto"/>
        <w:rPr>
          <w:sz w:val="20"/>
          <w:szCs w:val="20"/>
          <w:color w:val="auto"/>
        </w:rPr>
      </w:pPr>
      <w:r>
        <w:rPr>
          <w:rFonts w:ascii="Arial" w:cs="Arial" w:eastAsia="Arial" w:hAnsi="Arial"/>
          <w:sz w:val="22"/>
          <w:szCs w:val="22"/>
          <w:u w:val="single" w:color="auto"/>
          <w:color w:val="0000FF"/>
        </w:rPr>
        <w:t xml:space="preserve">SOFR Administrator’s Website: The website of the </w:t>
      </w:r>
      <w:r>
        <w:rPr>
          <w:rFonts w:ascii="Arial" w:cs="Arial" w:eastAsia="Arial" w:hAnsi="Arial"/>
          <w:sz w:val="22"/>
          <w:szCs w:val="22"/>
          <w:u w:val="single" w:color="auto"/>
          <w:color w:val="007F00"/>
        </w:rPr>
        <w:t>Federal Reserve Bank of New</w:t>
      </w:r>
      <w:r>
        <w:rPr>
          <w:rFonts w:ascii="Arial" w:cs="Arial" w:eastAsia="Arial" w:hAnsi="Arial"/>
          <w:sz w:val="22"/>
          <w:szCs w:val="22"/>
          <w:u w:val="single" w:color="auto"/>
          <w:color w:val="0000FF"/>
        </w:rPr>
        <w:t xml:space="preserve"> York, currently at http://www.newyorkfed.org, or any successor source for the secured overnight financing rate identified as such by the SOFR Administrator </w:t>
      </w:r>
      <w:r>
        <w:rPr>
          <w:rFonts w:ascii="Arial" w:cs="Arial" w:eastAsia="Arial" w:hAnsi="Arial"/>
          <w:sz w:val="22"/>
          <w:szCs w:val="22"/>
          <w:u w:val="single" w:color="auto"/>
          <w:color w:val="007F00"/>
        </w:rPr>
        <w:t>from time to time.</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Solvent</w:t>
      </w:r>
      <w:r>
        <w:rPr>
          <w:rFonts w:ascii="Arial" w:cs="Arial" w:eastAsia="Arial" w:hAnsi="Arial"/>
          <w:sz w:val="22"/>
          <w:szCs w:val="22"/>
          <w:color w:val="auto"/>
        </w:rPr>
        <w:t>: As to any Person at any time, having a state of affairs such that all of the following conditions are met:</w:t>
      </w:r>
    </w:p>
    <w:p>
      <w:pPr>
        <w:spacing w:after="0" w:line="21" w:lineRule="exact"/>
        <w:rPr>
          <w:sz w:val="20"/>
          <w:szCs w:val="20"/>
          <w:color w:val="auto"/>
        </w:rPr>
      </w:pPr>
    </w:p>
    <w:p>
      <w:pPr>
        <w:jc w:val="both"/>
        <w:ind w:left="700" w:hanging="9"/>
        <w:spacing w:after="0" w:line="256" w:lineRule="auto"/>
        <w:tabs>
          <w:tab w:leader="none" w:pos="1035" w:val="left"/>
        </w:tabs>
        <w:numPr>
          <w:ilvl w:val="0"/>
          <w:numId w:val="300"/>
        </w:numPr>
        <w:rPr>
          <w:rFonts w:ascii="Arial" w:cs="Arial" w:eastAsia="Arial" w:hAnsi="Arial"/>
          <w:sz w:val="21"/>
          <w:szCs w:val="21"/>
          <w:color w:val="auto"/>
        </w:rPr>
      </w:pPr>
      <w:r>
        <w:rPr>
          <w:rFonts w:ascii="Arial" w:cs="Arial" w:eastAsia="Arial" w:hAnsi="Arial"/>
          <w:sz w:val="21"/>
          <w:szCs w:val="21"/>
          <w:color w:val="auto"/>
        </w:rPr>
        <w:t>the fair value of the property of such Person is greater than the amount of such Person’s liabilities (including disputed, contingent and unliquidated liabilities) as such value is established and liabilities evaluated for purposes of Section 101(32) of the Bankruptcy Code; (b) the present fair salable value of the property of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a business or a transaction, for which such Person’s property would constitute unreasonably small capital.</w:t>
      </w:r>
    </w:p>
    <w:p>
      <w:pPr>
        <w:spacing w:after="0" w:line="214"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Structuring Fees</w:t>
      </w:r>
      <w:r>
        <w:rPr>
          <w:rFonts w:ascii="Arial" w:cs="Arial" w:eastAsia="Arial" w:hAnsi="Arial"/>
          <w:sz w:val="22"/>
          <w:szCs w:val="22"/>
          <w:color w:val="auto"/>
        </w:rPr>
        <w:t>: The structuring fee set forth in the Fee Letter related to Wells Fargo.</w:t>
      </w:r>
    </w:p>
    <w:p>
      <w:pPr>
        <w:spacing w:after="0" w:line="260" w:lineRule="exact"/>
        <w:rPr>
          <w:sz w:val="20"/>
          <w:szCs w:val="20"/>
          <w:color w:val="auto"/>
        </w:rPr>
      </w:pPr>
    </w:p>
    <w:p>
      <w:pPr>
        <w:jc w:val="both"/>
        <w:ind w:left="700" w:right="40" w:firstLine="648"/>
        <w:spacing w:after="0" w:line="287" w:lineRule="auto"/>
        <w:rPr>
          <w:sz w:val="20"/>
          <w:szCs w:val="20"/>
          <w:color w:val="auto"/>
        </w:rPr>
      </w:pPr>
      <w:r>
        <w:rPr>
          <w:rFonts w:ascii="Arial" w:cs="Arial" w:eastAsia="Arial" w:hAnsi="Arial"/>
          <w:sz w:val="21"/>
          <w:szCs w:val="21"/>
          <w:u w:val="single" w:color="auto"/>
          <w:color w:val="auto"/>
        </w:rPr>
        <w:t>Subsidiary</w:t>
      </w:r>
      <w:r>
        <w:rPr>
          <w:rFonts w:ascii="Arial" w:cs="Arial" w:eastAsia="Arial" w:hAnsi="Arial"/>
          <w:sz w:val="21"/>
          <w:szCs w:val="21"/>
          <w:color w:val="auto"/>
        </w:rPr>
        <w:t>: A corporation of which the Originator and/or its Subsidiaries own, directly or indirectly, such number of outstanding shares as have more than 50% of the ordinary voting power for the election of directors.</w:t>
      </w:r>
    </w:p>
    <w:p>
      <w:pPr>
        <w:spacing w:after="0" w:line="178"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Successor Servicer</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6.12(a)</w:t>
      </w:r>
      <w:r>
        <w:rPr>
          <w:rFonts w:ascii="Arial" w:cs="Arial" w:eastAsia="Arial" w:hAnsi="Arial"/>
          <w:sz w:val="22"/>
          <w:szCs w:val="22"/>
          <w:color w:val="auto"/>
        </w:rPr>
        <w:t>.</w:t>
      </w: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Take-Out</w:t>
      </w:r>
      <w:r>
        <w:rPr>
          <w:rFonts w:ascii="Arial" w:cs="Arial" w:eastAsia="Arial" w:hAnsi="Arial"/>
          <w:sz w:val="22"/>
          <w:szCs w:val="22"/>
          <w:color w:val="auto"/>
        </w:rPr>
        <w:t>: Any Mandatory Take-Out or Optional Take-Out.</w:t>
      </w:r>
    </w:p>
    <w:p>
      <w:pPr>
        <w:spacing w:after="0" w:line="260" w:lineRule="exact"/>
        <w:rPr>
          <w:sz w:val="20"/>
          <w:szCs w:val="20"/>
          <w:color w:val="auto"/>
        </w:rPr>
      </w:pPr>
    </w:p>
    <w:p>
      <w:pPr>
        <w:jc w:val="both"/>
        <w:ind w:left="700" w:right="60" w:firstLine="648"/>
        <w:spacing w:after="0" w:line="263" w:lineRule="auto"/>
        <w:rPr>
          <w:sz w:val="20"/>
          <w:szCs w:val="20"/>
          <w:color w:val="auto"/>
        </w:rPr>
      </w:pPr>
      <w:r>
        <w:rPr>
          <w:rFonts w:ascii="Arial" w:cs="Arial" w:eastAsia="Arial" w:hAnsi="Arial"/>
          <w:sz w:val="22"/>
          <w:szCs w:val="22"/>
          <w:u w:val="single" w:color="auto"/>
          <w:color w:val="auto"/>
        </w:rPr>
        <w:t>Take-Out Release</w:t>
      </w:r>
      <w:r>
        <w:rPr>
          <w:rFonts w:ascii="Arial" w:cs="Arial" w:eastAsia="Arial" w:hAnsi="Arial"/>
          <w:sz w:val="22"/>
          <w:szCs w:val="22"/>
          <w:color w:val="auto"/>
        </w:rPr>
        <w:t>: The release to be executed pursuant to Section 2.16 hereto, substantially in the form of Exhibit E hereto.</w:t>
      </w:r>
    </w:p>
    <w:p>
      <w:pPr>
        <w:spacing w:after="0" w:line="202" w:lineRule="exact"/>
        <w:rPr>
          <w:sz w:val="20"/>
          <w:szCs w:val="20"/>
          <w:color w:val="auto"/>
        </w:rPr>
      </w:pPr>
    </w:p>
    <w:p>
      <w:pPr>
        <w:jc w:val="both"/>
        <w:ind w:left="700" w:right="40" w:firstLine="648"/>
        <w:spacing w:after="0" w:line="261" w:lineRule="auto"/>
        <w:rPr>
          <w:sz w:val="20"/>
          <w:szCs w:val="20"/>
          <w:color w:val="auto"/>
        </w:rPr>
      </w:pPr>
      <w:r>
        <w:rPr>
          <w:rFonts w:ascii="Arial" w:cs="Arial" w:eastAsia="Arial" w:hAnsi="Arial"/>
          <w:sz w:val="21"/>
          <w:szCs w:val="21"/>
          <w:u w:val="single" w:color="auto"/>
          <w:color w:val="auto"/>
        </w:rPr>
        <w:t>Tangible Net Worth:</w:t>
      </w:r>
      <w:r>
        <w:rPr>
          <w:rFonts w:ascii="Arial" w:cs="Arial" w:eastAsia="Arial" w:hAnsi="Arial"/>
          <w:sz w:val="21"/>
          <w:szCs w:val="21"/>
          <w:color w:val="auto"/>
        </w:rPr>
        <w:t xml:space="preserve"> The total preferred shareholders’ investment and common shareholders’ investment (common stock, paid in capital, retained earnings and accumulated other comprehensive income, net of tax) as computed for Credit Acceptance and its Credit Agreement Subsidiaries on a consolidated basis under GAAP, less assets properly classified as intangible assets according to GAAP, but excluding from the determination thereof, without duplication, any excess servicing asset resulting from the transfer, pursuant to a Permitted Securitization, of Dealer Loan Pools (as defined in the Credit Agreement) or Purchased Contracts.</w:t>
      </w:r>
    </w:p>
    <w:p>
      <w:pPr>
        <w:spacing w:after="0" w:line="220" w:lineRule="exact"/>
        <w:rPr>
          <w:sz w:val="20"/>
          <w:szCs w:val="20"/>
          <w:color w:val="auto"/>
        </w:rPr>
      </w:pPr>
    </w:p>
    <w:p>
      <w:pPr>
        <w:jc w:val="both"/>
        <w:ind w:left="700" w:right="60" w:firstLine="648"/>
        <w:spacing w:after="0" w:line="253" w:lineRule="auto"/>
        <w:rPr>
          <w:sz w:val="20"/>
          <w:szCs w:val="20"/>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Any present or future taxes, levies, imposts, duties, deductions, withholdings (including backup withholding), charges, assessments or fees of any nature (including interest, penalties, and additions thereto) that are imposed by any Governmental Authority.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37</w:t>
      </w:r>
    </w:p>
    <w:p>
      <w:pPr>
        <w:sectPr>
          <w:pgSz w:w="11900" w:h="16838" w:orient="portrait"/>
          <w:cols w:equalWidth="0" w:num="1">
            <w:col w:w="11140"/>
          </w:cols>
          <w:pgMar w:left="320" w:top="1428" w:right="439" w:bottom="1440" w:gutter="0" w:footer="0" w:header="0"/>
        </w:sectPr>
      </w:pPr>
    </w:p>
    <w:bookmarkStart w:id="305" w:name="page306"/>
    <w:bookmarkEnd w:id="305"/>
    <w:p>
      <w:pPr>
        <w:jc w:val="both"/>
        <w:ind w:left="700" w:right="40" w:firstLine="648"/>
        <w:spacing w:after="0" w:line="343" w:lineRule="auto"/>
        <w:rPr>
          <w:sz w:val="20"/>
          <w:szCs w:val="20"/>
          <w:color w:val="auto"/>
        </w:rPr>
      </w:pPr>
      <w:r>
        <w:rPr>
          <w:rFonts w:ascii="Arial" w:cs="Arial" w:eastAsia="Arial" w:hAnsi="Arial"/>
          <w:sz w:val="19"/>
          <w:szCs w:val="19"/>
          <w:u w:val="single" w:color="auto"/>
          <w:color w:val="auto"/>
        </w:rPr>
        <w:t>Term SOFR</w:t>
      </w:r>
      <w:r>
        <w:rPr>
          <w:rFonts w:ascii="Arial" w:cs="Arial" w:eastAsia="Arial" w:hAnsi="Arial"/>
          <w:sz w:val="19"/>
          <w:szCs w:val="19"/>
          <w:color w:val="auto"/>
        </w:rPr>
        <w:t xml:space="preserve">: </w:t>
      </w:r>
      <w:r>
        <w:rPr>
          <w:rFonts w:ascii="Arial" w:cs="Arial" w:eastAsia="Arial" w:hAnsi="Arial"/>
          <w:sz w:val="19"/>
          <w:szCs w:val="19"/>
          <w:color w:val="FF0000"/>
          <w:strike w:val="1"/>
        </w:rPr>
        <w:t>The</w:t>
      </w:r>
      <w:r>
        <w:rPr>
          <w:rFonts w:ascii="Arial" w:cs="Arial" w:eastAsia="Arial" w:hAnsi="Arial"/>
          <w:sz w:val="19"/>
          <w:szCs w:val="19"/>
          <w:u w:val="single" w:color="auto"/>
          <w:color w:val="0000FF"/>
        </w:rPr>
        <w:t>For the applicable Corresponding Tenor as of the applicable Reference Time, the</w:t>
      </w:r>
      <w:r>
        <w:rPr>
          <w:rFonts w:ascii="Arial" w:cs="Arial" w:eastAsia="Arial" w:hAnsi="Arial"/>
          <w:sz w:val="19"/>
          <w:szCs w:val="19"/>
          <w:color w:val="auto"/>
        </w:rPr>
        <w:t xml:space="preserve"> forward-looking </w:t>
      </w:r>
      <w:r>
        <w:rPr>
          <w:rFonts w:ascii="Arial" w:cs="Arial" w:eastAsia="Arial" w:hAnsi="Arial"/>
          <w:sz w:val="19"/>
          <w:szCs w:val="19"/>
          <w:color w:val="FF0000"/>
          <w:strike w:val="1"/>
        </w:rPr>
        <w:t>one year</w:t>
      </w:r>
      <w:r>
        <w:rPr>
          <w:rFonts w:ascii="Arial" w:cs="Arial" w:eastAsia="Arial" w:hAnsi="Arial"/>
          <w:sz w:val="19"/>
          <w:szCs w:val="19"/>
          <w:color w:val="auto"/>
        </w:rPr>
        <w:t xml:space="preserve"> term rate based on SOFR that has been selected or recommended by the Relevant Governmental Body.</w:t>
      </w:r>
    </w:p>
    <w:p>
      <w:pPr>
        <w:spacing w:after="0" w:line="131" w:lineRule="exact"/>
        <w:rPr>
          <w:sz w:val="20"/>
          <w:szCs w:val="20"/>
          <w:color w:val="auto"/>
        </w:rPr>
      </w:pPr>
    </w:p>
    <w:p>
      <w:pPr>
        <w:ind w:left="660" w:right="40"/>
        <w:spacing w:after="0" w:line="263" w:lineRule="auto"/>
        <w:rPr>
          <w:sz w:val="20"/>
          <w:szCs w:val="20"/>
          <w:color w:val="auto"/>
        </w:rPr>
      </w:pPr>
      <w:r>
        <w:rPr>
          <w:rFonts w:ascii="Arial" w:cs="Arial" w:eastAsia="Arial" w:hAnsi="Arial"/>
          <w:sz w:val="22"/>
          <w:szCs w:val="22"/>
          <w:u w:val="single" w:color="auto"/>
          <w:color w:val="0000FF"/>
        </w:rPr>
        <w:t xml:space="preserve">Term SOFR Notice: A notification </w:t>
      </w:r>
      <w:r>
        <w:rPr>
          <w:rFonts w:ascii="Arial" w:cs="Arial" w:eastAsia="Arial" w:hAnsi="Arial"/>
          <w:sz w:val="22"/>
          <w:szCs w:val="22"/>
          <w:u w:val="single" w:color="auto"/>
          <w:color w:val="007F00"/>
        </w:rPr>
        <w:t>by the Deal Agent to</w:t>
      </w:r>
      <w:r>
        <w:rPr>
          <w:rFonts w:ascii="Arial" w:cs="Arial" w:eastAsia="Arial" w:hAnsi="Arial"/>
          <w:sz w:val="22"/>
          <w:szCs w:val="22"/>
          <w:u w:val="single" w:color="auto"/>
          <w:color w:val="0000FF"/>
        </w:rPr>
        <w:t xml:space="preserve"> the Borrower of the occurrence of a Term SOFR Transition Event.</w:t>
      </w:r>
    </w:p>
    <w:p>
      <w:pPr>
        <w:spacing w:after="0" w:line="215" w:lineRule="exact"/>
        <w:rPr>
          <w:sz w:val="20"/>
          <w:szCs w:val="20"/>
          <w:color w:val="auto"/>
        </w:rPr>
      </w:pPr>
    </w:p>
    <w:p>
      <w:pPr>
        <w:jc w:val="both"/>
        <w:ind w:left="700" w:right="40" w:firstLine="662"/>
        <w:spacing w:after="0" w:line="261" w:lineRule="auto"/>
        <w:rPr>
          <w:sz w:val="20"/>
          <w:szCs w:val="20"/>
          <w:color w:val="auto"/>
        </w:rPr>
      </w:pPr>
      <w:r>
        <w:rPr>
          <w:rFonts w:ascii="Arial" w:cs="Arial" w:eastAsia="Arial" w:hAnsi="Arial"/>
          <w:sz w:val="21"/>
          <w:szCs w:val="21"/>
          <w:u w:val="single" w:color="auto"/>
          <w:color w:val="0000FF"/>
        </w:rPr>
        <w:t>Term SOFR Transition Event: The determination by the Deal Agent that (a) Term SOFR has been recommended for use by the Relevant Governmental Body, (b) the administration of Term SOFR is administratively feasible for the Deal Agent and (c) a Benchmark Transition Event or an Early Opt-in Election, as applicable, has previously occurred resulting in the replacement of the then-current Benchmark for all purposes hereunder and under any Transaction Document in accordance with Section 2.11 with a Benchmark Replacement the Unadjusted Benchmark Replacement component of which is not Term SOFR.</w:t>
      </w:r>
    </w:p>
    <w:p>
      <w:pPr>
        <w:spacing w:after="0" w:line="206" w:lineRule="exact"/>
        <w:rPr>
          <w:sz w:val="20"/>
          <w:szCs w:val="20"/>
          <w:color w:val="auto"/>
        </w:rPr>
      </w:pPr>
    </w:p>
    <w:p>
      <w:pPr>
        <w:jc w:val="both"/>
        <w:ind w:left="700" w:right="40" w:firstLine="648"/>
        <w:spacing w:after="0" w:line="253" w:lineRule="auto"/>
        <w:rPr>
          <w:sz w:val="20"/>
          <w:szCs w:val="20"/>
          <w:color w:val="auto"/>
        </w:rPr>
      </w:pP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With respect to each Lender, the earliest of: (a) the date of the occurrence or declaration of the Termination Date pursuant to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and (b) the date of termination in whole of the Facility Limit pursuant to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26"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Termination Events</w:t>
      </w:r>
      <w:r>
        <w:rPr>
          <w:rFonts w:ascii="Arial" w:cs="Arial" w:eastAsia="Arial" w:hAnsi="Arial"/>
          <w:sz w:val="22"/>
          <w:szCs w:val="22"/>
          <w:color w:val="auto"/>
        </w:rPr>
        <w:t xml:space="preserve">: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47"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Third Amended and Restated Loan and Security Agreement Effective Date</w:t>
      </w:r>
      <w:r>
        <w:rPr>
          <w:rFonts w:ascii="Arial" w:cs="Arial" w:eastAsia="Arial" w:hAnsi="Arial"/>
          <w:sz w:val="22"/>
          <w:szCs w:val="22"/>
          <w:color w:val="auto"/>
        </w:rPr>
        <w:t>: August 24,</w:t>
      </w:r>
    </w:p>
    <w:p>
      <w:pPr>
        <w:spacing w:after="0" w:line="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2009.</w:t>
      </w:r>
    </w:p>
    <w:p>
      <w:pPr>
        <w:spacing w:after="0" w:line="242" w:lineRule="exact"/>
        <w:rPr>
          <w:sz w:val="20"/>
          <w:szCs w:val="20"/>
          <w:color w:val="auto"/>
        </w:rPr>
      </w:pPr>
    </w:p>
    <w:p>
      <w:pPr>
        <w:ind w:left="700" w:right="2160" w:firstLine="648"/>
        <w:spacing w:after="0" w:line="263" w:lineRule="auto"/>
        <w:rPr>
          <w:sz w:val="20"/>
          <w:szCs w:val="20"/>
          <w:color w:val="auto"/>
        </w:rPr>
      </w:pPr>
      <w:r>
        <w:rPr>
          <w:rFonts w:ascii="Arial" w:cs="Arial" w:eastAsia="Arial" w:hAnsi="Arial"/>
          <w:sz w:val="22"/>
          <w:szCs w:val="22"/>
          <w:u w:val="single" w:color="auto"/>
          <w:color w:val="auto"/>
        </w:rPr>
        <w:t>Total Commitment</w:t>
      </w:r>
      <w:r>
        <w:rPr>
          <w:rFonts w:ascii="Arial" w:cs="Arial" w:eastAsia="Arial" w:hAnsi="Arial"/>
          <w:sz w:val="22"/>
          <w:szCs w:val="22"/>
          <w:color w:val="auto"/>
        </w:rPr>
        <w:t>: On any date of determination, the aggregate Commitments of all the Lenders.</w:t>
      </w:r>
    </w:p>
    <w:p>
      <w:pPr>
        <w:spacing w:after="0" w:line="215" w:lineRule="exact"/>
        <w:rPr>
          <w:sz w:val="20"/>
          <w:szCs w:val="20"/>
          <w:color w:val="auto"/>
        </w:rPr>
      </w:pPr>
    </w:p>
    <w:p>
      <w:pPr>
        <w:jc w:val="both"/>
        <w:ind w:left="700" w:right="40" w:firstLine="648"/>
        <w:spacing w:after="0" w:line="253" w:lineRule="auto"/>
        <w:rPr>
          <w:sz w:val="20"/>
          <w:szCs w:val="20"/>
          <w:color w:val="auto"/>
        </w:rPr>
      </w:pPr>
      <w:r>
        <w:rPr>
          <w:rFonts w:ascii="Arial" w:cs="Arial" w:eastAsia="Arial" w:hAnsi="Arial"/>
          <w:sz w:val="22"/>
          <w:szCs w:val="22"/>
          <w:u w:val="single" w:color="auto"/>
          <w:color w:val="auto"/>
        </w:rPr>
        <w:t>Transaction Documents</w:t>
      </w:r>
      <w:r>
        <w:rPr>
          <w:rFonts w:ascii="Arial" w:cs="Arial" w:eastAsia="Arial" w:hAnsi="Arial"/>
          <w:sz w:val="22"/>
          <w:szCs w:val="22"/>
          <w:color w:val="auto"/>
        </w:rPr>
        <w:t>: This Agreement, the Contribution Agreement, each Hedging Agreement, the Fee Letters, the Backup Servicing Agreement and any additional document the execution of which is necessary or incidental to carrying out the terms of the foregoing documents.</w:t>
      </w:r>
    </w:p>
    <w:p>
      <w:pPr>
        <w:spacing w:after="0" w:line="212" w:lineRule="exact"/>
        <w:rPr>
          <w:sz w:val="20"/>
          <w:szCs w:val="20"/>
          <w:color w:val="auto"/>
        </w:rPr>
      </w:pPr>
    </w:p>
    <w:p>
      <w:pPr>
        <w:jc w:val="both"/>
        <w:ind w:left="700" w:firstLine="648"/>
        <w:spacing w:after="0" w:line="250" w:lineRule="auto"/>
        <w:rPr>
          <w:sz w:val="20"/>
          <w:szCs w:val="20"/>
          <w:color w:val="auto"/>
        </w:rPr>
      </w:pPr>
      <w:r>
        <w:rPr>
          <w:rFonts w:ascii="Arial" w:cs="Arial" w:eastAsia="Arial" w:hAnsi="Arial"/>
          <w:sz w:val="22"/>
          <w:szCs w:val="22"/>
          <w:u w:val="single" w:color="auto"/>
          <w:color w:val="auto"/>
        </w:rPr>
        <w:t>Transition Expenses</w:t>
      </w:r>
      <w:r>
        <w:rPr>
          <w:rFonts w:ascii="Arial" w:cs="Arial" w:eastAsia="Arial" w:hAnsi="Arial"/>
          <w:sz w:val="22"/>
          <w:szCs w:val="22"/>
          <w:color w:val="auto"/>
        </w:rPr>
        <w:t>: If the Backup Servicer has become the Successor Servicer, the sum of: (i) reasonable costs and expenses incurred by the Backup Servicer in connection with its assumption of the servicing obligations hereunder, related to travel, Obligor welcome letters, freight and file shipping plus (ii) a boarding fee equal to the product of $7.50 and the number of Contracts to be serviced.</w:t>
      </w:r>
    </w:p>
    <w:p>
      <w:pPr>
        <w:spacing w:after="0" w:line="228" w:lineRule="exact"/>
        <w:rPr>
          <w:sz w:val="20"/>
          <w:szCs w:val="20"/>
          <w:color w:val="auto"/>
        </w:rPr>
      </w:pPr>
    </w:p>
    <w:p>
      <w:pPr>
        <w:ind w:left="700" w:right="40" w:firstLine="648"/>
        <w:spacing w:after="0" w:line="263" w:lineRule="auto"/>
        <w:rPr>
          <w:sz w:val="20"/>
          <w:szCs w:val="20"/>
          <w:color w:val="auto"/>
        </w:rPr>
      </w:pP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as from time to time in effect in the applicable jurisdiction or jurisdictions.</w:t>
      </w:r>
    </w:p>
    <w:p>
      <w:pPr>
        <w:spacing w:after="0" w:line="202"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xml:space="preserve">: The </w:t>
      </w:r>
      <w:r>
        <w:rPr>
          <w:rFonts w:ascii="Arial" w:cs="Arial" w:eastAsia="Arial" w:hAnsi="Arial"/>
          <w:sz w:val="22"/>
          <w:szCs w:val="22"/>
          <w:u w:val="single" w:color="auto"/>
          <w:color w:val="0000FF"/>
        </w:rPr>
        <w:t>applicable</w:t>
      </w:r>
      <w:r>
        <w:rPr>
          <w:rFonts w:ascii="Arial" w:cs="Arial" w:eastAsia="Arial" w:hAnsi="Arial"/>
          <w:sz w:val="22"/>
          <w:szCs w:val="22"/>
          <w:color w:val="auto"/>
        </w:rPr>
        <w:t xml:space="preserve"> Benchmark Replacement excluding the </w:t>
      </w:r>
      <w:r>
        <w:rPr>
          <w:rFonts w:ascii="Arial" w:cs="Arial" w:eastAsia="Arial" w:hAnsi="Arial"/>
          <w:sz w:val="22"/>
          <w:szCs w:val="22"/>
          <w:u w:val="single" w:color="auto"/>
          <w:color w:val="0000FF"/>
        </w:rPr>
        <w:t>related</w:t>
      </w:r>
      <w:r>
        <w:rPr>
          <w:rFonts w:ascii="Arial" w:cs="Arial" w:eastAsia="Arial" w:hAnsi="Arial"/>
          <w:sz w:val="22"/>
          <w:szCs w:val="22"/>
          <w:color w:val="auto"/>
        </w:rPr>
        <w:t xml:space="preserve"> Benchmark Replacement Adjustment.</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United States</w:t>
      </w:r>
      <w:r>
        <w:rPr>
          <w:rFonts w:ascii="Arial" w:cs="Arial" w:eastAsia="Arial" w:hAnsi="Arial"/>
          <w:sz w:val="22"/>
          <w:szCs w:val="22"/>
          <w:color w:val="auto"/>
        </w:rPr>
        <w:t>: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38</w:t>
      </w:r>
    </w:p>
    <w:p>
      <w:pPr>
        <w:sectPr>
          <w:pgSz w:w="11900" w:h="16838" w:orient="portrait"/>
          <w:cols w:equalWidth="0" w:num="1">
            <w:col w:w="11140"/>
          </w:cols>
          <w:pgMar w:left="320" w:top="1428" w:right="439" w:bottom="1440" w:gutter="0" w:footer="0" w:header="0"/>
        </w:sectPr>
      </w:pPr>
    </w:p>
    <w:bookmarkStart w:id="306" w:name="page307"/>
    <w:bookmarkEnd w:id="306"/>
    <w:p>
      <w:pPr>
        <w:jc w:val="both"/>
        <w:ind w:left="700" w:firstLine="648"/>
        <w:spacing w:after="0" w:line="263" w:lineRule="auto"/>
        <w:rPr>
          <w:sz w:val="20"/>
          <w:szCs w:val="20"/>
          <w:color w:val="auto"/>
        </w:rPr>
      </w:pPr>
      <w:r>
        <w:rPr>
          <w:rFonts w:ascii="Arial" w:cs="Arial" w:eastAsia="Arial" w:hAnsi="Arial"/>
          <w:sz w:val="22"/>
          <w:szCs w:val="22"/>
          <w:u w:val="single" w:color="auto"/>
          <w:color w:val="auto"/>
        </w:rPr>
        <w:t>Unmatured Termination Event</w:t>
      </w:r>
      <w:r>
        <w:rPr>
          <w:rFonts w:ascii="Arial" w:cs="Arial" w:eastAsia="Arial" w:hAnsi="Arial"/>
          <w:sz w:val="22"/>
          <w:szCs w:val="22"/>
          <w:color w:val="auto"/>
        </w:rPr>
        <w:t>: Any event that, with the giving of notice or the lapse of time, or both, would become a Termination Event.</w:t>
      </w:r>
    </w:p>
    <w:p>
      <w:pPr>
        <w:spacing w:after="0" w:line="215" w:lineRule="exact"/>
        <w:rPr>
          <w:sz w:val="20"/>
          <w:szCs w:val="20"/>
          <w:color w:val="auto"/>
        </w:rPr>
      </w:pPr>
    </w:p>
    <w:p>
      <w:pPr>
        <w:jc w:val="both"/>
        <w:ind w:left="700" w:firstLine="648"/>
        <w:spacing w:after="0" w:line="271" w:lineRule="auto"/>
        <w:rPr>
          <w:sz w:val="20"/>
          <w:szCs w:val="20"/>
          <w:color w:val="auto"/>
        </w:rPr>
      </w:pPr>
      <w:r>
        <w:rPr>
          <w:rFonts w:ascii="Arial" w:cs="Arial" w:eastAsia="Arial" w:hAnsi="Arial"/>
          <w:sz w:val="21"/>
          <w:szCs w:val="21"/>
          <w:u w:val="single" w:color="auto"/>
          <w:color w:val="auto"/>
        </w:rPr>
        <w:t>Unsatisfactory Audit</w:t>
      </w:r>
      <w:r>
        <w:rPr>
          <w:rFonts w:ascii="Arial" w:cs="Arial" w:eastAsia="Arial" w:hAnsi="Arial"/>
          <w:sz w:val="21"/>
          <w:szCs w:val="21"/>
          <w:color w:val="auto"/>
        </w:rPr>
        <w:t>: The occurrence of any audit exceptions resulting from any audit, inspection or review pursuant to Section 6.1(c), Section 6.2(e) or Section 6.9, which, in the reasonable judgment of the Deal Agent, would have a material adverse effect on the ability of the Servicer to identify and allocate Collections.</w:t>
      </w:r>
    </w:p>
    <w:p>
      <w:pPr>
        <w:spacing w:after="0" w:line="194"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auto"/>
        </w:rPr>
        <w:t>Unused Fee</w:t>
      </w:r>
      <w:r>
        <w:rPr>
          <w:rFonts w:ascii="Arial" w:cs="Arial" w:eastAsia="Arial" w:hAnsi="Arial"/>
          <w:sz w:val="22"/>
          <w:szCs w:val="22"/>
          <w:color w:val="auto"/>
        </w:rPr>
        <w:t>: With respect to each Lender, as defined in the Fee Letter related to such Lender.</w:t>
      </w: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2"/>
          <w:szCs w:val="22"/>
          <w:u w:val="single" w:color="auto"/>
          <w:color w:val="0000FF"/>
        </w:rPr>
        <w:t>USD LIBOR: The London interbank offered rate for U.S. dollars.</w:t>
      </w:r>
    </w:p>
    <w:p>
      <w:pPr>
        <w:spacing w:after="0" w:line="247" w:lineRule="exact"/>
        <w:rPr>
          <w:sz w:val="20"/>
          <w:szCs w:val="20"/>
          <w:color w:val="auto"/>
        </w:rPr>
      </w:pPr>
    </w:p>
    <w:p>
      <w:pPr>
        <w:jc w:val="both"/>
        <w:ind w:left="700" w:firstLine="648"/>
        <w:spacing w:after="0" w:line="265" w:lineRule="auto"/>
        <w:rPr>
          <w:sz w:val="20"/>
          <w:szCs w:val="20"/>
          <w:color w:val="auto"/>
        </w:rPr>
      </w:pPr>
      <w:r>
        <w:rPr>
          <w:rFonts w:ascii="Arial" w:cs="Arial" w:eastAsia="Arial" w:hAnsi="Arial"/>
          <w:sz w:val="21"/>
          <w:szCs w:val="21"/>
          <w:u w:val="single" w:color="auto"/>
          <w:color w:val="auto"/>
        </w:rPr>
        <w:t>Weighted Average Final Score</w:t>
      </w:r>
      <w:r>
        <w:rPr>
          <w:rFonts w:ascii="Arial" w:cs="Arial" w:eastAsia="Arial" w:hAnsi="Arial"/>
          <w:sz w:val="21"/>
          <w:szCs w:val="21"/>
          <w:color w:val="auto"/>
        </w:rPr>
        <w:t>: With respect to each Payment Date during the Revolving Period, the ratio, expressed as a percentage, where (i) the numerator is equal to the aggregate for all Dealers of the product of (a) the Final Score of each Dealer and (b) the aggregate outstanding Net Loan Balance of all Eligible Loans for such Dealer and (ii) the denominator is equal to the Aggregate Outstanding Net Eligible Loan Balance.</w:t>
      </w:r>
    </w:p>
    <w:p>
      <w:pPr>
        <w:spacing w:after="0" w:line="216" w:lineRule="exact"/>
        <w:rPr>
          <w:sz w:val="20"/>
          <w:szCs w:val="20"/>
          <w:color w:val="auto"/>
        </w:rPr>
      </w:pPr>
    </w:p>
    <w:p>
      <w:pPr>
        <w:jc w:val="both"/>
        <w:ind w:left="700" w:firstLine="648"/>
        <w:spacing w:after="0" w:line="249" w:lineRule="auto"/>
        <w:rPr>
          <w:sz w:val="20"/>
          <w:szCs w:val="20"/>
          <w:color w:val="auto"/>
        </w:rPr>
      </w:pPr>
      <w:r>
        <w:rPr>
          <w:rFonts w:ascii="Arial" w:cs="Arial" w:eastAsia="Arial" w:hAnsi="Arial"/>
          <w:sz w:val="22"/>
          <w:szCs w:val="22"/>
          <w:u w:val="single" w:color="auto"/>
          <w:color w:val="auto"/>
        </w:rPr>
        <w:t>Weighted Average Original Advance Rate</w:t>
      </w:r>
      <w:r>
        <w:rPr>
          <w:rFonts w:ascii="Arial" w:cs="Arial" w:eastAsia="Arial" w:hAnsi="Arial"/>
          <w:sz w:val="22"/>
          <w:szCs w:val="22"/>
          <w:color w:val="auto"/>
        </w:rPr>
        <w:t>: With respect to each Payment Date during the Revolving Period, the ratio, expressed as a percentage, where (i) the numerator is equal to the aggregate for all Dealers of the product of (a) the Original Advance Rate of each Dealer and</w:t>
      </w:r>
    </w:p>
    <w:p>
      <w:pPr>
        <w:ind w:left="700" w:right="20" w:hanging="8"/>
        <w:spacing w:after="0" w:line="246" w:lineRule="auto"/>
        <w:tabs>
          <w:tab w:leader="none" w:pos="1006"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aggregate outstanding Net Loan Balance of all Eligible Loans for such Dealer and (ii) the denominator is equal to the Aggregate Outstanding Net Eligible Loan Balance.</w:t>
      </w:r>
    </w:p>
    <w:p>
      <w:pPr>
        <w:spacing w:after="0" w:line="233" w:lineRule="exact"/>
        <w:rPr>
          <w:sz w:val="20"/>
          <w:szCs w:val="20"/>
          <w:color w:val="auto"/>
        </w:rPr>
      </w:pPr>
    </w:p>
    <w:p>
      <w:pPr>
        <w:ind w:left="700" w:firstLine="648"/>
        <w:spacing w:after="0" w:line="333" w:lineRule="auto"/>
        <w:rPr>
          <w:sz w:val="20"/>
          <w:szCs w:val="20"/>
          <w:color w:val="auto"/>
        </w:rPr>
      </w:pPr>
      <w:r>
        <w:rPr>
          <w:rFonts w:ascii="Arial" w:cs="Arial" w:eastAsia="Arial" w:hAnsi="Arial"/>
          <w:sz w:val="19"/>
          <w:szCs w:val="19"/>
          <w:u w:val="single" w:color="auto"/>
          <w:color w:val="auto"/>
        </w:rPr>
        <w:t>Weighted Average Spread Rate</w:t>
      </w:r>
      <w:r>
        <w:rPr>
          <w:rFonts w:ascii="Arial" w:cs="Arial" w:eastAsia="Arial" w:hAnsi="Arial"/>
          <w:sz w:val="19"/>
          <w:szCs w:val="19"/>
          <w:color w:val="auto"/>
        </w:rPr>
        <w:t>: With respect to each Payment Date during the Revolving Period, one minus the Weighted Average Original Advance Rate divided by the Weighted Average Final Score (expressed as a percentage).</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9"/>
          <w:szCs w:val="19"/>
          <w:u w:val="single" w:color="auto"/>
          <w:color w:val="auto"/>
        </w:rPr>
        <w:t>Wells Fargo</w:t>
      </w:r>
      <w:r>
        <w:rPr>
          <w:rFonts w:ascii="Arial" w:cs="Arial" w:eastAsia="Arial" w:hAnsi="Arial"/>
          <w:sz w:val="19"/>
          <w:szCs w:val="19"/>
          <w:color w:val="auto"/>
        </w:rPr>
        <w:t xml:space="preserve">: Wells Fargo Bank, National Association, and it successors and assigns. </w:t>
      </w:r>
      <w:r>
        <w:rPr>
          <w:rFonts w:ascii="Arial" w:cs="Arial" w:eastAsia="Arial" w:hAnsi="Arial"/>
          <w:sz w:val="19"/>
          <w:szCs w:val="19"/>
          <w:u w:val="single" w:color="auto"/>
          <w:color w:val="auto"/>
        </w:rPr>
        <w:t>Yield</w:t>
      </w:r>
      <w:r>
        <w:rPr>
          <w:rFonts w:ascii="Arial" w:cs="Arial" w:eastAsia="Arial" w:hAnsi="Arial"/>
          <w:sz w:val="19"/>
          <w:szCs w:val="19"/>
          <w:color w:val="auto"/>
        </w:rPr>
        <w:t>: With respect to each</w:t>
      </w:r>
    </w:p>
    <w:p>
      <w:pPr>
        <w:spacing w:after="0" w:line="241"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Lender and its portion of the Capital, with respect to any</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Accrual Period, the sum of the products (for each day during such Accrual Period) of:</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1020" w:type="dxa"/>
            <w:vAlign w:val="bottom"/>
          </w:tcPr>
          <w:p>
            <w:pPr>
              <w:spacing w:after="0"/>
              <w:rPr>
                <w:sz w:val="21"/>
                <w:szCs w:val="21"/>
                <w:color w:val="auto"/>
              </w:rPr>
            </w:pPr>
          </w:p>
        </w:tc>
        <w:tc>
          <w:tcPr>
            <w:tcW w:w="6400" w:type="dxa"/>
            <w:vAlign w:val="bottom"/>
            <w:gridSpan w:val="3"/>
          </w:tcPr>
          <w:p>
            <w:pPr>
              <w:jc w:val="center"/>
              <w:ind w:left="1392"/>
              <w:spacing w:after="0"/>
              <w:rPr>
                <w:sz w:val="20"/>
                <w:szCs w:val="20"/>
                <w:color w:val="auto"/>
              </w:rPr>
            </w:pPr>
            <w:r>
              <w:rPr>
                <w:rFonts w:ascii="Arial" w:cs="Arial" w:eastAsia="Arial" w:hAnsi="Arial"/>
                <w:sz w:val="22"/>
                <w:szCs w:val="22"/>
                <w:color w:val="auto"/>
                <w:w w:val="93"/>
              </w:rPr>
              <w:t>YR x C x 1</w:t>
            </w:r>
          </w:p>
        </w:tc>
      </w:tr>
      <w:tr>
        <w:trPr>
          <w:trHeight w:val="287"/>
        </w:trPr>
        <w:tc>
          <w:tcPr>
            <w:tcW w:w="1020" w:type="dxa"/>
            <w:vAlign w:val="bottom"/>
          </w:tcPr>
          <w:p>
            <w:pPr>
              <w:spacing w:after="0"/>
              <w:rPr>
                <w:sz w:val="24"/>
                <w:szCs w:val="24"/>
                <w:color w:val="auto"/>
              </w:rPr>
            </w:pPr>
          </w:p>
        </w:tc>
        <w:tc>
          <w:tcPr>
            <w:tcW w:w="4320" w:type="dxa"/>
            <w:vAlign w:val="bottom"/>
          </w:tcPr>
          <w:p>
            <w:pPr>
              <w:jc w:val="right"/>
              <w:ind w:right="112"/>
              <w:spacing w:after="0"/>
              <w:rPr>
                <w:sz w:val="20"/>
                <w:szCs w:val="20"/>
                <w:color w:val="auto"/>
              </w:rPr>
            </w:pPr>
            <w:r>
              <w:rPr>
                <w:rFonts w:ascii="Arial" w:cs="Arial" w:eastAsia="Arial" w:hAnsi="Arial"/>
                <w:sz w:val="22"/>
                <w:szCs w:val="22"/>
                <w:color w:val="auto"/>
              </w:rPr>
              <w:t>360</w:t>
            </w:r>
          </w:p>
        </w:tc>
        <w:tc>
          <w:tcPr>
            <w:tcW w:w="12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r>
      <w:tr>
        <w:trPr>
          <w:trHeight w:val="499"/>
        </w:trPr>
        <w:tc>
          <w:tcPr>
            <w:tcW w:w="1020" w:type="dxa"/>
            <w:vAlign w:val="bottom"/>
          </w:tcPr>
          <w:p>
            <w:pPr>
              <w:spacing w:after="0"/>
              <w:rPr>
                <w:sz w:val="20"/>
                <w:szCs w:val="20"/>
                <w:color w:val="auto"/>
              </w:rPr>
            </w:pPr>
            <w:r>
              <w:rPr>
                <w:rFonts w:ascii="Arial" w:cs="Arial" w:eastAsia="Arial" w:hAnsi="Arial"/>
                <w:sz w:val="20"/>
                <w:szCs w:val="20"/>
                <w:color w:val="auto"/>
              </w:rPr>
              <w:t xml:space="preserve">where:  </w:t>
            </w:r>
            <w:r>
              <w:rPr>
                <w:rFonts w:ascii="Arial" w:cs="Arial" w:eastAsia="Arial" w:hAnsi="Arial"/>
                <w:sz w:val="21"/>
                <w:szCs w:val="21"/>
                <w:color w:val="auto"/>
              </w:rPr>
              <w:t>C</w:t>
            </w:r>
          </w:p>
        </w:tc>
        <w:tc>
          <w:tcPr>
            <w:tcW w:w="6400" w:type="dxa"/>
            <w:vAlign w:val="bottom"/>
            <w:gridSpan w:val="3"/>
          </w:tcPr>
          <w:p>
            <w:pPr>
              <w:ind w:left="80"/>
              <w:spacing w:after="0"/>
              <w:rPr>
                <w:sz w:val="20"/>
                <w:szCs w:val="20"/>
                <w:color w:val="auto"/>
              </w:rPr>
            </w:pPr>
            <w:r>
              <w:rPr>
                <w:rFonts w:ascii="Arial" w:cs="Arial" w:eastAsia="Arial" w:hAnsi="Arial"/>
                <w:sz w:val="22"/>
                <w:szCs w:val="22"/>
                <w:color w:val="auto"/>
                <w:w w:val="90"/>
              </w:rPr>
              <w:t>=  the outstanding principal amount of the Advance of such Lender; and</w:t>
            </w:r>
          </w:p>
        </w:tc>
      </w:tr>
      <w:tr>
        <w:trPr>
          <w:trHeight w:val="500"/>
        </w:trPr>
        <w:tc>
          <w:tcPr>
            <w:tcW w:w="1020" w:type="dxa"/>
            <w:vAlign w:val="bottom"/>
          </w:tcPr>
          <w:p>
            <w:pPr>
              <w:ind w:left="640"/>
              <w:spacing w:after="0"/>
              <w:rPr>
                <w:sz w:val="20"/>
                <w:szCs w:val="20"/>
                <w:color w:val="auto"/>
              </w:rPr>
            </w:pPr>
            <w:r>
              <w:rPr>
                <w:rFonts w:ascii="Arial" w:cs="Arial" w:eastAsia="Arial" w:hAnsi="Arial"/>
                <w:sz w:val="22"/>
                <w:szCs w:val="22"/>
                <w:color w:val="auto"/>
              </w:rPr>
              <w:t>YR</w:t>
            </w:r>
          </w:p>
        </w:tc>
        <w:tc>
          <w:tcPr>
            <w:tcW w:w="6400" w:type="dxa"/>
            <w:vAlign w:val="bottom"/>
            <w:gridSpan w:val="3"/>
          </w:tcPr>
          <w:p>
            <w:pPr>
              <w:ind w:left="140"/>
              <w:spacing w:after="0"/>
              <w:rPr>
                <w:sz w:val="20"/>
                <w:szCs w:val="20"/>
                <w:color w:val="auto"/>
              </w:rPr>
            </w:pPr>
            <w:r>
              <w:rPr>
                <w:rFonts w:ascii="Arial" w:cs="Arial" w:eastAsia="Arial" w:hAnsi="Arial"/>
                <w:sz w:val="22"/>
                <w:szCs w:val="22"/>
                <w:color w:val="auto"/>
              </w:rPr>
              <w:t>=  the Yield Rate for such Lender applicable on such day;</w:t>
            </w:r>
          </w:p>
        </w:tc>
      </w:tr>
    </w:tbl>
    <w:p>
      <w:pPr>
        <w:spacing w:after="0" w:line="306" w:lineRule="exact"/>
        <w:rPr>
          <w:sz w:val="20"/>
          <w:szCs w:val="20"/>
          <w:color w:val="auto"/>
        </w:rPr>
      </w:pPr>
    </w:p>
    <w:p>
      <w:pPr>
        <w:ind w:left="700" w:right="80"/>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 no provision of this Agreement shall require the payment or permit the collection of Yield in excess of the maximum permitted by Applicable Law and (ii) Yield</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39</w:t>
      </w:r>
    </w:p>
    <w:p>
      <w:pPr>
        <w:sectPr>
          <w:pgSz w:w="11900" w:h="16838" w:orient="portrait"/>
          <w:cols w:equalWidth="0" w:num="1">
            <w:col w:w="11140"/>
          </w:cols>
          <w:pgMar w:left="320" w:top="1428" w:right="439" w:bottom="1440" w:gutter="0" w:footer="0" w:header="0"/>
        </w:sectPr>
      </w:pPr>
    </w:p>
    <w:bookmarkStart w:id="307" w:name="page308"/>
    <w:bookmarkEnd w:id="307"/>
    <w:p>
      <w:pPr>
        <w:ind w:left="700" w:right="720"/>
        <w:spacing w:after="0" w:line="263" w:lineRule="auto"/>
        <w:rPr>
          <w:sz w:val="20"/>
          <w:szCs w:val="20"/>
          <w:color w:val="auto"/>
        </w:rPr>
      </w:pPr>
      <w:r>
        <w:rPr>
          <w:rFonts w:ascii="Arial" w:cs="Arial" w:eastAsia="Arial" w:hAnsi="Arial"/>
          <w:sz w:val="22"/>
          <w:szCs w:val="22"/>
          <w:color w:val="auto"/>
        </w:rPr>
        <w:t>shall not be considered paid by any distribution if at any time such distribution is rescinded or must otherwise be returned for any reason.</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19"/>
          <w:szCs w:val="19"/>
          <w:u w:val="single" w:color="auto"/>
          <w:color w:val="auto"/>
        </w:rPr>
        <w:t>Yield Rate</w:t>
      </w:r>
      <w:r>
        <w:rPr>
          <w:rFonts w:ascii="Arial" w:cs="Arial" w:eastAsia="Arial" w:hAnsi="Arial"/>
          <w:sz w:val="19"/>
          <w:szCs w:val="19"/>
          <w:color w:val="auto"/>
        </w:rPr>
        <w:t>: For any Accrual Period and for the aggregate principal amount of the Advance allocated to such</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Accrual Period:</w:t>
      </w:r>
    </w:p>
    <w:p>
      <w:pPr>
        <w:spacing w:after="0" w:line="229" w:lineRule="exact"/>
        <w:rPr>
          <w:sz w:val="20"/>
          <w:szCs w:val="20"/>
          <w:color w:val="auto"/>
        </w:rPr>
      </w:pPr>
    </w:p>
    <w:p>
      <w:pPr>
        <w:ind w:left="700" w:right="40" w:firstLine="694"/>
        <w:spacing w:after="0" w:line="263" w:lineRule="auto"/>
        <w:tabs>
          <w:tab w:leader="none" w:pos="1952" w:val="left"/>
        </w:tabs>
        <w:numPr>
          <w:ilvl w:val="0"/>
          <w:numId w:val="302"/>
        </w:numPr>
        <w:rPr>
          <w:rFonts w:ascii="Arial" w:cs="Arial" w:eastAsia="Arial" w:hAnsi="Arial"/>
          <w:sz w:val="22"/>
          <w:szCs w:val="22"/>
          <w:color w:val="auto"/>
        </w:rPr>
      </w:pPr>
      <w:r>
        <w:rPr>
          <w:rFonts w:ascii="Arial" w:cs="Arial" w:eastAsia="Arial" w:hAnsi="Arial"/>
          <w:sz w:val="22"/>
          <w:szCs w:val="22"/>
          <w:color w:val="auto"/>
        </w:rPr>
        <w:t xml:space="preserve">prior to the occurrence of an Amortization Event or a Termination Event, a rate equal to the </w:t>
      </w:r>
      <w:r>
        <w:rPr>
          <w:rFonts w:ascii="Arial" w:cs="Arial" w:eastAsia="Arial" w:hAnsi="Arial"/>
          <w:sz w:val="22"/>
          <w:szCs w:val="22"/>
          <w:color w:val="FF0000"/>
          <w:strike w:val="1"/>
        </w:rPr>
        <w:t>Alternative</w:t>
      </w:r>
      <w:r>
        <w:rPr>
          <w:rFonts w:ascii="Arial" w:cs="Arial" w:eastAsia="Arial" w:hAnsi="Arial"/>
          <w:sz w:val="22"/>
          <w:szCs w:val="22"/>
          <w:color w:val="auto"/>
        </w:rPr>
        <w:t xml:space="preserve"> </w:t>
      </w:r>
      <w:r>
        <w:rPr>
          <w:rFonts w:ascii="Arial" w:cs="Arial" w:eastAsia="Arial" w:hAnsi="Arial"/>
          <w:sz w:val="22"/>
          <w:szCs w:val="22"/>
          <w:color w:val="FF0000"/>
          <w:strike w:val="1"/>
        </w:rPr>
        <w:t>Rate</w:t>
      </w:r>
      <w:r>
        <w:rPr>
          <w:rFonts w:ascii="Arial" w:cs="Arial" w:eastAsia="Arial" w:hAnsi="Arial"/>
          <w:sz w:val="22"/>
          <w:szCs w:val="22"/>
          <w:u w:val="single" w:color="auto"/>
          <w:color w:val="0000FF"/>
        </w:rPr>
        <w:t>Benchmark</w:t>
      </w:r>
      <w:r>
        <w:rPr>
          <w:rFonts w:ascii="Arial" w:cs="Arial" w:eastAsia="Arial" w:hAnsi="Arial"/>
          <w:sz w:val="22"/>
          <w:szCs w:val="22"/>
          <w:color w:val="000000"/>
        </w:rPr>
        <w:t>; or</w:t>
      </w:r>
    </w:p>
    <w:p>
      <w:pPr>
        <w:spacing w:after="0" w:line="215" w:lineRule="exact"/>
        <w:rPr>
          <w:rFonts w:ascii="Arial" w:cs="Arial" w:eastAsia="Arial" w:hAnsi="Arial"/>
          <w:sz w:val="22"/>
          <w:szCs w:val="22"/>
          <w:color w:val="auto"/>
        </w:rPr>
      </w:pPr>
    </w:p>
    <w:p>
      <w:pPr>
        <w:ind w:left="700" w:right="40" w:firstLine="721"/>
        <w:spacing w:after="0" w:line="263" w:lineRule="auto"/>
        <w:tabs>
          <w:tab w:leader="none" w:pos="1951" w:val="left"/>
        </w:tabs>
        <w:numPr>
          <w:ilvl w:val="1"/>
          <w:numId w:val="302"/>
        </w:numPr>
        <w:rPr>
          <w:rFonts w:ascii="Arial" w:cs="Arial" w:eastAsia="Arial" w:hAnsi="Arial"/>
          <w:sz w:val="22"/>
          <w:szCs w:val="22"/>
          <w:color w:val="auto"/>
        </w:rPr>
      </w:pPr>
      <w:r>
        <w:rPr>
          <w:rFonts w:ascii="Arial" w:cs="Arial" w:eastAsia="Arial" w:hAnsi="Arial"/>
          <w:sz w:val="22"/>
          <w:szCs w:val="22"/>
          <w:color w:val="auto"/>
        </w:rPr>
        <w:t>on and after the occurrence of an Amortization Event or a Termination Event, with respect to any Lender, the rate provided in the applicable Fee Letter;</w:t>
      </w:r>
    </w:p>
    <w:p>
      <w:pPr>
        <w:spacing w:after="0" w:line="202" w:lineRule="exact"/>
        <w:rPr>
          <w:sz w:val="20"/>
          <w:szCs w:val="20"/>
          <w:color w:val="auto"/>
        </w:rPr>
      </w:pPr>
    </w:p>
    <w:p>
      <w:pPr>
        <w:jc w:val="both"/>
        <w:ind w:left="700" w:right="20" w:firstLine="648"/>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the Yield Rate shall be the Base Rate for any Accrual Period for any portion of the Advance as to which any Lender has funded the acquisition thereof on any day other than the first day of such Accrual Period and without such Lender(s) having received at least two Business Days’ prior notice of such funding pursuant to the provisions of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96" w:lineRule="exact"/>
        <w:rPr>
          <w:sz w:val="20"/>
          <w:szCs w:val="20"/>
          <w:color w:val="auto"/>
        </w:rPr>
      </w:pPr>
    </w:p>
    <w:p>
      <w:pPr>
        <w:jc w:val="both"/>
        <w:ind w:left="700" w:firstLine="648"/>
        <w:spacing w:after="0" w:line="253"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Other Terms</w:t>
      </w:r>
      <w:r>
        <w:rPr>
          <w:rFonts w:ascii="Arial" w:cs="Arial" w:eastAsia="Arial" w:hAnsi="Arial"/>
          <w:sz w:val="22"/>
          <w:szCs w:val="22"/>
          <w:color w:val="auto"/>
        </w:rPr>
        <w:t>. All accounting terms used but not specifically defined herein shall be construed in accordance with GAAP. All terms used in Article 9 of the UCC in the State of New York, and used but not specifically defined herein, are used herein as defined in such Article 9.</w:t>
      </w:r>
    </w:p>
    <w:p>
      <w:pPr>
        <w:spacing w:after="0" w:line="226" w:lineRule="exact"/>
        <w:rPr>
          <w:sz w:val="20"/>
          <w:szCs w:val="20"/>
          <w:color w:val="auto"/>
        </w:rPr>
      </w:pPr>
    </w:p>
    <w:p>
      <w:pPr>
        <w:jc w:val="both"/>
        <w:ind w:left="700" w:right="20" w:firstLine="648"/>
        <w:spacing w:after="0" w:line="253"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Computation of Time Periods</w:t>
      </w:r>
      <w:r>
        <w:rPr>
          <w:rFonts w:ascii="Arial" w:cs="Arial" w:eastAsia="Arial" w:hAnsi="Arial"/>
          <w:sz w:val="22"/>
          <w:szCs w:val="22"/>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22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Interpretation</w:t>
      </w:r>
      <w:r>
        <w:rPr>
          <w:rFonts w:ascii="Arial" w:cs="Arial" w:eastAsia="Arial" w:hAnsi="Arial"/>
          <w:sz w:val="22"/>
          <w:szCs w:val="22"/>
          <w:color w:val="auto"/>
        </w:rPr>
        <w:t>. In each Transaction Document, unless a contrary intention appears:</w:t>
      </w:r>
    </w:p>
    <w:p>
      <w:pPr>
        <w:spacing w:after="0" w:line="247" w:lineRule="exact"/>
        <w:rPr>
          <w:sz w:val="20"/>
          <w:szCs w:val="20"/>
          <w:color w:val="auto"/>
        </w:rPr>
      </w:pPr>
    </w:p>
    <w:p>
      <w:pPr>
        <w:ind w:left="3240"/>
        <w:spacing w:after="0"/>
        <w:tabs>
          <w:tab w:leader="none" w:pos="36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the singular number includes the plural number and vice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versa;</w:t>
      </w:r>
    </w:p>
    <w:p>
      <w:pPr>
        <w:spacing w:after="0" w:line="235" w:lineRule="exact"/>
        <w:rPr>
          <w:sz w:val="20"/>
          <w:szCs w:val="20"/>
          <w:color w:val="auto"/>
        </w:rPr>
      </w:pPr>
    </w:p>
    <w:p>
      <w:pPr>
        <w:ind w:left="3880" w:hanging="632"/>
        <w:spacing w:after="0"/>
        <w:tabs>
          <w:tab w:leader="none" w:pos="3880" w:val="left"/>
        </w:tabs>
        <w:numPr>
          <w:ilvl w:val="0"/>
          <w:numId w:val="303"/>
        </w:numPr>
        <w:rPr>
          <w:rFonts w:ascii="Arial" w:cs="Arial" w:eastAsia="Arial" w:hAnsi="Arial"/>
          <w:sz w:val="18"/>
          <w:szCs w:val="18"/>
          <w:color w:val="auto"/>
        </w:rPr>
      </w:pPr>
      <w:r>
        <w:rPr>
          <w:rFonts w:ascii="Arial" w:cs="Arial" w:eastAsia="Arial" w:hAnsi="Arial"/>
          <w:sz w:val="19"/>
          <w:szCs w:val="19"/>
          <w:color w:val="auto"/>
        </w:rPr>
        <w:t>reference to any Person includes such Person’s successors and assigns but, if</w:t>
      </w:r>
    </w:p>
    <w:p>
      <w:pPr>
        <w:spacing w:after="0" w:line="5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applicable, only if such successors and assigns are permitted by the Transaction Documents;</w:t>
      </w:r>
    </w:p>
    <w:p>
      <w:pPr>
        <w:spacing w:after="0" w:line="66" w:lineRule="exact"/>
        <w:rPr>
          <w:rFonts w:ascii="Arial" w:cs="Arial" w:eastAsia="Arial" w:hAnsi="Arial"/>
          <w:sz w:val="18"/>
          <w:szCs w:val="18"/>
          <w:color w:val="auto"/>
        </w:rPr>
      </w:pPr>
    </w:p>
    <w:p>
      <w:pPr>
        <w:ind w:left="3940" w:hanging="656"/>
        <w:spacing w:after="0"/>
        <w:tabs>
          <w:tab w:leader="none" w:pos="394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reference to any gender includes each other gender;</w:t>
      </w:r>
    </w:p>
    <w:p>
      <w:pPr>
        <w:spacing w:after="0" w:line="246" w:lineRule="exact"/>
        <w:rPr>
          <w:rFonts w:ascii="Arial" w:cs="Arial" w:eastAsia="Arial" w:hAnsi="Arial"/>
          <w:sz w:val="22"/>
          <w:szCs w:val="22"/>
          <w:color w:val="auto"/>
        </w:rPr>
      </w:pPr>
    </w:p>
    <w:p>
      <w:pPr>
        <w:jc w:val="both"/>
        <w:ind w:left="700" w:firstLine="2584"/>
        <w:spacing w:after="0" w:line="248" w:lineRule="auto"/>
        <w:tabs>
          <w:tab w:leader="none" w:pos="3902" w:val="left"/>
        </w:tabs>
        <w:numPr>
          <w:ilvl w:val="1"/>
          <w:numId w:val="303"/>
        </w:numPr>
        <w:rPr>
          <w:rFonts w:ascii="Arial" w:cs="Arial" w:eastAsia="Arial" w:hAnsi="Arial"/>
          <w:sz w:val="22"/>
          <w:szCs w:val="22"/>
          <w:color w:val="auto"/>
        </w:rPr>
      </w:pPr>
      <w:r>
        <w:rPr>
          <w:rFonts w:ascii="Arial" w:cs="Arial" w:eastAsia="Arial" w:hAnsi="Arial"/>
          <w:sz w:val="22"/>
          <w:szCs w:val="22"/>
          <w:color w:val="auto"/>
        </w:rPr>
        <w:t>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 and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40</w:t>
      </w:r>
    </w:p>
    <w:p>
      <w:pPr>
        <w:sectPr>
          <w:pgSz w:w="11900" w:h="16838" w:orient="portrait"/>
          <w:cols w:equalWidth="0" w:num="1">
            <w:col w:w="11140"/>
          </w:cols>
          <w:pgMar w:left="320" w:top="1428" w:right="439" w:bottom="1440" w:gutter="0" w:footer="0" w:header="0"/>
        </w:sectPr>
      </w:pPr>
    </w:p>
    <w:bookmarkStart w:id="308" w:name="page309"/>
    <w:bookmarkEnd w:id="308"/>
    <w:p>
      <w:pPr>
        <w:jc w:val="both"/>
        <w:ind w:right="40" w:firstLine="2924"/>
        <w:spacing w:after="0" w:line="248" w:lineRule="auto"/>
        <w:tabs>
          <w:tab w:leader="none" w:pos="3485" w:val="left"/>
        </w:tabs>
        <w:numPr>
          <w:ilvl w:val="0"/>
          <w:numId w:val="304"/>
        </w:numPr>
        <w:rPr>
          <w:rFonts w:ascii="Arial" w:cs="Arial" w:eastAsia="Arial" w:hAnsi="Arial"/>
          <w:sz w:val="22"/>
          <w:szCs w:val="22"/>
          <w:color w:val="auto"/>
        </w:rPr>
      </w:pPr>
      <w:r>
        <w:rPr>
          <w:rFonts w:ascii="Arial" w:cs="Arial" w:eastAsia="Arial" w:hAnsi="Arial"/>
          <w:sz w:val="22"/>
          <w:szCs w:val="22"/>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THE LOAN FACILITY</w:t>
      </w:r>
    </w:p>
    <w:p>
      <w:pPr>
        <w:spacing w:after="0" w:line="229"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Funding of the Advance</w:t>
      </w:r>
      <w:r>
        <w:rPr>
          <w:rFonts w:ascii="Arial" w:cs="Arial" w:eastAsia="Arial" w:hAnsi="Arial"/>
          <w:sz w:val="19"/>
          <w:szCs w:val="19"/>
          <w:color w:val="auto"/>
        </w:rPr>
        <w:t>.</w:t>
      </w:r>
    </w:p>
    <w:p>
      <w:pPr>
        <w:spacing w:after="0" w:line="260" w:lineRule="exact"/>
        <w:rPr>
          <w:sz w:val="20"/>
          <w:szCs w:val="20"/>
          <w:color w:val="auto"/>
        </w:rPr>
      </w:pPr>
    </w:p>
    <w:p>
      <w:pPr>
        <w:jc w:val="both"/>
        <w:ind w:left="120" w:right="20" w:firstLine="1940"/>
        <w:spacing w:after="0" w:line="258" w:lineRule="auto"/>
        <w:tabs>
          <w:tab w:leader="none" w:pos="2601" w:val="left"/>
        </w:tabs>
        <w:numPr>
          <w:ilvl w:val="0"/>
          <w:numId w:val="305"/>
        </w:numPr>
        <w:rPr>
          <w:rFonts w:ascii="Arial" w:cs="Arial" w:eastAsia="Arial" w:hAnsi="Arial"/>
          <w:sz w:val="21"/>
          <w:szCs w:val="21"/>
          <w:color w:val="auto"/>
        </w:rPr>
      </w:pPr>
      <w:r>
        <w:rPr>
          <w:rFonts w:ascii="Arial" w:cs="Arial" w:eastAsia="Arial" w:hAnsi="Arial"/>
          <w:sz w:val="21"/>
          <w:szCs w:val="21"/>
          <w:color w:val="auto"/>
        </w:rPr>
        <w:t>(i) On the terms and conditions hereinafter set forth (including, without limitation, the conditions set forth in Sections 3.1 and 3.2), the Borrower may, at its option, on the Closing Date and on any Funding Date request an advance (an “</w:t>
      </w:r>
      <w:r>
        <w:rPr>
          <w:rFonts w:ascii="Arial" w:cs="Arial" w:eastAsia="Arial" w:hAnsi="Arial"/>
          <w:sz w:val="21"/>
          <w:szCs w:val="21"/>
          <w:u w:val="single" w:color="auto"/>
          <w:color w:val="auto"/>
        </w:rPr>
        <w:t>Advance</w:t>
      </w:r>
      <w:r>
        <w:rPr>
          <w:rFonts w:ascii="Arial" w:cs="Arial" w:eastAsia="Arial" w:hAnsi="Arial"/>
          <w:sz w:val="21"/>
          <w:szCs w:val="21"/>
          <w:color w:val="auto"/>
        </w:rPr>
        <w:t>” or a “</w:t>
      </w:r>
      <w:r>
        <w:rPr>
          <w:rFonts w:ascii="Arial" w:cs="Arial" w:eastAsia="Arial" w:hAnsi="Arial"/>
          <w:sz w:val="21"/>
          <w:szCs w:val="21"/>
          <w:u w:val="single" w:color="auto"/>
          <w:color w:val="auto"/>
        </w:rPr>
        <w:t>Funding</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2.3</w:t>
      </w:r>
      <w:r>
        <w:rPr>
          <w:rFonts w:ascii="Arial" w:cs="Arial" w:eastAsia="Arial" w:hAnsi="Arial"/>
          <w:sz w:val="21"/>
          <w:szCs w:val="21"/>
          <w:color w:val="auto"/>
        </w:rPr>
        <w:t>. Following receipt of any such request, each Lender agrees that it shall advance its pro rata portion of such requested Advance, subject to fulfillment of the conditions contained herein, during the period from the date hereof to but not including the Termination Date. Under no circumstances shall any Lender make an Advance if, after giving effect to such Advance, (A) the aggregate Capital outstanding hereunder would exceed the lesser of (i) the Facility Limit and (ii) the Borrowing Base or (B) with respect to each Lender, the aggregate Capital funded or maintained by such Lender would exceed its pro rata portion of the aggregate Capital outstanding. Upon the occurrence of an Amortization Event or the occurrence or declaration of the Termination Date, the Borrower may not request and no Lender shall be required to effect any Funding.</w:t>
      </w:r>
    </w:p>
    <w:p>
      <w:pPr>
        <w:spacing w:after="0" w:line="225" w:lineRule="exact"/>
        <w:rPr>
          <w:rFonts w:ascii="Arial" w:cs="Arial" w:eastAsia="Arial" w:hAnsi="Arial"/>
          <w:sz w:val="21"/>
          <w:szCs w:val="21"/>
          <w:color w:val="auto"/>
        </w:rPr>
      </w:pPr>
    </w:p>
    <w:p>
      <w:pPr>
        <w:jc w:val="both"/>
        <w:ind w:left="120" w:firstLine="1940"/>
        <w:spacing w:after="0" w:line="292" w:lineRule="auto"/>
        <w:tabs>
          <w:tab w:leader="none" w:pos="2599" w:val="left"/>
        </w:tabs>
        <w:numPr>
          <w:ilvl w:val="0"/>
          <w:numId w:val="305"/>
        </w:numPr>
        <w:rPr>
          <w:rFonts w:ascii="Arial" w:cs="Arial" w:eastAsia="Arial" w:hAnsi="Arial"/>
          <w:sz w:val="19"/>
          <w:szCs w:val="19"/>
          <w:color w:val="auto"/>
        </w:rPr>
      </w:pPr>
      <w:r>
        <w:rPr>
          <w:rFonts w:ascii="Arial" w:cs="Arial" w:eastAsia="Arial" w:hAnsi="Arial"/>
          <w:sz w:val="19"/>
          <w:szCs w:val="19"/>
          <w:color w:val="auto"/>
        </w:rPr>
        <w:t xml:space="preserve">(i) The Borrower may, within 60 days, but no later than 45 days, prior to the then existing Commitment Termination Date, by written notice to the Deal Agent and each Lender, make written request for the Lenders to extend the Commitment Termination Date for an additional period as specified by the Borrower. Each Lender shall make a determination, in its sole discretion, not less than 15 days prior to the then applicable Commitment Termination Date as to whether or not it will agree to extend the Commitment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Lender to make a timely response to the Borrower’s request for extension of the Commitment Termination Date shall be deemed to constitute a refusal by such Lender to extend the Commitment Termination Date.</w:t>
      </w:r>
    </w:p>
    <w:p>
      <w:pPr>
        <w:spacing w:after="0" w:line="177" w:lineRule="exact"/>
        <w:rPr>
          <w:rFonts w:ascii="Arial" w:cs="Arial" w:eastAsia="Arial" w:hAnsi="Arial"/>
          <w:sz w:val="19"/>
          <w:szCs w:val="19"/>
          <w:color w:val="auto"/>
        </w:rPr>
      </w:pPr>
    </w:p>
    <w:p>
      <w:pPr>
        <w:jc w:val="both"/>
        <w:ind w:left="120" w:right="20" w:firstLine="2588"/>
        <w:spacing w:after="0" w:line="290" w:lineRule="auto"/>
        <w:tabs>
          <w:tab w:leader="none" w:pos="3247" w:val="left"/>
        </w:tabs>
        <w:numPr>
          <w:ilvl w:val="1"/>
          <w:numId w:val="305"/>
        </w:numPr>
        <w:rPr>
          <w:rFonts w:ascii="Arial" w:cs="Arial" w:eastAsia="Arial" w:hAnsi="Arial"/>
          <w:sz w:val="19"/>
          <w:szCs w:val="19"/>
          <w:color w:val="auto"/>
        </w:rPr>
      </w:pPr>
      <w:r>
        <w:rPr>
          <w:rFonts w:ascii="Arial" w:cs="Arial" w:eastAsia="Arial" w:hAnsi="Arial"/>
          <w:sz w:val="19"/>
          <w:szCs w:val="19"/>
          <w:color w:val="auto"/>
        </w:rPr>
        <w:t>Any Lender which notifies the Deal Agent of its refusal to consent to the extension or which does not expressly notify such Deal Agent that it is willing to consent to an extension of the Commitment Termination Date during the time period set forth in clause (i) above shall be deemed to be a “</w:t>
      </w:r>
      <w:r>
        <w:rPr>
          <w:rFonts w:ascii="Arial" w:cs="Arial" w:eastAsia="Arial" w:hAnsi="Arial"/>
          <w:sz w:val="19"/>
          <w:szCs w:val="19"/>
          <w:u w:val="single" w:color="auto"/>
          <w:color w:val="auto"/>
        </w:rPr>
        <w:t>Dissenting Lender</w:t>
      </w:r>
      <w:r>
        <w:rPr>
          <w:rFonts w:ascii="Arial" w:cs="Arial" w:eastAsia="Arial" w:hAnsi="Arial"/>
          <w:sz w:val="19"/>
          <w:szCs w:val="19"/>
          <w:color w:val="auto"/>
        </w:rPr>
        <w:t>” from the date of its refusal notice or the end of the applicable time period set forth in clause (i) above and, after the Commitment Termination Date then in effect, such Dissenting Lender’s Commitment shall be zero. If a Lender has agreed to extend its Commitment Termination Date in accordance with the Borrower’s request made pursuant to clause (i) above, and, at the end of the applicable time period set forth in clause (i) above, no Termination Event shall have occurred, the Commitment Termination Date for such Lender then in effect shall be extended to the date that is the last day</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41</w:t>
      </w:r>
    </w:p>
    <w:p>
      <w:pPr>
        <w:sectPr>
          <w:pgSz w:w="11900" w:h="16838" w:orient="portrait"/>
          <w:cols w:equalWidth="0" w:num="1">
            <w:col w:w="11140"/>
          </w:cols>
          <w:pgMar w:left="320" w:top="1428" w:right="439" w:bottom="1440" w:gutter="0" w:footer="0" w:header="0"/>
        </w:sectPr>
      </w:pPr>
    </w:p>
    <w:bookmarkStart w:id="309" w:name="page310"/>
    <w:bookmarkEnd w:id="309"/>
    <w:p>
      <w:pPr>
        <w:ind w:left="120" w:right="160"/>
        <w:spacing w:after="0" w:line="263" w:lineRule="auto"/>
        <w:rPr>
          <w:sz w:val="20"/>
          <w:szCs w:val="20"/>
          <w:color w:val="auto"/>
        </w:rPr>
      </w:pPr>
      <w:r>
        <w:rPr>
          <w:rFonts w:ascii="Arial" w:cs="Arial" w:eastAsia="Arial" w:hAnsi="Arial"/>
          <w:sz w:val="22"/>
          <w:szCs w:val="22"/>
          <w:color w:val="auto"/>
        </w:rPr>
        <w:t>of the additional time period specified by Borrower pursuant to clause (i) above or, if such day is not a Business Day, the next preceding Business Day.</w:t>
      </w:r>
    </w:p>
    <w:p>
      <w:pPr>
        <w:spacing w:after="0" w:line="215" w:lineRule="exact"/>
        <w:rPr>
          <w:sz w:val="20"/>
          <w:szCs w:val="20"/>
          <w:color w:val="auto"/>
        </w:rPr>
      </w:pPr>
    </w:p>
    <w:p>
      <w:pPr>
        <w:jc w:val="both"/>
        <w:ind w:left="120" w:right="20" w:firstLine="2588"/>
        <w:spacing w:after="0" w:line="294" w:lineRule="auto"/>
        <w:tabs>
          <w:tab w:leader="none" w:pos="3245" w:val="left"/>
        </w:tabs>
        <w:numPr>
          <w:ilvl w:val="0"/>
          <w:numId w:val="306"/>
        </w:numPr>
        <w:rPr>
          <w:rFonts w:ascii="Arial" w:cs="Arial" w:eastAsia="Arial" w:hAnsi="Arial"/>
          <w:sz w:val="19"/>
          <w:szCs w:val="19"/>
          <w:color w:val="auto"/>
        </w:rPr>
      </w:pPr>
      <w:r>
        <w:rPr>
          <w:rFonts w:ascii="Arial" w:cs="Arial" w:eastAsia="Arial" w:hAnsi="Arial"/>
          <w:sz w:val="19"/>
          <w:szCs w:val="19"/>
          <w:color w:val="auto"/>
        </w:rPr>
        <w:t>Within two Business Days following the end of the time period set forth in clause (i) above, each Dissenting Lender shall notify each other Lender, the Borrower and the Servicer of its election to become a Dissenting Lender and the amount of its Commitment, if any. Each Dissenting Lender hereby agrees to assign all or a portion of its Commitment and the amounts payable to it hereunder to a replacement lender identified by the Borrower and approved by the Deal Agent, subject to ratable payment of such Dissenting Lender’s portion of the Capital, together with all accrued and unpaid interest thereon, and a ratable portion of all fees and other amounts due to it hereunder.</w:t>
      </w:r>
    </w:p>
    <w:p>
      <w:pPr>
        <w:spacing w:after="0" w:line="176" w:lineRule="exact"/>
        <w:rPr>
          <w:rFonts w:ascii="Arial" w:cs="Arial" w:eastAsia="Arial" w:hAnsi="Arial"/>
          <w:sz w:val="19"/>
          <w:szCs w:val="19"/>
          <w:color w:val="auto"/>
        </w:rPr>
      </w:pPr>
    </w:p>
    <w:p>
      <w:pPr>
        <w:jc w:val="both"/>
        <w:ind w:left="120" w:right="20" w:firstLine="2588"/>
        <w:spacing w:after="0" w:line="250" w:lineRule="auto"/>
        <w:tabs>
          <w:tab w:leader="none" w:pos="3251" w:val="left"/>
        </w:tabs>
        <w:numPr>
          <w:ilvl w:val="0"/>
          <w:numId w:val="306"/>
        </w:numPr>
        <w:rPr>
          <w:rFonts w:ascii="Arial" w:cs="Arial" w:eastAsia="Arial" w:hAnsi="Arial"/>
          <w:sz w:val="22"/>
          <w:szCs w:val="22"/>
          <w:color w:val="auto"/>
        </w:rPr>
      </w:pPr>
      <w:r>
        <w:rPr>
          <w:rFonts w:ascii="Arial" w:cs="Arial" w:eastAsia="Arial" w:hAnsi="Arial"/>
          <w:sz w:val="22"/>
          <w:szCs w:val="22"/>
          <w:color w:val="auto"/>
        </w:rPr>
        <w:t>If the Commitment of a Dissenting Lender is not assigned in accordance with clause (iii) above, the Facility Limit shall be reduced by the Commitment of the Dissenting Lender existing on the Commitment Termination Date. The Capital outstanding on the Commitment Termination Date in effect on the date such Lender becomes a Dissenting Lender shall be paid in accordance with Section 2.7(a)(vii).</w:t>
      </w:r>
    </w:p>
    <w:p>
      <w:pPr>
        <w:spacing w:after="0" w:line="228" w:lineRule="exact"/>
        <w:rPr>
          <w:sz w:val="20"/>
          <w:szCs w:val="20"/>
          <w:color w:val="auto"/>
        </w:rPr>
      </w:pPr>
    </w:p>
    <w:p>
      <w:pPr>
        <w:ind w:left="2700" w:hanging="640"/>
        <w:spacing w:after="0"/>
        <w:tabs>
          <w:tab w:leader="none" w:pos="2700" w:val="left"/>
        </w:tabs>
        <w:numPr>
          <w:ilvl w:val="0"/>
          <w:numId w:val="307"/>
        </w:numPr>
        <w:rPr>
          <w:rFonts w:ascii="Arial" w:cs="Arial" w:eastAsia="Arial" w:hAnsi="Arial"/>
          <w:sz w:val="22"/>
          <w:szCs w:val="22"/>
          <w:color w:val="auto"/>
        </w:rPr>
      </w:pPr>
      <w:r>
        <w:rPr>
          <w:rFonts w:ascii="Arial" w:cs="Arial" w:eastAsia="Arial" w:hAnsi="Arial"/>
          <w:sz w:val="22"/>
          <w:szCs w:val="22"/>
          <w:u w:val="single" w:color="auto"/>
          <w:color w:val="auto"/>
        </w:rPr>
        <w:t>The Notes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20" w:firstLine="2588"/>
        <w:spacing w:after="0" w:line="294" w:lineRule="auto"/>
        <w:tabs>
          <w:tab w:leader="none" w:pos="3241" w:val="left"/>
        </w:tabs>
        <w:numPr>
          <w:ilvl w:val="1"/>
          <w:numId w:val="307"/>
        </w:numPr>
        <w:rPr>
          <w:rFonts w:ascii="Arial" w:cs="Arial" w:eastAsia="Arial" w:hAnsi="Arial"/>
          <w:sz w:val="19"/>
          <w:szCs w:val="19"/>
          <w:color w:val="auto"/>
        </w:rPr>
      </w:pPr>
      <w:r>
        <w:rPr>
          <w:rFonts w:ascii="Arial" w:cs="Arial" w:eastAsia="Arial" w:hAnsi="Arial"/>
          <w:sz w:val="19"/>
          <w:szCs w:val="19"/>
          <w:color w:val="auto"/>
        </w:rPr>
        <w:t>The Borrower’s obligation to pay the principal of and interest on all amounts advanced by the Lenders pursuant to the Fundings shall be evidenced by a variable funding note of the Borrower for each Lender (each, a “</w:t>
      </w:r>
      <w:r>
        <w:rPr>
          <w:rFonts w:ascii="Arial" w:cs="Arial" w:eastAsia="Arial" w:hAnsi="Arial"/>
          <w:sz w:val="19"/>
          <w:szCs w:val="19"/>
          <w:u w:val="single" w:color="auto"/>
          <w:color w:val="auto"/>
        </w:rPr>
        <w:t>Note</w:t>
      </w:r>
      <w:r>
        <w:rPr>
          <w:rFonts w:ascii="Arial" w:cs="Arial" w:eastAsia="Arial" w:hAnsi="Arial"/>
          <w:sz w:val="19"/>
          <w:szCs w:val="19"/>
          <w:color w:val="auto"/>
        </w:rPr>
        <w:t>”) which shall: (1) be dated the Effective Date; (2) be in the stated principal amount equal to the Commitment amount for such Lender (as reflected from time to time on the grid attached thereto); (3) bear interest as provided therein; (4) be payable to the order of Wells Fargo Bank, National Association, as Deal Agent, for the account of the applicable Lender; and (5) be substantially in the form of Exhibit G hereto, with blanks appropriately completed in conformity herewith.</w:t>
      </w:r>
    </w:p>
    <w:p>
      <w:pPr>
        <w:spacing w:after="0" w:line="189" w:lineRule="exact"/>
        <w:rPr>
          <w:rFonts w:ascii="Arial" w:cs="Arial" w:eastAsia="Arial" w:hAnsi="Arial"/>
          <w:sz w:val="19"/>
          <w:szCs w:val="19"/>
          <w:color w:val="auto"/>
        </w:rPr>
      </w:pPr>
    </w:p>
    <w:p>
      <w:pPr>
        <w:jc w:val="both"/>
        <w:ind w:left="120" w:firstLine="2588"/>
        <w:spacing w:after="0" w:line="248" w:lineRule="auto"/>
        <w:tabs>
          <w:tab w:leader="none" w:pos="3247" w:val="left"/>
        </w:tabs>
        <w:numPr>
          <w:ilvl w:val="1"/>
          <w:numId w:val="307"/>
        </w:numPr>
        <w:rPr>
          <w:rFonts w:ascii="Arial" w:cs="Arial" w:eastAsia="Arial" w:hAnsi="Arial"/>
          <w:sz w:val="22"/>
          <w:szCs w:val="22"/>
          <w:color w:val="auto"/>
        </w:rPr>
      </w:pPr>
      <w:r>
        <w:rPr>
          <w:rFonts w:ascii="Arial" w:cs="Arial" w:eastAsia="Arial" w:hAnsi="Arial"/>
          <w:sz w:val="22"/>
          <w:szCs w:val="22"/>
          <w:color w:val="auto"/>
        </w:rPr>
        <w:t>Although the Notes shall be dated the Effective Date, interest in respect thereof shall be payable only for the periods during which amounts are outstanding thereunder. In addition, although the stated principal amount of each Note shall be equal to the Commitment amount of the related Lender, such Note shall be enforceable with respect to the Borrower’s obligation to pay the principal thereof only to the extent of the unpaid principal amount of the Capital outstanding thereunder at the time such enforcement shall be sought.</w:t>
      </w:r>
    </w:p>
    <w:p>
      <w:pPr>
        <w:spacing w:after="0" w:line="300"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Grant of Security Interest; Acceptance by Collateral Agent</w:t>
      </w:r>
      <w:r>
        <w:rPr>
          <w:rFonts w:ascii="Arial" w:cs="Arial" w:eastAsia="Arial" w:hAnsi="Arial"/>
          <w:sz w:val="19"/>
          <w:szCs w:val="19"/>
          <w:color w:val="auto"/>
        </w:rPr>
        <w:t>.</w:t>
      </w:r>
    </w:p>
    <w:p>
      <w:pPr>
        <w:spacing w:after="0" w:line="260" w:lineRule="exact"/>
        <w:rPr>
          <w:sz w:val="20"/>
          <w:szCs w:val="20"/>
          <w:color w:val="auto"/>
        </w:rPr>
      </w:pPr>
    </w:p>
    <w:p>
      <w:pPr>
        <w:jc w:val="both"/>
        <w:ind w:left="120" w:right="20" w:firstLine="1940"/>
        <w:spacing w:after="0" w:line="294" w:lineRule="auto"/>
        <w:tabs>
          <w:tab w:leader="none" w:pos="2601" w:val="left"/>
        </w:tabs>
        <w:numPr>
          <w:ilvl w:val="0"/>
          <w:numId w:val="308"/>
        </w:numPr>
        <w:rPr>
          <w:rFonts w:ascii="Arial" w:cs="Arial" w:eastAsia="Arial" w:hAnsi="Arial"/>
          <w:sz w:val="19"/>
          <w:szCs w:val="19"/>
          <w:color w:val="auto"/>
        </w:rPr>
      </w:pPr>
      <w:r>
        <w:rPr>
          <w:rFonts w:ascii="Arial" w:cs="Arial" w:eastAsia="Arial" w:hAnsi="Arial"/>
          <w:sz w:val="19"/>
          <w:szCs w:val="19"/>
          <w:color w:val="auto"/>
        </w:rPr>
        <w:t>(i) As security for the prompt and complete payment of the Notes and the performance of all of the Borrower’s obligations under the Notes, this Agreement and the other Transaction Documents, the Borrower hereby grants to the Collateral Agent, for the benefit of the Secured Parties, without recourse except as provided herein, a security interest in and continuing Lien on all assets and personal property of the Borrower, including but not limited to, all of the Borrower’s accounts, chattel paper, goods, deposit accounts, documents, general intangibles, instruments, investment property, letter of credit rights, money and supporting obligations and all proceeds of the foregoing (as each such term is defined in the</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42</w:t>
      </w:r>
    </w:p>
    <w:p>
      <w:pPr>
        <w:sectPr>
          <w:pgSz w:w="11900" w:h="16838" w:orient="portrait"/>
          <w:cols w:equalWidth="0" w:num="1">
            <w:col w:w="11140"/>
          </w:cols>
          <w:pgMar w:left="320" w:top="1428" w:right="439" w:bottom="1440" w:gutter="0" w:footer="0" w:header="0"/>
        </w:sectPr>
      </w:pPr>
    </w:p>
    <w:bookmarkStart w:id="310" w:name="page311"/>
    <w:bookmarkEnd w:id="310"/>
    <w:p>
      <w:pPr>
        <w:jc w:val="both"/>
        <w:ind w:left="120" w:right="60"/>
        <w:spacing w:after="0" w:line="250" w:lineRule="auto"/>
        <w:rPr>
          <w:sz w:val="20"/>
          <w:szCs w:val="20"/>
          <w:color w:val="auto"/>
        </w:rPr>
      </w:pPr>
      <w:r>
        <w:rPr>
          <w:rFonts w:ascii="Arial" w:cs="Arial" w:eastAsia="Arial" w:hAnsi="Arial"/>
          <w:sz w:val="22"/>
          <w:szCs w:val="22"/>
          <w:color w:val="auto"/>
        </w:rPr>
        <w:t>UCC, collectively, the “</w:t>
      </w:r>
      <w:r>
        <w:rPr>
          <w:rFonts w:ascii="Arial" w:cs="Arial" w:eastAsia="Arial" w:hAnsi="Arial"/>
          <w:sz w:val="22"/>
          <w:szCs w:val="22"/>
          <w:u w:val="single" w:color="auto"/>
          <w:color w:val="auto"/>
        </w:rPr>
        <w:t>Collateral</w:t>
      </w:r>
      <w:r>
        <w:rPr>
          <w:rFonts w:ascii="Arial" w:cs="Arial" w:eastAsia="Arial" w:hAnsi="Arial"/>
          <w:sz w:val="22"/>
          <w:szCs w:val="22"/>
          <w:color w:val="auto"/>
        </w:rPr>
        <w:t>”) now owned or hereafter acquired. The foregoing pledge does not constitute an assumption by the Collateral Agent of any obligations of the Borrower to Obligors or any other Person in connection with the Collateral or under any agreement or instrument relating to the Collateral, including, without limitation, any obligation to make future advances to or on behalf of such Obligors.</w:t>
      </w:r>
    </w:p>
    <w:p>
      <w:pPr>
        <w:spacing w:after="0" w:line="228" w:lineRule="exact"/>
        <w:rPr>
          <w:sz w:val="20"/>
          <w:szCs w:val="20"/>
          <w:color w:val="auto"/>
        </w:rPr>
      </w:pPr>
    </w:p>
    <w:p>
      <w:pPr>
        <w:jc w:val="both"/>
        <w:ind w:left="120" w:firstLine="2588"/>
        <w:spacing w:after="0" w:line="288" w:lineRule="auto"/>
        <w:tabs>
          <w:tab w:leader="none" w:pos="3246" w:val="left"/>
        </w:tabs>
        <w:numPr>
          <w:ilvl w:val="0"/>
          <w:numId w:val="309"/>
        </w:numPr>
        <w:rPr>
          <w:rFonts w:ascii="Arial" w:cs="Arial" w:eastAsia="Arial" w:hAnsi="Arial"/>
          <w:sz w:val="19"/>
          <w:szCs w:val="19"/>
          <w:color w:val="auto"/>
        </w:rPr>
      </w:pPr>
      <w:r>
        <w:rPr>
          <w:rFonts w:ascii="Arial" w:cs="Arial" w:eastAsia="Arial" w:hAnsi="Arial"/>
          <w:sz w:val="19"/>
          <w:szCs w:val="19"/>
          <w:color w:val="auto"/>
        </w:rPr>
        <w:t>In connection with such grant, the Borrower agrees to record and file, at its own expense, financing statements with respect to the Collateral now existing and hereafter created meeting the requirements of applicable state law in such manner and in such jurisdictions as are necessary to perfect the first priority security interest of the Collateral Agent for the benefit of the Secured Parties in the Collateral, and to deliver a file- stamped copy of such financing statements or other evidence of such filing to the Collateral Agent and the Deal Agent promptly following receipt thereof. In addition, the Borrower and the Servicer agree to clearly and unambiguously mark their respective general ledgers and all accounting records and documents and all computer tapes and records to show that the Collateral, including that portion of the Collateral consisting of the Dealer Agreements listed on Schedule IV hereto (and each addendum thereto), the Loans and the related Contracts and the rights to payment under the related Dealer Agreements, has been pledged to the Collateral Agent for the benefit of the Secured Parties hereunder.</w:t>
      </w:r>
    </w:p>
    <w:p>
      <w:pPr>
        <w:spacing w:after="0" w:line="186" w:lineRule="exact"/>
        <w:rPr>
          <w:rFonts w:ascii="Arial" w:cs="Arial" w:eastAsia="Arial" w:hAnsi="Arial"/>
          <w:sz w:val="19"/>
          <w:szCs w:val="19"/>
          <w:color w:val="auto"/>
        </w:rPr>
      </w:pPr>
    </w:p>
    <w:p>
      <w:pPr>
        <w:ind w:left="120" w:firstLine="2588"/>
        <w:spacing w:after="0" w:line="285" w:lineRule="auto"/>
        <w:tabs>
          <w:tab w:leader="none" w:pos="3253" w:val="left"/>
        </w:tabs>
        <w:numPr>
          <w:ilvl w:val="0"/>
          <w:numId w:val="309"/>
        </w:numPr>
        <w:rPr>
          <w:rFonts w:ascii="Arial" w:cs="Arial" w:eastAsia="Arial" w:hAnsi="Arial"/>
          <w:sz w:val="19"/>
          <w:szCs w:val="19"/>
          <w:color w:val="auto"/>
        </w:rPr>
      </w:pPr>
      <w:r>
        <w:rPr>
          <w:rFonts w:ascii="Arial" w:cs="Arial" w:eastAsia="Arial" w:hAnsi="Arial"/>
          <w:sz w:val="19"/>
          <w:szCs w:val="19"/>
          <w:color w:val="auto"/>
        </w:rPr>
        <w:t>In connection with such pledge, the Borrower agrees to deliver to the Collateral Agent on the Closing Date and any Funding Date on which new Pools or Purchased Loans are pledged to the Collateral Agent, as the case may be, one or more computer files containing true and complete lists of all applicable Dealer Agreements, Pools and Loans securing the payment of the Notes and amounts due under the Transaction Documents and all of the Borrower’s obligations under the Notes and the Transaction Documents as of such date, and all Contracts securing all such Loans, identified by, as applicable, account number, dealer number and pool number as of the end of the Collection Period immediately preceding the Funding Date. Such file shall be marked as Schedule IV hereto or as an addendum thereto, shall be delivered to the Collateral Agent as confidential and proprietary, and such Schedule IV and each addendum thereto are hereby incorporated into and made a part of this Agreement. Such Schedule IV shall be supplemented and updated on the date of each Incremental Funding in the Revolving Period to include all Loans and Contracts pledged on the date of each such date so that, on each such date, the Collateral Agent will have a Schedule IV that describes all Loans pledged by the Borrower to the Collateral Agent hereunder on or prior to said date of Incremental Funding, any related Dealer Agreements, Purchase Agreements and all Contracts securing or evidencing such Loans (other than those that have been released from the Collateral and those Dealer Loans that have been deemed to be extinguished pursuant to Section 6.15(b) hereto). Such updated Schedule IV shall be deemed to replace any existing Schedule IV as of the date such updated Schedule IV is provided in accordance with this Section 2.2(a)(iii). Furthermore, Schedule IV hereto shall be deemed to be supplemented on each date of Dealer Collections Purchase by the list set forth under Section 6.15(c).</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jc w:val="both"/>
        <w:ind w:left="120" w:right="60" w:firstLine="2588"/>
        <w:spacing w:after="0" w:line="312" w:lineRule="auto"/>
        <w:tabs>
          <w:tab w:leader="none" w:pos="3240" w:val="left"/>
        </w:tabs>
        <w:numPr>
          <w:ilvl w:val="0"/>
          <w:numId w:val="309"/>
        </w:numPr>
        <w:rPr>
          <w:rFonts w:ascii="Arial" w:cs="Arial" w:eastAsia="Arial" w:hAnsi="Arial"/>
          <w:sz w:val="19"/>
          <w:szCs w:val="19"/>
          <w:color w:val="auto"/>
        </w:rPr>
      </w:pPr>
      <w:r>
        <w:rPr>
          <w:rFonts w:ascii="Arial" w:cs="Arial" w:eastAsia="Arial" w:hAnsi="Arial"/>
          <w:sz w:val="19"/>
          <w:szCs w:val="19"/>
          <w:color w:val="auto"/>
        </w:rPr>
        <w:t>In connection with such pledge, each of the Borrower, Credit Acceptance and the Servicer also agrees, within 180 days of the Closing Date or relevant Funding Date, as the case may be, to clearly mark at least 98% of the Contracts or Contract folders securing a Loan with the following legend: “THIS AGREEMENT HAS BEEN</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43</w:t>
      </w:r>
    </w:p>
    <w:p>
      <w:pPr>
        <w:sectPr>
          <w:pgSz w:w="11900" w:h="16838" w:orient="portrait"/>
          <w:cols w:equalWidth="0" w:num="1">
            <w:col w:w="11140"/>
          </w:cols>
          <w:pgMar w:left="320" w:top="1428" w:right="439" w:bottom="1440" w:gutter="0" w:footer="0" w:header="0"/>
        </w:sectPr>
      </w:pPr>
    </w:p>
    <w:bookmarkStart w:id="311" w:name="page312"/>
    <w:bookmarkEnd w:id="311"/>
    <w:p>
      <w:pPr>
        <w:ind w:left="120" w:right="20"/>
        <w:spacing w:after="0" w:line="263" w:lineRule="auto"/>
        <w:rPr>
          <w:sz w:val="20"/>
          <w:szCs w:val="20"/>
          <w:color w:val="auto"/>
        </w:rPr>
      </w:pPr>
      <w:r>
        <w:rPr>
          <w:rFonts w:ascii="Arial" w:cs="Arial" w:eastAsia="Arial" w:hAnsi="Arial"/>
          <w:sz w:val="22"/>
          <w:szCs w:val="22"/>
          <w:color w:val="auto"/>
        </w:rPr>
        <w:t>PLEDGED TO WELLS FARGO BANK, NATIONAL ASSOCIATION AS COLLATERAL AGENT FOR THE BENEFIT OF CERTAIN SECURED PARTIES.”</w:t>
      </w:r>
    </w:p>
    <w:p>
      <w:pPr>
        <w:spacing w:after="0" w:line="215" w:lineRule="exact"/>
        <w:rPr>
          <w:sz w:val="20"/>
          <w:szCs w:val="20"/>
          <w:color w:val="auto"/>
        </w:rPr>
      </w:pPr>
    </w:p>
    <w:p>
      <w:pPr>
        <w:jc w:val="both"/>
        <w:ind w:left="120" w:right="20" w:firstLine="1940"/>
        <w:spacing w:after="0" w:line="302" w:lineRule="auto"/>
        <w:tabs>
          <w:tab w:leader="none" w:pos="2600" w:val="left"/>
        </w:tabs>
        <w:numPr>
          <w:ilvl w:val="0"/>
          <w:numId w:val="310"/>
        </w:numPr>
        <w:rPr>
          <w:rFonts w:ascii="Arial" w:cs="Arial" w:eastAsia="Arial" w:hAnsi="Arial"/>
          <w:sz w:val="19"/>
          <w:szCs w:val="19"/>
          <w:color w:val="auto"/>
        </w:rPr>
      </w:pPr>
      <w:r>
        <w:rPr>
          <w:rFonts w:ascii="Arial" w:cs="Arial" w:eastAsia="Arial" w:hAnsi="Arial"/>
          <w:sz w:val="19"/>
          <w:szCs w:val="19"/>
          <w:color w:val="auto"/>
        </w:rPr>
        <w:t>The Collateral Agent hereby acknowledges its acceptance, on behalf of the Secured Parties, of the pledge by the Borrower of the Loans and all other Collateral. The Collateral Agent further acknowledges that, prior to or simultaneously with the execution and delivery of this Agreement, the Borrower delivered to the Collateral Agent the computer file represented by the Borrower to be the computer file described in Section 2.2(a)(iii).</w:t>
      </w:r>
    </w:p>
    <w:p>
      <w:pPr>
        <w:spacing w:after="0" w:line="250" w:lineRule="exact"/>
        <w:rPr>
          <w:rFonts w:ascii="Arial" w:cs="Arial" w:eastAsia="Arial" w:hAnsi="Arial"/>
          <w:sz w:val="19"/>
          <w:szCs w:val="19"/>
          <w:color w:val="auto"/>
        </w:rPr>
      </w:pPr>
    </w:p>
    <w:p>
      <w:pPr>
        <w:jc w:val="both"/>
        <w:ind w:left="120" w:right="20" w:firstLine="1940"/>
        <w:spacing w:after="0" w:line="259" w:lineRule="auto"/>
        <w:tabs>
          <w:tab w:leader="none" w:pos="2601" w:val="left"/>
        </w:tabs>
        <w:numPr>
          <w:ilvl w:val="0"/>
          <w:numId w:val="310"/>
        </w:numPr>
        <w:rPr>
          <w:rFonts w:ascii="Arial" w:cs="Arial" w:eastAsia="Arial" w:hAnsi="Arial"/>
          <w:sz w:val="21"/>
          <w:szCs w:val="21"/>
          <w:color w:val="auto"/>
        </w:rPr>
      </w:pPr>
      <w:r>
        <w:rPr>
          <w:rFonts w:ascii="Arial" w:cs="Arial" w:eastAsia="Arial" w:hAnsi="Arial"/>
          <w:sz w:val="21"/>
          <w:szCs w:val="21"/>
          <w:color w:val="auto"/>
        </w:rPr>
        <w:t xml:space="preserve">The Collateral Agent hereby agrees not to disclose to any Person (including any Secured Party) any of the account numbers or other information contained in the computer files delivered to the Collateral Agent by the Borrower pursuant to Section 2.2(a)(iii), except as is required in connection with the performance of its duties hereunder or in enforcing the rights of the Secured Parties or to a Successor Servicer;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notwithstanding anything to the contrary in this Agreement, the Collateral Agent may reply to a request from any Person for a list of Loans, Dealer Agreements, Contracts or other information referred to in any financing statement. The Collateral Agent agrees to take such measures as shall be necessary or reasonably requested by the Borrower to protect and maintain the security and confidentiality of such information. The Collateral Agent shall provide the Borrower with written notice five Business Days prior to any disclosure pursuant to this subsection 2.2(c).</w:t>
      </w:r>
    </w:p>
    <w:p>
      <w:pPr>
        <w:spacing w:after="0" w:line="206" w:lineRule="exact"/>
        <w:rPr>
          <w:sz w:val="20"/>
          <w:szCs w:val="20"/>
          <w:color w:val="auto"/>
        </w:rPr>
      </w:pPr>
    </w:p>
    <w:p>
      <w:pPr>
        <w:jc w:val="both"/>
        <w:ind w:left="120" w:firstLine="648"/>
        <w:spacing w:after="0" w:line="246"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Procedures for Funding of Advances</w:t>
      </w:r>
      <w:r>
        <w:rPr>
          <w:rFonts w:ascii="Arial" w:cs="Arial" w:eastAsia="Arial" w:hAnsi="Arial"/>
          <w:sz w:val="22"/>
          <w:szCs w:val="22"/>
          <w:color w:val="auto"/>
        </w:rPr>
        <w:t>. (a) Each Advance hereunder shall be requested by the Borrower delivering to the Deal Agent and the Lenders (with a copy to the Collateral Agent) a duly completed Funding Notice no later than 5:00 p.m. (Charlotte, North Carolina time) at least two (2) Business Days prior to the proposed Funding Date. Each Funding Notice shall: (i) specify the desired amount of such Funding which amount must (a) in the case of the initial funding on or about the Closing Date (the “</w:t>
      </w:r>
      <w:r>
        <w:rPr>
          <w:rFonts w:ascii="Arial" w:cs="Arial" w:eastAsia="Arial" w:hAnsi="Arial"/>
          <w:sz w:val="22"/>
          <w:szCs w:val="22"/>
          <w:u w:val="single" w:color="auto"/>
          <w:color w:val="auto"/>
        </w:rPr>
        <w:t>Initial Funding</w:t>
      </w:r>
      <w:r>
        <w:rPr>
          <w:rFonts w:ascii="Arial" w:cs="Arial" w:eastAsia="Arial" w:hAnsi="Arial"/>
          <w:sz w:val="22"/>
          <w:szCs w:val="22"/>
          <w:color w:val="auto"/>
        </w:rPr>
        <w:t>”) be in a minimum amount of $1,000,000, and (b) in the case of any Incremental Funding, be in an amount equal to</w:t>
      </w:r>
    </w:p>
    <w:p>
      <w:pPr>
        <w:spacing w:after="0" w:line="1" w:lineRule="exact"/>
        <w:rPr>
          <w:sz w:val="20"/>
          <w:szCs w:val="20"/>
          <w:color w:val="auto"/>
        </w:rPr>
      </w:pPr>
    </w:p>
    <w:p>
      <w:pPr>
        <w:ind w:left="120" w:right="80"/>
        <w:spacing w:after="0" w:line="244" w:lineRule="auto"/>
        <w:rPr>
          <w:sz w:val="20"/>
          <w:szCs w:val="20"/>
          <w:color w:val="auto"/>
        </w:rPr>
      </w:pPr>
      <w:r>
        <w:rPr>
          <w:rFonts w:ascii="Arial" w:cs="Arial" w:eastAsia="Arial" w:hAnsi="Arial"/>
          <w:sz w:val="22"/>
          <w:szCs w:val="22"/>
          <w:color w:val="auto"/>
        </w:rPr>
        <w:t xml:space="preserve">$1,000,000 or an integral multiple of $10,000 in excess thereof, (ii) specify the date of such Funding, and (iii) include a representation that all conditions precedent for a Funding described in Article III hereof have been met. Each Funding shall be allocated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among each Lender based upon the Commitment related to such Lender as a percentage of the Total Commitment. Each Funding Notice shall be irrevocable.</w:t>
      </w:r>
    </w:p>
    <w:p>
      <w:pPr>
        <w:spacing w:after="0" w:line="236" w:lineRule="exact"/>
        <w:rPr>
          <w:sz w:val="20"/>
          <w:szCs w:val="20"/>
          <w:color w:val="auto"/>
        </w:rPr>
      </w:pPr>
    </w:p>
    <w:p>
      <w:pPr>
        <w:jc w:val="both"/>
        <w:ind w:left="120" w:right="20" w:firstLine="1940"/>
        <w:spacing w:after="0" w:line="248" w:lineRule="auto"/>
        <w:tabs>
          <w:tab w:leader="none" w:pos="2599" w:val="left"/>
        </w:tabs>
        <w:numPr>
          <w:ilvl w:val="0"/>
          <w:numId w:val="311"/>
        </w:numPr>
        <w:rPr>
          <w:rFonts w:ascii="Arial" w:cs="Arial" w:eastAsia="Arial" w:hAnsi="Arial"/>
          <w:sz w:val="22"/>
          <w:szCs w:val="22"/>
          <w:color w:val="auto"/>
        </w:rPr>
      </w:pPr>
      <w:r>
        <w:rPr>
          <w:rFonts w:ascii="Arial" w:cs="Arial" w:eastAsia="Arial" w:hAnsi="Arial"/>
          <w:sz w:val="22"/>
          <w:szCs w:val="22"/>
          <w:color w:val="auto"/>
        </w:rPr>
        <w:t>On the Funding Date, the Lenders shall, upon satisfaction of the applicable conditions set forth in Article III, make available to the Borrower in same day funds, at such bank or other location reasonably designated by the Borrower in its Funding Notice given pursuant to this Section 2.3, an amount equal to the lesser of (A) the amount requested by the Borrower from such Lender for such Advance or (B) the excess of the Commitment related to such Lender over such Lender’s portion of Capital then outstanding.</w:t>
      </w:r>
    </w:p>
    <w:p>
      <w:pPr>
        <w:spacing w:after="0" w:line="232" w:lineRule="exact"/>
        <w:rPr>
          <w:rFonts w:ascii="Arial" w:cs="Arial" w:eastAsia="Arial" w:hAnsi="Arial"/>
          <w:sz w:val="22"/>
          <w:szCs w:val="22"/>
          <w:color w:val="auto"/>
        </w:rPr>
      </w:pPr>
    </w:p>
    <w:p>
      <w:pPr>
        <w:ind w:left="120" w:right="20" w:firstLine="1940"/>
        <w:spacing w:after="0" w:line="263" w:lineRule="auto"/>
        <w:tabs>
          <w:tab w:leader="none" w:pos="2601" w:val="left"/>
        </w:tabs>
        <w:numPr>
          <w:ilvl w:val="0"/>
          <w:numId w:val="311"/>
        </w:numPr>
        <w:rPr>
          <w:rFonts w:ascii="Arial" w:cs="Arial" w:eastAsia="Arial" w:hAnsi="Arial"/>
          <w:sz w:val="22"/>
          <w:szCs w:val="22"/>
          <w:color w:val="auto"/>
        </w:rPr>
      </w:pPr>
      <w:r>
        <w:rPr>
          <w:rFonts w:ascii="Arial" w:cs="Arial" w:eastAsia="Arial" w:hAnsi="Arial"/>
          <w:sz w:val="22"/>
          <w:szCs w:val="22"/>
          <w:color w:val="auto"/>
        </w:rPr>
        <w:t>In no event shall a Lender be required on any date to make any Funding which would result in its portion of the Capital, determined after giving effect to such Funding, exceeding its Commitment.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44</w:t>
      </w:r>
    </w:p>
    <w:p>
      <w:pPr>
        <w:sectPr>
          <w:pgSz w:w="11900" w:h="16838" w:orient="portrait"/>
          <w:cols w:equalWidth="0" w:num="1">
            <w:col w:w="11120"/>
          </w:cols>
          <w:pgMar w:left="320" w:top="1428" w:right="459" w:bottom="1440" w:gutter="0" w:footer="0" w:header="0"/>
        </w:sectPr>
      </w:pPr>
    </w:p>
    <w:bookmarkStart w:id="312" w:name="page313"/>
    <w:bookmarkEnd w:id="312"/>
    <w:p>
      <w:pPr>
        <w:jc w:val="both"/>
        <w:ind w:left="120" w:right="40" w:firstLine="648"/>
        <w:spacing w:after="0" w:line="28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Determination of Yield</w:t>
      </w:r>
      <w:r>
        <w:rPr>
          <w:rFonts w:ascii="Arial" w:cs="Arial" w:eastAsia="Arial" w:hAnsi="Arial"/>
          <w:sz w:val="19"/>
          <w:szCs w:val="19"/>
          <w:color w:val="auto"/>
        </w:rPr>
        <w:t xml:space="preserve">. Each Lender shall initially determine (i) the applicable Yield Rate and the Yield (including unpaid Yield, if any, due and payable on a prior Payment Date) to be paid by the Borrower with respect to the Advance on each Payment Date for the related Accrual Period and (ii) the Program Fee, the Unused Fee and any Breakage Costs, Increased Costs and Additional Amounts due in respect of such Payment Date (including any such amounts unpaid from any prior Payment Date), and shall advise the Servicer and the Backup Servicer thereof on or before the fifth Business Day prior to such Payment Date. Prior to the next succeeding Payment Date, each Lender shall determine the amount of Yield, if any, payable in connection with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and not previously paid. The amount owed in respect of the Yield for the next succeeding Accrual Period, as initially determined by each Lender shall be increased, if necessary and as appropriate, to reflect any Yield payable in connection with </w:t>
      </w:r>
      <w:r>
        <w:rPr>
          <w:rFonts w:ascii="Arial" w:cs="Arial" w:eastAsia="Arial" w:hAnsi="Arial"/>
          <w:sz w:val="19"/>
          <w:szCs w:val="19"/>
          <w:u w:val="single" w:color="auto"/>
          <w:color w:val="auto"/>
        </w:rPr>
        <w:t>Section 2.16(a)(iv)</w:t>
      </w:r>
      <w:r>
        <w:rPr>
          <w:rFonts w:ascii="Arial" w:cs="Arial" w:eastAsia="Arial" w:hAnsi="Arial"/>
          <w:sz w:val="19"/>
          <w:szCs w:val="19"/>
          <w:color w:val="auto"/>
        </w:rPr>
        <w:t xml:space="preserve"> and not previously paid.</w:t>
      </w:r>
    </w:p>
    <w:p>
      <w:pPr>
        <w:spacing w:after="0" w:line="197"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Reduction of the Facility Limit and Commitment</w:t>
      </w:r>
      <w:r>
        <w:rPr>
          <w:rFonts w:ascii="Arial" w:cs="Arial" w:eastAsia="Arial" w:hAnsi="Arial"/>
          <w:sz w:val="21"/>
          <w:szCs w:val="21"/>
          <w:color w:val="auto"/>
        </w:rPr>
        <w:t>. The Borrower may, upon at least two (2) Business Days’ notice to the Deal Agent and each Lender, terminate in whole or reduce in part the portion of the Facility Limit that exceeds the aggregate Capital. With respect to any such reduction, each Lender’s Commitment shall be reduced pro rata based upon such Lender’s Commitment as a percentage of the Facility Limit; provided, however, that each partial reduction of the Facility Limit shall be in an aggregate amount equal to $1,000,000 or an integral multiple thereof. Each notice of reduction or termination pursuant to this Section 2.5 shall be irrevocable. With respect to any termination or reduction pursuant to this Section 2.5 that occurs prior to the Commitment Termination Date, the Borrower shall pay to the Deal Agent for the benefit of the Lenders the Prepayment Fee relating to each Lender.</w:t>
      </w:r>
    </w:p>
    <w:p>
      <w:pPr>
        <w:spacing w:after="0" w:line="210" w:lineRule="exact"/>
        <w:rPr>
          <w:sz w:val="20"/>
          <w:szCs w:val="20"/>
          <w:color w:val="auto"/>
        </w:rPr>
      </w:pPr>
    </w:p>
    <w:p>
      <w:pPr>
        <w:jc w:val="both"/>
        <w:ind w:left="120" w:firstLine="648"/>
        <w:spacing w:after="0" w:line="260"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u w:val="single" w:color="auto"/>
          <w:color w:val="auto"/>
        </w:rPr>
        <w:t>Actions with Respect to Advance</w:t>
      </w:r>
      <w:r>
        <w:rPr>
          <w:rFonts w:ascii="Arial" w:cs="Arial" w:eastAsia="Arial" w:hAnsi="Arial"/>
          <w:sz w:val="21"/>
          <w:szCs w:val="21"/>
          <w:color w:val="auto"/>
        </w:rPr>
        <w:t>. Each Lender may take any of the following actions at any time with respect to an Advance it has funded: (i) divide the Advance funded by such Lender into two or more portions having aggregate Capital equal to the Capital of such divided Advance; (ii) combine one portion of the Advance funded by such Lender with another portion of the Advance funded by such Lender with an Accrual Period ending on the same day, creating a new Advance having Capital equal to the Capital of the two portions of Advances combined; or (iii) combine an Advance funded by such Lender with the Advance to be funded on such day by such Lender, creating a new Advance having Capital equal to the Capital of the two Advances combined.</w:t>
      </w:r>
    </w:p>
    <w:p>
      <w:pPr>
        <w:spacing w:after="0" w:line="221" w:lineRule="exact"/>
        <w:rPr>
          <w:sz w:val="20"/>
          <w:szCs w:val="20"/>
          <w:color w:val="auto"/>
        </w:rPr>
      </w:pPr>
    </w:p>
    <w:p>
      <w:pPr>
        <w:jc w:val="both"/>
        <w:ind w:left="120" w:right="20" w:firstLine="648"/>
        <w:spacing w:after="0" w:line="250" w:lineRule="auto"/>
        <w:rPr>
          <w:sz w:val="20"/>
          <w:szCs w:val="20"/>
          <w:color w:val="auto"/>
        </w:rPr>
      </w:pPr>
      <w:r>
        <w:rPr>
          <w:rFonts w:ascii="Arial" w:cs="Arial" w:eastAsia="Arial" w:hAnsi="Arial"/>
          <w:sz w:val="22"/>
          <w:szCs w:val="22"/>
          <w:color w:val="auto"/>
        </w:rPr>
        <w:t xml:space="preserve">Section 2.7. </w:t>
      </w:r>
      <w:r>
        <w:rPr>
          <w:rFonts w:ascii="Arial" w:cs="Arial" w:eastAsia="Arial" w:hAnsi="Arial"/>
          <w:sz w:val="22"/>
          <w:szCs w:val="22"/>
          <w:u w:val="single" w:color="auto"/>
          <w:color w:val="auto"/>
        </w:rPr>
        <w:t>Settlement Procedures</w:t>
      </w:r>
      <w:r>
        <w:rPr>
          <w:rFonts w:ascii="Arial" w:cs="Arial" w:eastAsia="Arial" w:hAnsi="Arial"/>
          <w:sz w:val="22"/>
          <w:szCs w:val="22"/>
          <w:color w:val="auto"/>
        </w:rPr>
        <w:t xml:space="preserve">. (a) On each Payment Date, the Collateral Agent shall withdraw Available Funds and any Excess Reserve Amount (to be applied in accordance with </w:t>
      </w:r>
      <w:r>
        <w:rPr>
          <w:rFonts w:ascii="Arial" w:cs="Arial" w:eastAsia="Arial" w:hAnsi="Arial"/>
          <w:sz w:val="22"/>
          <w:szCs w:val="22"/>
          <w:u w:val="single" w:color="auto"/>
          <w:color w:val="auto"/>
        </w:rPr>
        <w:t>Section 2.7(c)</w:t>
      </w:r>
      <w:r>
        <w:rPr>
          <w:rFonts w:ascii="Arial" w:cs="Arial" w:eastAsia="Arial" w:hAnsi="Arial"/>
          <w:sz w:val="22"/>
          <w:szCs w:val="22"/>
          <w:color w:val="auto"/>
        </w:rPr>
        <w:t>) and investment earnings on amounts on deposit in the Collection Account from the Collection Account and allocate and distribute such amounts to the applicable Person in the following order of priority:</w:t>
      </w:r>
    </w:p>
    <w:p>
      <w:pPr>
        <w:spacing w:after="0" w:line="215" w:lineRule="exact"/>
        <w:rPr>
          <w:sz w:val="20"/>
          <w:szCs w:val="20"/>
          <w:color w:val="auto"/>
        </w:rPr>
      </w:pPr>
    </w:p>
    <w:p>
      <w:pPr>
        <w:ind w:left="120" w:right="60" w:firstLine="2588"/>
        <w:spacing w:after="0" w:line="343" w:lineRule="auto"/>
        <w:tabs>
          <w:tab w:leader="none" w:pos="3240" w:val="left"/>
        </w:tabs>
        <w:numPr>
          <w:ilvl w:val="0"/>
          <w:numId w:val="312"/>
        </w:numPr>
        <w:rPr>
          <w:rFonts w:ascii="Arial" w:cs="Arial" w:eastAsia="Arial" w:hAnsi="Arial"/>
          <w:sz w:val="19"/>
          <w:szCs w:val="19"/>
          <w:color w:val="auto"/>
        </w:rPr>
      </w:pPr>
      <w:r>
        <w:rPr>
          <w:rFonts w:ascii="Arial" w:cs="Arial" w:eastAsia="Arial" w:hAnsi="Arial"/>
          <w:sz w:val="19"/>
          <w:szCs w:val="19"/>
          <w:color w:val="auto"/>
        </w:rPr>
        <w:t>FIRST, to the Hedge Counterparty, an amount equal to any Hedge Costs (exclusive of termination payments) and any such Hedge Costs (exclusive of termination payments) unpaid from any prior Payment Date.</w:t>
      </w:r>
    </w:p>
    <w:p>
      <w:pPr>
        <w:spacing w:after="0" w:line="144" w:lineRule="exact"/>
        <w:rPr>
          <w:rFonts w:ascii="Arial" w:cs="Arial" w:eastAsia="Arial" w:hAnsi="Arial"/>
          <w:sz w:val="19"/>
          <w:szCs w:val="19"/>
          <w:color w:val="auto"/>
        </w:rPr>
      </w:pPr>
    </w:p>
    <w:p>
      <w:pPr>
        <w:jc w:val="both"/>
        <w:ind w:left="120" w:right="40" w:firstLine="2588"/>
        <w:spacing w:after="0" w:line="253" w:lineRule="auto"/>
        <w:tabs>
          <w:tab w:leader="none" w:pos="3247" w:val="left"/>
        </w:tabs>
        <w:numPr>
          <w:ilvl w:val="0"/>
          <w:numId w:val="312"/>
        </w:numPr>
        <w:rPr>
          <w:rFonts w:ascii="Arial" w:cs="Arial" w:eastAsia="Arial" w:hAnsi="Arial"/>
          <w:sz w:val="22"/>
          <w:szCs w:val="22"/>
          <w:color w:val="auto"/>
        </w:rPr>
      </w:pPr>
      <w:r>
        <w:rPr>
          <w:rFonts w:ascii="Arial" w:cs="Arial" w:eastAsia="Arial" w:hAnsi="Arial"/>
          <w:sz w:val="22"/>
          <w:szCs w:val="22"/>
          <w:color w:val="auto"/>
        </w:rPr>
        <w:t>SECOND, to the Backup Servicer so long as it has not become the Servicer hereunder, an amount equal to any accrued and unpaid Backup Servicing Fee due in respect of such Payment Date, any unpaid Backup Servicing Fee from any prior</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45</w:t>
      </w:r>
    </w:p>
    <w:p>
      <w:pPr>
        <w:sectPr>
          <w:pgSz w:w="11900" w:h="16838" w:orient="portrait"/>
          <w:cols w:equalWidth="0" w:num="1">
            <w:col w:w="11140"/>
          </w:cols>
          <w:pgMar w:left="320" w:top="1428" w:right="439" w:bottom="1440" w:gutter="0" w:footer="0" w:header="0"/>
        </w:sectPr>
      </w:pPr>
    </w:p>
    <w:bookmarkStart w:id="313" w:name="page314"/>
    <w:bookmarkEnd w:id="313"/>
    <w:p>
      <w:pPr>
        <w:jc w:val="both"/>
        <w:ind w:left="120" w:right="40"/>
        <w:spacing w:after="0" w:line="250" w:lineRule="auto"/>
        <w:rPr>
          <w:sz w:val="20"/>
          <w:szCs w:val="20"/>
          <w:color w:val="auto"/>
        </w:rPr>
      </w:pPr>
      <w:r>
        <w:rPr>
          <w:rFonts w:ascii="Arial" w:cs="Arial" w:eastAsia="Arial" w:hAnsi="Arial"/>
          <w:sz w:val="22"/>
          <w:szCs w:val="22"/>
          <w:color w:val="auto"/>
        </w:rPr>
        <w:t xml:space="preserve">Payment Date, any reasonable out-of-pocket expenses incurred by the Backup Servicer, and any accrued and unpaid Indemnified Amounts owed by the Borrower to the Backup Servicer in an aggregate amount up to $17,000 per month (the “Cap”);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of an acceleration resulting from a Termination Event specified under Section 10.1(d)(i) or Section 10.1(f) hereunder, such Cap will not apply;</w:t>
      </w:r>
    </w:p>
    <w:p>
      <w:pPr>
        <w:spacing w:after="0" w:line="228" w:lineRule="exact"/>
        <w:rPr>
          <w:sz w:val="20"/>
          <w:szCs w:val="20"/>
          <w:color w:val="auto"/>
        </w:rPr>
      </w:pPr>
    </w:p>
    <w:p>
      <w:pPr>
        <w:jc w:val="both"/>
        <w:ind w:left="120" w:right="40" w:firstLine="2588"/>
        <w:spacing w:after="0" w:line="265" w:lineRule="auto"/>
        <w:tabs>
          <w:tab w:leader="none" w:pos="3253" w:val="left"/>
        </w:tabs>
        <w:numPr>
          <w:ilvl w:val="1"/>
          <w:numId w:val="313"/>
        </w:numPr>
        <w:rPr>
          <w:rFonts w:ascii="Arial" w:cs="Arial" w:eastAsia="Arial" w:hAnsi="Arial"/>
          <w:sz w:val="21"/>
          <w:szCs w:val="21"/>
          <w:color w:val="auto"/>
        </w:rPr>
      </w:pPr>
      <w:r>
        <w:rPr>
          <w:rFonts w:ascii="Arial" w:cs="Arial" w:eastAsia="Arial" w:hAnsi="Arial"/>
          <w:sz w:val="21"/>
          <w:szCs w:val="21"/>
          <w:color w:val="auto"/>
        </w:rPr>
        <w:t xml:space="preserve">THIRD, (A) to the Servicer, an amount equal to any accrued and unpaid Servicing Fees due in respect of such Payment Date and any Servicing Fees unpaid from any prior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the Servicer has been replaced pursuant to Section 6.12 such amount shall not exceed the Capped Servicing Fee; and (B) to the Backup Servicer, if it has become the Successor Servicer, any Transition Expenses;</w:t>
      </w:r>
    </w:p>
    <w:p>
      <w:pPr>
        <w:spacing w:after="0" w:line="202" w:lineRule="exact"/>
        <w:rPr>
          <w:rFonts w:ascii="Arial" w:cs="Arial" w:eastAsia="Arial" w:hAnsi="Arial"/>
          <w:sz w:val="21"/>
          <w:szCs w:val="21"/>
          <w:color w:val="auto"/>
        </w:rPr>
      </w:pPr>
    </w:p>
    <w:p>
      <w:pPr>
        <w:ind w:left="120" w:right="40" w:firstLine="2588"/>
        <w:spacing w:after="0" w:line="251" w:lineRule="auto"/>
        <w:tabs>
          <w:tab w:leader="none" w:pos="3240" w:val="left"/>
        </w:tabs>
        <w:numPr>
          <w:ilvl w:val="1"/>
          <w:numId w:val="313"/>
        </w:numPr>
        <w:rPr>
          <w:rFonts w:ascii="Arial" w:cs="Arial" w:eastAsia="Arial" w:hAnsi="Arial"/>
          <w:sz w:val="22"/>
          <w:szCs w:val="22"/>
          <w:color w:val="auto"/>
        </w:rPr>
      </w:pPr>
      <w:r>
        <w:rPr>
          <w:rFonts w:ascii="Arial" w:cs="Arial" w:eastAsia="Arial" w:hAnsi="Arial"/>
          <w:sz w:val="22"/>
          <w:szCs w:val="22"/>
          <w:color w:val="auto"/>
        </w:rPr>
        <w:t>FOURTH, to the Deal Agent for the account of the Lenders, an amount equal to the sum of any accrued and unpaid (A) Yield and Breakage Costs,</w:t>
      </w:r>
    </w:p>
    <w:p>
      <w:pPr>
        <w:spacing w:after="0" w:line="1" w:lineRule="exact"/>
        <w:rPr>
          <w:rFonts w:ascii="Arial" w:cs="Arial" w:eastAsia="Arial" w:hAnsi="Arial"/>
          <w:sz w:val="22"/>
          <w:szCs w:val="22"/>
          <w:color w:val="auto"/>
        </w:rPr>
      </w:pPr>
    </w:p>
    <w:p>
      <w:pPr>
        <w:ind w:left="120" w:right="60" w:hanging="4"/>
        <w:spacing w:after="0" w:line="246" w:lineRule="auto"/>
        <w:tabs>
          <w:tab w:leader="none" w:pos="651"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Program Fee, and (C) the Unused Fee, Increased Costs and any Additional Amounts due in respect of such Payment Date and any such amounts unpaid from any prior Payment Date;</w:t>
      </w:r>
    </w:p>
    <w:p>
      <w:pPr>
        <w:spacing w:after="0" w:line="232" w:lineRule="exact"/>
        <w:rPr>
          <w:rFonts w:ascii="Arial" w:cs="Arial" w:eastAsia="Arial" w:hAnsi="Arial"/>
          <w:sz w:val="22"/>
          <w:szCs w:val="22"/>
          <w:color w:val="auto"/>
        </w:rPr>
      </w:pPr>
    </w:p>
    <w:p>
      <w:pPr>
        <w:ind w:left="120" w:right="60" w:firstLine="2588"/>
        <w:spacing w:after="0" w:line="263" w:lineRule="auto"/>
        <w:tabs>
          <w:tab w:leader="none" w:pos="3247" w:val="left"/>
        </w:tabs>
        <w:numPr>
          <w:ilvl w:val="1"/>
          <w:numId w:val="314"/>
        </w:numPr>
        <w:rPr>
          <w:rFonts w:ascii="Arial" w:cs="Arial" w:eastAsia="Arial" w:hAnsi="Arial"/>
          <w:sz w:val="22"/>
          <w:szCs w:val="22"/>
          <w:color w:val="auto"/>
        </w:rPr>
      </w:pPr>
      <w:r>
        <w:rPr>
          <w:rFonts w:ascii="Arial" w:cs="Arial" w:eastAsia="Arial" w:hAnsi="Arial"/>
          <w:sz w:val="22"/>
          <w:szCs w:val="22"/>
          <w:color w:val="auto"/>
        </w:rPr>
        <w:t>FIFTH, during the Revolving Period, to the Deal Agent for the account of the Lenders, an amount equal to the Monthly Principal Payment Amount for such Payment Date;</w:t>
      </w:r>
    </w:p>
    <w:p>
      <w:pPr>
        <w:spacing w:after="0" w:line="282" w:lineRule="exact"/>
        <w:rPr>
          <w:rFonts w:ascii="Arial" w:cs="Arial" w:eastAsia="Arial" w:hAnsi="Arial"/>
          <w:sz w:val="22"/>
          <w:szCs w:val="22"/>
          <w:color w:val="auto"/>
        </w:rPr>
      </w:pPr>
    </w:p>
    <w:p>
      <w:pPr>
        <w:ind w:left="120" w:firstLine="2588"/>
        <w:spacing w:after="0" w:line="263" w:lineRule="auto"/>
        <w:tabs>
          <w:tab w:leader="none" w:pos="3241" w:val="left"/>
        </w:tabs>
        <w:numPr>
          <w:ilvl w:val="1"/>
          <w:numId w:val="314"/>
        </w:numPr>
        <w:rPr>
          <w:rFonts w:ascii="Arial" w:cs="Arial" w:eastAsia="Arial" w:hAnsi="Arial"/>
          <w:sz w:val="22"/>
          <w:szCs w:val="22"/>
          <w:color w:val="auto"/>
        </w:rPr>
      </w:pPr>
      <w:r>
        <w:rPr>
          <w:rFonts w:ascii="Arial" w:cs="Arial" w:eastAsia="Arial" w:hAnsi="Arial"/>
          <w:sz w:val="22"/>
          <w:szCs w:val="22"/>
          <w:color w:val="auto"/>
        </w:rPr>
        <w:t>SIXTH, to any Successor Servicer, to the extent not already paid pursuant to clause THIRD above, an amount equal to Reliening Expenses;</w:t>
      </w:r>
    </w:p>
    <w:p>
      <w:pPr>
        <w:spacing w:after="0" w:line="215" w:lineRule="exact"/>
        <w:rPr>
          <w:rFonts w:ascii="Arial" w:cs="Arial" w:eastAsia="Arial" w:hAnsi="Arial"/>
          <w:sz w:val="22"/>
          <w:szCs w:val="22"/>
          <w:color w:val="auto"/>
        </w:rPr>
      </w:pPr>
    </w:p>
    <w:p>
      <w:pPr>
        <w:jc w:val="both"/>
        <w:ind w:left="120" w:right="40" w:firstLine="2588"/>
        <w:spacing w:after="0" w:line="248" w:lineRule="auto"/>
        <w:tabs>
          <w:tab w:leader="none" w:pos="3246" w:val="left"/>
        </w:tabs>
        <w:numPr>
          <w:ilvl w:val="1"/>
          <w:numId w:val="314"/>
        </w:numPr>
        <w:rPr>
          <w:rFonts w:ascii="Arial" w:cs="Arial" w:eastAsia="Arial" w:hAnsi="Arial"/>
          <w:sz w:val="22"/>
          <w:szCs w:val="22"/>
          <w:color w:val="auto"/>
        </w:rPr>
      </w:pPr>
      <w:r>
        <w:rPr>
          <w:rFonts w:ascii="Arial" w:cs="Arial" w:eastAsia="Arial" w:hAnsi="Arial"/>
          <w:sz w:val="22"/>
          <w:szCs w:val="22"/>
          <w:color w:val="auto"/>
        </w:rPr>
        <w:t xml:space="preserve">SEVENTH, (A) during the Revolving Period with respect to each Dissenting Lender after the time its Commitment has been reduced to zero pursuant to </w:t>
      </w:r>
      <w:r>
        <w:rPr>
          <w:rFonts w:ascii="Arial" w:cs="Arial" w:eastAsia="Arial" w:hAnsi="Arial"/>
          <w:sz w:val="22"/>
          <w:szCs w:val="22"/>
          <w:u w:val="single" w:color="auto"/>
          <w:color w:val="auto"/>
        </w:rPr>
        <w:t>Section 2.1(b)(iv)</w:t>
      </w:r>
      <w:r>
        <w:rPr>
          <w:rFonts w:ascii="Arial" w:cs="Arial" w:eastAsia="Arial" w:hAnsi="Arial"/>
          <w:sz w:val="22"/>
          <w:szCs w:val="22"/>
          <w:color w:val="auto"/>
        </w:rPr>
        <w:t>, pro rata, an amount equal to its outstanding Capital until such Dissenting Lender’s Capital has been reduced to zero and (B) during the Amortization Period, to the Deal Agent for the account of the Lenders, pro rata, the Additional Principal Payment Amount, until Capital has been reduced to zero;</w:t>
      </w:r>
    </w:p>
    <w:p>
      <w:pPr>
        <w:spacing w:after="0" w:line="218" w:lineRule="exact"/>
        <w:rPr>
          <w:rFonts w:ascii="Arial" w:cs="Arial" w:eastAsia="Arial" w:hAnsi="Arial"/>
          <w:sz w:val="22"/>
          <w:szCs w:val="22"/>
          <w:color w:val="auto"/>
        </w:rPr>
      </w:pPr>
    </w:p>
    <w:p>
      <w:pPr>
        <w:jc w:val="both"/>
        <w:ind w:left="120" w:right="60" w:firstLine="2588"/>
        <w:spacing w:after="0" w:line="302" w:lineRule="auto"/>
        <w:tabs>
          <w:tab w:leader="none" w:pos="3253" w:val="left"/>
        </w:tabs>
        <w:numPr>
          <w:ilvl w:val="1"/>
          <w:numId w:val="314"/>
        </w:numPr>
        <w:rPr>
          <w:rFonts w:ascii="Arial" w:cs="Arial" w:eastAsia="Arial" w:hAnsi="Arial"/>
          <w:sz w:val="19"/>
          <w:szCs w:val="19"/>
          <w:color w:val="auto"/>
        </w:rPr>
      </w:pPr>
      <w:r>
        <w:rPr>
          <w:rFonts w:ascii="Arial" w:cs="Arial" w:eastAsia="Arial" w:hAnsi="Arial"/>
          <w:sz w:val="19"/>
          <w:szCs w:val="19"/>
          <w:color w:val="auto"/>
        </w:rPr>
        <w:t>EIGHTH, to the Deal Agent for the account of the Lenders and the Backup Servicer, an amount equal to, without double counting, Increased Costs, any Additional Amounts and Indemnified Amounts (</w:t>
      </w:r>
      <w:r>
        <w:rPr>
          <w:rFonts w:ascii="Arial" w:cs="Arial" w:eastAsia="Arial" w:hAnsi="Arial"/>
          <w:sz w:val="19"/>
          <w:szCs w:val="19"/>
          <w:u w:val="single" w:color="auto"/>
          <w:color w:val="auto"/>
        </w:rPr>
        <w:t>provided that</w:t>
      </w:r>
      <w:r>
        <w:rPr>
          <w:rFonts w:ascii="Arial" w:cs="Arial" w:eastAsia="Arial" w:hAnsi="Arial"/>
          <w:sz w:val="19"/>
          <w:szCs w:val="19"/>
          <w:color w:val="auto"/>
        </w:rPr>
        <w:t>, with respect to the Backup Servicer, such Indemnified Amounts shall include only those Indemnified Amounts not paid pursuant to clause THIRD above) due in respect of such Payment Date and unpaid from any prior Payment Date;</w:t>
      </w:r>
    </w:p>
    <w:p>
      <w:pPr>
        <w:spacing w:after="0" w:line="250" w:lineRule="exact"/>
        <w:rPr>
          <w:rFonts w:ascii="Arial" w:cs="Arial" w:eastAsia="Arial" w:hAnsi="Arial"/>
          <w:sz w:val="19"/>
          <w:szCs w:val="19"/>
          <w:color w:val="auto"/>
        </w:rPr>
      </w:pPr>
    </w:p>
    <w:p>
      <w:pPr>
        <w:jc w:val="both"/>
        <w:ind w:left="120" w:right="40" w:firstLine="2588"/>
        <w:spacing w:after="0" w:line="253" w:lineRule="auto"/>
        <w:tabs>
          <w:tab w:leader="none" w:pos="3240" w:val="left"/>
        </w:tabs>
        <w:numPr>
          <w:ilvl w:val="1"/>
          <w:numId w:val="314"/>
        </w:numPr>
        <w:rPr>
          <w:rFonts w:ascii="Arial" w:cs="Arial" w:eastAsia="Arial" w:hAnsi="Arial"/>
          <w:sz w:val="22"/>
          <w:szCs w:val="22"/>
          <w:color w:val="auto"/>
        </w:rPr>
      </w:pPr>
      <w:r>
        <w:rPr>
          <w:rFonts w:ascii="Arial" w:cs="Arial" w:eastAsia="Arial" w:hAnsi="Arial"/>
          <w:sz w:val="22"/>
          <w:szCs w:val="22"/>
          <w:color w:val="auto"/>
        </w:rPr>
        <w:t>NINTH, to the Reserve Account, (A) an amount equal to any outstanding Reserve Advances and (B) the amount necessary to cause the amount on deposit in the Reserve Account to equal the Required Reserve Account Amount (after giving effect to any deposits made in subclause (A));</w:t>
      </w:r>
    </w:p>
    <w:p>
      <w:pPr>
        <w:spacing w:after="0" w:line="225" w:lineRule="exact"/>
        <w:rPr>
          <w:rFonts w:ascii="Arial" w:cs="Arial" w:eastAsia="Arial" w:hAnsi="Arial"/>
          <w:sz w:val="22"/>
          <w:szCs w:val="22"/>
          <w:color w:val="auto"/>
        </w:rPr>
      </w:pPr>
    </w:p>
    <w:p>
      <w:pPr>
        <w:ind w:left="120" w:right="60" w:firstLine="2588"/>
        <w:spacing w:after="0" w:line="341" w:lineRule="auto"/>
        <w:tabs>
          <w:tab w:leader="none" w:pos="3247" w:val="left"/>
        </w:tabs>
        <w:numPr>
          <w:ilvl w:val="1"/>
          <w:numId w:val="314"/>
        </w:numPr>
        <w:rPr>
          <w:rFonts w:ascii="Arial" w:cs="Arial" w:eastAsia="Arial" w:hAnsi="Arial"/>
          <w:sz w:val="19"/>
          <w:szCs w:val="19"/>
          <w:color w:val="auto"/>
        </w:rPr>
      </w:pPr>
      <w:r>
        <w:rPr>
          <w:rFonts w:ascii="Arial" w:cs="Arial" w:eastAsia="Arial" w:hAnsi="Arial"/>
          <w:sz w:val="19"/>
          <w:szCs w:val="19"/>
          <w:color w:val="auto"/>
        </w:rPr>
        <w:t>TENTH, to the Backup Servicer, any Servicing Fee due in respect of such Payment Date, to the extent not paid pursuant to clause THIRD above and any such Servicing Fee unpaid from any prior Payment Date;</w:t>
      </w:r>
    </w:p>
    <w:p>
      <w:pPr>
        <w:spacing w:after="0"/>
        <w:rPr>
          <w:sz w:val="20"/>
          <w:szCs w:val="20"/>
          <w:color w:val="auto"/>
        </w:rPr>
      </w:pPr>
      <w:r>
        <w:rPr>
          <w:rFonts w:ascii="Arial" w:cs="Arial" w:eastAsia="Arial" w:hAnsi="Arial"/>
          <w:sz w:val="22"/>
          <w:szCs w:val="22"/>
          <w:u w:val="single" w:color="auto"/>
          <w:color w:val="auto"/>
        </w:rPr>
        <w:t>46</w:t>
      </w:r>
    </w:p>
    <w:p>
      <w:pPr>
        <w:sectPr>
          <w:pgSz w:w="11900" w:h="16838" w:orient="portrait"/>
          <w:cols w:equalWidth="0" w:num="1">
            <w:col w:w="11140"/>
          </w:cols>
          <w:pgMar w:left="320" w:top="1428" w:right="439" w:bottom="1440" w:gutter="0" w:footer="0" w:header="0"/>
        </w:sectPr>
      </w:pPr>
    </w:p>
    <w:bookmarkStart w:id="314" w:name="page315"/>
    <w:bookmarkEnd w:id="314"/>
    <w:p>
      <w:pPr>
        <w:ind w:left="100" w:right="40" w:firstLine="2590"/>
        <w:spacing w:after="0" w:line="287" w:lineRule="auto"/>
        <w:tabs>
          <w:tab w:leader="none" w:pos="3247" w:val="left"/>
        </w:tabs>
        <w:numPr>
          <w:ilvl w:val="1"/>
          <w:numId w:val="315"/>
        </w:numPr>
        <w:rPr>
          <w:rFonts w:ascii="Arial" w:cs="Arial" w:eastAsia="Arial" w:hAnsi="Arial"/>
          <w:sz w:val="21"/>
          <w:szCs w:val="21"/>
          <w:color w:val="auto"/>
        </w:rPr>
      </w:pPr>
      <w:r>
        <w:rPr>
          <w:rFonts w:ascii="Arial" w:cs="Arial" w:eastAsia="Arial" w:hAnsi="Arial"/>
          <w:sz w:val="21"/>
          <w:szCs w:val="21"/>
          <w:color w:val="auto"/>
        </w:rPr>
        <w:t>ELEVENTH, to the Deal Agent for the account of any other applicable Person, all remaining amounts up to all Aggregate Unpaids (during the Revolving Period, other than Capital) until paid in full; and</w:t>
      </w:r>
    </w:p>
    <w:p>
      <w:pPr>
        <w:spacing w:after="0" w:line="191" w:lineRule="exact"/>
        <w:rPr>
          <w:rFonts w:ascii="Arial" w:cs="Arial" w:eastAsia="Arial" w:hAnsi="Arial"/>
          <w:sz w:val="21"/>
          <w:szCs w:val="21"/>
          <w:color w:val="auto"/>
        </w:rPr>
      </w:pPr>
    </w:p>
    <w:p>
      <w:pPr>
        <w:ind w:left="3340" w:hanging="650"/>
        <w:spacing w:after="0"/>
        <w:tabs>
          <w:tab w:leader="none" w:pos="3340" w:val="left"/>
        </w:tabs>
        <w:numPr>
          <w:ilvl w:val="1"/>
          <w:numId w:val="315"/>
        </w:numPr>
        <w:rPr>
          <w:rFonts w:ascii="Arial" w:cs="Arial" w:eastAsia="Arial" w:hAnsi="Arial"/>
          <w:sz w:val="22"/>
          <w:szCs w:val="22"/>
          <w:color w:val="auto"/>
        </w:rPr>
      </w:pPr>
      <w:r>
        <w:rPr>
          <w:rFonts w:ascii="Arial" w:cs="Arial" w:eastAsia="Arial" w:hAnsi="Arial"/>
          <w:sz w:val="22"/>
          <w:szCs w:val="22"/>
          <w:color w:val="auto"/>
        </w:rPr>
        <w:t>TWELFTH, to the Borrower any remaining amounts.</w:t>
      </w:r>
    </w:p>
    <w:p>
      <w:pPr>
        <w:spacing w:after="0" w:line="246" w:lineRule="exact"/>
        <w:rPr>
          <w:rFonts w:ascii="Arial" w:cs="Arial" w:eastAsia="Arial" w:hAnsi="Arial"/>
          <w:sz w:val="22"/>
          <w:szCs w:val="22"/>
          <w:color w:val="auto"/>
        </w:rPr>
      </w:pPr>
    </w:p>
    <w:p>
      <w:pPr>
        <w:jc w:val="both"/>
        <w:ind w:left="100" w:firstLine="1942"/>
        <w:spacing w:after="0" w:line="288" w:lineRule="auto"/>
        <w:tabs>
          <w:tab w:leader="none" w:pos="2593"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One Business Day per calendar month, the date of which is to be chosen by the Borrower, the Collateral Agent shall, upon two Business Days' prior written request of the Borrower, withdraw from the Collection Account an amount not to exceed the amount on deposit therein on the date of such request. The Collateral Agent shall distribute such amount to the Deal Agent for the account of the Lenders, to be distributed by the Deal Agent to the Lenders, pro rata, as a payment in reduction of Capital. Notwithstanding anything in this Section 2.7(b) to the contrary, the Collateral Agent shall not be required to effect any such withdrawal or the Deal Agent make any such distribution until an officer of the Servicer or a representative of the Servicer designated by an officer of the Servicer has certified to the Collateral Agent and the Deal Agent in writing (which shall include electronic transmission) that it reasonably believes that at the end of the related Collection Period the sum of Available Funds and Excess Reserve Amount, after giving effect to such payment, will be greater than the amount needed to make the payments required pursuant to </w:t>
      </w:r>
      <w:r>
        <w:rPr>
          <w:rFonts w:ascii="Arial" w:cs="Arial" w:eastAsia="Arial" w:hAnsi="Arial"/>
          <w:sz w:val="19"/>
          <w:szCs w:val="19"/>
          <w:u w:val="single" w:color="auto"/>
          <w:color w:val="auto"/>
        </w:rPr>
        <w:t>Section 2.7(a)(i)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(xi)</w:t>
      </w:r>
      <w:r>
        <w:rPr>
          <w:rFonts w:ascii="Arial" w:cs="Arial" w:eastAsia="Arial" w:hAnsi="Arial"/>
          <w:sz w:val="19"/>
          <w:szCs w:val="19"/>
          <w:color w:val="auto"/>
        </w:rPr>
        <w:t>.</w:t>
      </w:r>
    </w:p>
    <w:p>
      <w:pPr>
        <w:spacing w:after="0" w:line="199" w:lineRule="exact"/>
        <w:rPr>
          <w:rFonts w:ascii="Arial" w:cs="Arial" w:eastAsia="Arial" w:hAnsi="Arial"/>
          <w:sz w:val="19"/>
          <w:szCs w:val="19"/>
          <w:color w:val="auto"/>
        </w:rPr>
      </w:pPr>
    </w:p>
    <w:p>
      <w:pPr>
        <w:jc w:val="both"/>
        <w:ind w:left="100" w:right="40" w:firstLine="1942"/>
        <w:spacing w:after="0" w:line="248" w:lineRule="auto"/>
        <w:tabs>
          <w:tab w:leader="none" w:pos="2594" w:val="left"/>
        </w:tabs>
        <w:numPr>
          <w:ilvl w:val="0"/>
          <w:numId w:val="316"/>
        </w:numPr>
        <w:rPr>
          <w:rFonts w:ascii="Arial" w:cs="Arial" w:eastAsia="Arial" w:hAnsi="Arial"/>
          <w:sz w:val="22"/>
          <w:szCs w:val="22"/>
          <w:color w:val="auto"/>
        </w:rPr>
      </w:pPr>
      <w:r>
        <w:rPr>
          <w:rFonts w:ascii="Arial" w:cs="Arial" w:eastAsia="Arial" w:hAnsi="Arial"/>
          <w:sz w:val="22"/>
          <w:szCs w:val="22"/>
          <w:color w:val="auto"/>
        </w:rPr>
        <w:t>(i) If on any Payment Date the amount paid pursuant to Section 2.7(a)(iv) and (vii) is insufficient to cover all amounts due thereunder on such Payment Date the Collateral Agent shall withdraw from the Reserve Account an amount equal to the lesser of such shortfall and the amount of funds on deposit in the Reserve Account (such withdrawal, a “</w:t>
      </w:r>
      <w:r>
        <w:rPr>
          <w:rFonts w:ascii="Arial" w:cs="Arial" w:eastAsia="Arial" w:hAnsi="Arial"/>
          <w:sz w:val="22"/>
          <w:szCs w:val="22"/>
          <w:u w:val="single" w:color="auto"/>
          <w:color w:val="auto"/>
        </w:rPr>
        <w:t>Reserve Advance</w:t>
      </w:r>
      <w:r>
        <w:rPr>
          <w:rFonts w:ascii="Arial" w:cs="Arial" w:eastAsia="Arial" w:hAnsi="Arial"/>
          <w:sz w:val="22"/>
          <w:szCs w:val="22"/>
          <w:color w:val="auto"/>
        </w:rPr>
        <w:t>”) and deposit such amount to the Collection Account. The Collateral Agent shall pay such amount to the Deal Agent for payment to the Lenders.</w:t>
      </w:r>
    </w:p>
    <w:p>
      <w:pPr>
        <w:spacing w:after="0" w:line="218" w:lineRule="exact"/>
        <w:rPr>
          <w:rFonts w:ascii="Arial" w:cs="Arial" w:eastAsia="Arial" w:hAnsi="Arial"/>
          <w:sz w:val="22"/>
          <w:szCs w:val="22"/>
          <w:color w:val="auto"/>
        </w:rPr>
      </w:pPr>
    </w:p>
    <w:p>
      <w:pPr>
        <w:jc w:val="both"/>
        <w:ind w:left="100" w:right="40" w:firstLine="2590"/>
        <w:spacing w:after="0" w:line="250" w:lineRule="auto"/>
        <w:tabs>
          <w:tab w:leader="none" w:pos="3010" w:val="left"/>
        </w:tabs>
        <w:numPr>
          <w:ilvl w:val="1"/>
          <w:numId w:val="316"/>
        </w:numPr>
        <w:rPr>
          <w:rFonts w:ascii="Arial" w:cs="Arial" w:eastAsia="Arial" w:hAnsi="Arial"/>
          <w:sz w:val="22"/>
          <w:szCs w:val="22"/>
          <w:color w:val="auto"/>
        </w:rPr>
      </w:pPr>
      <w:r>
        <w:rPr>
          <w:rFonts w:ascii="Arial" w:cs="Arial" w:eastAsia="Arial" w:hAnsi="Arial"/>
          <w:sz w:val="22"/>
          <w:szCs w:val="22"/>
          <w:color w:val="auto"/>
        </w:rPr>
        <w:t>If on any Payment Date during the Amortization Period, the amount paid pursuant to Section 2.7(a)(vii)(B) is insufficient to reduce Capital to zero, the Deal Agent, in its sole discretion, may direct the Collateral Agent to withdraw any or all of the amount on deposit in the Reserve Account, and pay such amount to the Deal Agent, for payment to the Lenders.</w:t>
      </w:r>
    </w:p>
    <w:p>
      <w:pPr>
        <w:spacing w:after="0" w:line="228" w:lineRule="exact"/>
        <w:rPr>
          <w:sz w:val="20"/>
          <w:szCs w:val="20"/>
          <w:color w:val="auto"/>
        </w:rPr>
      </w:pPr>
    </w:p>
    <w:p>
      <w:pPr>
        <w:ind w:left="740"/>
        <w:spacing w:after="0"/>
        <w:tabs>
          <w:tab w:leader="none" w:pos="196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60" w:lineRule="exact"/>
        <w:rPr>
          <w:sz w:val="20"/>
          <w:szCs w:val="20"/>
          <w:color w:val="auto"/>
        </w:rPr>
      </w:pPr>
    </w:p>
    <w:p>
      <w:pPr>
        <w:ind w:left="740"/>
        <w:spacing w:after="0"/>
        <w:tabs>
          <w:tab w:leader="none" w:pos="196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Collections and Allocations</w:t>
      </w:r>
      <w:r>
        <w:rPr>
          <w:rFonts w:ascii="Arial" w:cs="Arial" w:eastAsia="Arial" w:hAnsi="Arial"/>
          <w:sz w:val="19"/>
          <w:szCs w:val="19"/>
          <w:color w:val="auto"/>
        </w:rPr>
        <w:t>.</w:t>
      </w:r>
    </w:p>
    <w:p>
      <w:pPr>
        <w:spacing w:after="0" w:line="247" w:lineRule="exact"/>
        <w:rPr>
          <w:sz w:val="20"/>
          <w:szCs w:val="20"/>
          <w:color w:val="auto"/>
        </w:rPr>
      </w:pPr>
    </w:p>
    <w:p>
      <w:pPr>
        <w:jc w:val="both"/>
        <w:ind w:left="100" w:right="20" w:firstLine="1942"/>
        <w:spacing w:after="0" w:line="247" w:lineRule="auto"/>
        <w:tabs>
          <w:tab w:leader="none" w:pos="2594" w:val="left"/>
        </w:tabs>
        <w:numPr>
          <w:ilvl w:val="0"/>
          <w:numId w:val="317"/>
        </w:numPr>
        <w:rPr>
          <w:rFonts w:ascii="Arial" w:cs="Arial" w:eastAsia="Arial" w:hAnsi="Arial"/>
          <w:sz w:val="22"/>
          <w:szCs w:val="22"/>
          <w:color w:val="auto"/>
        </w:rPr>
      </w:pPr>
      <w:r>
        <w:rPr>
          <w:rFonts w:ascii="Arial" w:cs="Arial" w:eastAsia="Arial" w:hAnsi="Arial"/>
          <w:sz w:val="22"/>
          <w:szCs w:val="22"/>
          <w:u w:val="single" w:color="auto"/>
          <w:color w:val="auto"/>
        </w:rPr>
        <w:t>Collections</w:t>
      </w:r>
      <w:r>
        <w:rPr>
          <w:rFonts w:ascii="Arial" w:cs="Arial" w:eastAsia="Arial" w:hAnsi="Arial"/>
          <w:sz w:val="22"/>
          <w:szCs w:val="22"/>
          <w:color w:val="auto"/>
        </w:rPr>
        <w:t>. The Servicer shall transfer, or cause to be transferred, all Collections on deposit in the form of available funds in the Credit Acceptance Payment Account to the Collection Account by the close of business on the second Business Day after such Collections are received therein. The Servicer shall promptly (but in no event later than the second Business Day after the receipt thereof) deposit all Collections received directly by it in the Collection Account. The Servicer shall make such deposits or payments on the date indicated therein by wire transfer in immediately available funds or by automated clearing house (ACH).</w:t>
      </w:r>
    </w:p>
    <w:p>
      <w:pPr>
        <w:spacing w:after="0" w:line="57" w:lineRule="exact"/>
        <w:rPr>
          <w:rFonts w:ascii="Arial" w:cs="Arial" w:eastAsia="Arial" w:hAnsi="Arial"/>
          <w:sz w:val="22"/>
          <w:szCs w:val="22"/>
          <w:color w:val="auto"/>
        </w:rPr>
      </w:pPr>
    </w:p>
    <w:p>
      <w:pPr>
        <w:ind w:left="100" w:right="220" w:firstLine="1942"/>
        <w:spacing w:after="0" w:line="263" w:lineRule="auto"/>
        <w:tabs>
          <w:tab w:leader="none" w:pos="2593" w:val="left"/>
        </w:tabs>
        <w:numPr>
          <w:ilvl w:val="0"/>
          <w:numId w:val="317"/>
        </w:numPr>
        <w:rPr>
          <w:rFonts w:ascii="Arial" w:cs="Arial" w:eastAsia="Arial" w:hAnsi="Arial"/>
          <w:sz w:val="22"/>
          <w:szCs w:val="22"/>
          <w:color w:val="auto"/>
        </w:rPr>
      </w:pPr>
      <w:r>
        <w:rPr>
          <w:rFonts w:ascii="Arial" w:cs="Arial" w:eastAsia="Arial" w:hAnsi="Arial"/>
          <w:sz w:val="22"/>
          <w:szCs w:val="22"/>
          <w:u w:val="single" w:color="auto"/>
          <w:color w:val="auto"/>
        </w:rPr>
        <w:t>Initial Deposits</w:t>
      </w:r>
      <w:r>
        <w:rPr>
          <w:rFonts w:ascii="Arial" w:cs="Arial" w:eastAsia="Arial" w:hAnsi="Arial"/>
          <w:sz w:val="22"/>
          <w:szCs w:val="22"/>
          <w:color w:val="auto"/>
        </w:rPr>
        <w:t>. On the Funding Date, the Servicer will deposit (in immediately available funds) into the Collection Account all Collections received on and after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47</w:t>
      </w:r>
    </w:p>
    <w:p>
      <w:pPr>
        <w:sectPr>
          <w:pgSz w:w="11900" w:h="16838" w:orient="portrait"/>
          <w:cols w:equalWidth="0" w:num="1">
            <w:col w:w="11140"/>
          </w:cols>
          <w:pgMar w:left="320" w:top="1428" w:right="439" w:bottom="1440" w:gutter="0" w:footer="0" w:header="0"/>
        </w:sectPr>
      </w:pPr>
    </w:p>
    <w:bookmarkStart w:id="315" w:name="page316"/>
    <w:bookmarkEnd w:id="315"/>
    <w:p>
      <w:pPr>
        <w:ind w:left="120" w:right="340"/>
        <w:spacing w:after="0" w:line="263" w:lineRule="auto"/>
        <w:rPr>
          <w:sz w:val="20"/>
          <w:szCs w:val="20"/>
          <w:color w:val="auto"/>
        </w:rPr>
      </w:pPr>
      <w:r>
        <w:rPr>
          <w:rFonts w:ascii="Arial" w:cs="Arial" w:eastAsia="Arial" w:hAnsi="Arial"/>
          <w:sz w:val="22"/>
          <w:szCs w:val="22"/>
          <w:color w:val="auto"/>
        </w:rPr>
        <w:t>the applicable Cut-Off Date and through and including the day that is two days immediately preceding the Funding Date, in respect of the Loans.</w:t>
      </w:r>
    </w:p>
    <w:p>
      <w:pPr>
        <w:spacing w:after="0" w:line="215" w:lineRule="exact"/>
        <w:rPr>
          <w:sz w:val="20"/>
          <w:szCs w:val="20"/>
          <w:color w:val="auto"/>
        </w:rPr>
      </w:pPr>
    </w:p>
    <w:p>
      <w:pPr>
        <w:jc w:val="both"/>
        <w:ind w:left="120" w:firstLine="1940"/>
        <w:spacing w:after="0" w:line="253" w:lineRule="auto"/>
        <w:tabs>
          <w:tab w:leader="none" w:pos="2601"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Investment of Funds</w:t>
      </w:r>
      <w:r>
        <w:rPr>
          <w:rFonts w:ascii="Arial" w:cs="Arial" w:eastAsia="Arial" w:hAnsi="Arial"/>
          <w:sz w:val="22"/>
          <w:szCs w:val="22"/>
          <w:color w:val="auto"/>
        </w:rPr>
        <w:t>. (i) Until the occurrence of a Termination Event or Unmatured Termination Event, to the extent there are uninvested amounts on deposit in the Collection Account and the Reserve Account, all amounts shall be invested as set forth in Section 6.7(c).</w:t>
      </w:r>
    </w:p>
    <w:p>
      <w:pPr>
        <w:spacing w:after="0" w:line="293" w:lineRule="exact"/>
        <w:rPr>
          <w:rFonts w:ascii="Arial" w:cs="Arial" w:eastAsia="Arial" w:hAnsi="Arial"/>
          <w:sz w:val="22"/>
          <w:szCs w:val="22"/>
          <w:color w:val="auto"/>
        </w:rPr>
      </w:pPr>
    </w:p>
    <w:p>
      <w:pPr>
        <w:jc w:val="both"/>
        <w:ind w:left="120" w:firstLine="2588"/>
        <w:spacing w:after="0" w:line="253" w:lineRule="auto"/>
        <w:tabs>
          <w:tab w:leader="none" w:pos="3075" w:val="left"/>
        </w:tabs>
        <w:numPr>
          <w:ilvl w:val="1"/>
          <w:numId w:val="318"/>
        </w:numPr>
        <w:rPr>
          <w:rFonts w:ascii="Arial" w:cs="Arial" w:eastAsia="Arial" w:hAnsi="Arial"/>
          <w:sz w:val="22"/>
          <w:szCs w:val="22"/>
          <w:color w:val="auto"/>
        </w:rPr>
      </w:pPr>
      <w:r>
        <w:rPr>
          <w:rFonts w:ascii="Arial" w:cs="Arial" w:eastAsia="Arial" w:hAnsi="Arial"/>
          <w:sz w:val="22"/>
          <w:szCs w:val="22"/>
          <w:color w:val="auto"/>
        </w:rPr>
        <w:t>On the date on which Capital is reduced to zero and all Aggregate Unpaids have been indefeasibly paid in full, all Collateral is released from the Lien of this Agreement, and this Agreement is terminated, any amounts on deposit in the Reserve Account shall be released to the Borrower.</w:t>
      </w:r>
    </w:p>
    <w:p>
      <w:pPr>
        <w:spacing w:after="0" w:line="212" w:lineRule="exact"/>
        <w:rPr>
          <w:rFonts w:ascii="Arial" w:cs="Arial" w:eastAsia="Arial" w:hAnsi="Arial"/>
          <w:sz w:val="22"/>
          <w:szCs w:val="22"/>
          <w:color w:val="auto"/>
        </w:rPr>
      </w:pPr>
    </w:p>
    <w:p>
      <w:pPr>
        <w:jc w:val="both"/>
        <w:ind w:left="120" w:firstLine="1940"/>
        <w:spacing w:after="0" w:line="245" w:lineRule="auto"/>
        <w:tabs>
          <w:tab w:leader="none" w:pos="2599" w:val="left"/>
        </w:tabs>
        <w:numPr>
          <w:ilvl w:val="0"/>
          <w:numId w:val="318"/>
        </w:numPr>
        <w:rPr>
          <w:rFonts w:ascii="Arial" w:cs="Arial" w:eastAsia="Arial" w:hAnsi="Arial"/>
          <w:sz w:val="22"/>
          <w:szCs w:val="22"/>
          <w:color w:val="auto"/>
        </w:rPr>
      </w:pPr>
      <w:r>
        <w:rPr>
          <w:rFonts w:ascii="Arial" w:cs="Arial" w:eastAsia="Arial" w:hAnsi="Arial"/>
          <w:sz w:val="22"/>
          <w:szCs w:val="22"/>
          <w:u w:val="single" w:color="auto"/>
          <w:color w:val="auto"/>
        </w:rPr>
        <w:t>Allocation of Collections</w:t>
      </w:r>
      <w:r>
        <w:rPr>
          <w:rFonts w:ascii="Arial" w:cs="Arial" w:eastAsia="Arial" w:hAnsi="Arial"/>
          <w:sz w:val="22"/>
          <w:szCs w:val="22"/>
          <w:color w:val="auto"/>
        </w:rPr>
        <w:t>. The Servicer will allocate Collections monthly in accordance with the actual amount of Collections received. The Servicer shall determine each month the amount of Collections received during such month which constitutes amounts which, pursuant to the terms of any Dealer Agreement, are required to be remitted to the applicable Dealer (such collections, “</w:t>
      </w:r>
      <w:r>
        <w:rPr>
          <w:rFonts w:ascii="Arial" w:cs="Arial" w:eastAsia="Arial" w:hAnsi="Arial"/>
          <w:sz w:val="22"/>
          <w:szCs w:val="22"/>
          <w:u w:val="single" w:color="auto"/>
          <w:color w:val="auto"/>
        </w:rPr>
        <w:t>Dealer Collections</w:t>
      </w:r>
      <w:r>
        <w:rPr>
          <w:rFonts w:ascii="Arial" w:cs="Arial" w:eastAsia="Arial" w:hAnsi="Arial"/>
          <w:sz w:val="22"/>
          <w:szCs w:val="22"/>
          <w:color w:val="auto"/>
        </w:rPr>
        <w:t>”) and shall so notify the Collateral Agent. Notwithstanding any other provision hereof, the Collateral Agent, at the direction of the Servicer, shall distribute on each Payment Date: (i) to the Borrower, an amount equal to the aggregate amount of Dealer Collections received during or with respect to the prior Collection Period and (ii) to the Backup Servicer, if it has become the Successor Servicer, an amount equal to any Repossession Expenses related to the prior Collection Period prior to the distribution of Available Funds pursuant to Section 2.7.</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Payments, Computations, Etc</w:t>
      </w:r>
      <w:r>
        <w:rPr>
          <w:rFonts w:ascii="Arial" w:cs="Arial" w:eastAsia="Arial" w:hAnsi="Arial"/>
          <w:sz w:val="22"/>
          <w:szCs w:val="22"/>
          <w:color w:val="auto"/>
        </w:rPr>
        <w:t>.</w:t>
      </w:r>
    </w:p>
    <w:p>
      <w:pPr>
        <w:spacing w:after="0" w:line="260" w:lineRule="exact"/>
        <w:rPr>
          <w:sz w:val="20"/>
          <w:szCs w:val="20"/>
          <w:color w:val="auto"/>
        </w:rPr>
      </w:pPr>
    </w:p>
    <w:p>
      <w:pPr>
        <w:jc w:val="both"/>
        <w:ind w:left="120" w:firstLine="1940"/>
        <w:spacing w:after="0" w:line="287" w:lineRule="auto"/>
        <w:tabs>
          <w:tab w:leader="none" w:pos="2601" w:val="left"/>
        </w:tabs>
        <w:numPr>
          <w:ilvl w:val="0"/>
          <w:numId w:val="319"/>
        </w:numPr>
        <w:rPr>
          <w:rFonts w:ascii="Arial" w:cs="Arial" w:eastAsia="Arial" w:hAnsi="Arial"/>
          <w:sz w:val="19"/>
          <w:szCs w:val="19"/>
          <w:color w:val="auto"/>
        </w:rPr>
      </w:pPr>
      <w:r>
        <w:rPr>
          <w:rFonts w:ascii="Arial" w:cs="Arial" w:eastAsia="Arial" w:hAnsi="Arial"/>
          <w:sz w:val="19"/>
          <w:szCs w:val="19"/>
          <w:color w:val="auto"/>
        </w:rPr>
        <w:t xml:space="preserve">Unless otherwise expressly provided herein, all amounts to be paid or deposited by the Borrower or the Servicer hereunder shall be paid or deposited in accordance with the terms hereof no later than 11:00 a.m. (Charlotte, North Carolina time) on the day when due in lawful money of the United States in immediately available funds to the Agent’s Account and the Deal Agent shall distribute such amounts actually received by it to the Persons entitled thereto no later than 2:00 p.m. (Charlotte, North Carolina time). Any amounts received in the Agent’s Account after 11:00 a.m. (Charlotte, North Carolina time) shall be deemed to be received on the next subsequent Business Day and the Deal Agent shall distribute such amounts to the Persons entitled thereto no later than 2:00 p.m. (Charlotte, North Carolina time) on such next subsequent Business Day. The Borrower shall, to the extent permitted by law, pay to the Secured Parties interest on all amounts not paid or deposited when due hereunder 3.0% per annum above the Base Rate, payable on demand;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interest rate shall not at any time exceed the maximum rate permitted by Applicable Law. All computations of interest and all computations of Yield and other fees hereunder shall be made on the basis of a year of 360 days for the actual number of days (including the first but excluding the last day) elapsed.</w:t>
      </w:r>
    </w:p>
    <w:p>
      <w:pPr>
        <w:spacing w:after="0" w:line="266" w:lineRule="exact"/>
        <w:rPr>
          <w:rFonts w:ascii="Arial" w:cs="Arial" w:eastAsia="Arial" w:hAnsi="Arial"/>
          <w:sz w:val="19"/>
          <w:szCs w:val="19"/>
          <w:color w:val="auto"/>
        </w:rPr>
      </w:pPr>
    </w:p>
    <w:p>
      <w:pPr>
        <w:ind w:left="120" w:right="320" w:firstLine="1940"/>
        <w:spacing w:after="0" w:line="263" w:lineRule="auto"/>
        <w:tabs>
          <w:tab w:leader="none" w:pos="2599" w:val="left"/>
        </w:tabs>
        <w:numPr>
          <w:ilvl w:val="0"/>
          <w:numId w:val="319"/>
        </w:numPr>
        <w:rPr>
          <w:rFonts w:ascii="Arial" w:cs="Arial" w:eastAsia="Arial" w:hAnsi="Arial"/>
          <w:sz w:val="22"/>
          <w:szCs w:val="22"/>
          <w:color w:val="auto"/>
        </w:rPr>
      </w:pPr>
      <w:r>
        <w:rPr>
          <w:rFonts w:ascii="Arial" w:cs="Arial" w:eastAsia="Arial" w:hAnsi="Arial"/>
          <w:sz w:val="22"/>
          <w:szCs w:val="22"/>
          <w:color w:val="auto"/>
        </w:rPr>
        <w:t>Whenever any payment hereunder shall be stated to be due on a day other than a Business Day, such payment shall be made on the next succeeding Business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48</w:t>
      </w:r>
    </w:p>
    <w:p>
      <w:pPr>
        <w:sectPr>
          <w:pgSz w:w="11900" w:h="16838" w:orient="portrait"/>
          <w:cols w:equalWidth="0" w:num="1">
            <w:col w:w="11140"/>
          </w:cols>
          <w:pgMar w:left="320" w:top="1428" w:right="439" w:bottom="1440" w:gutter="0" w:footer="0" w:header="0"/>
        </w:sectPr>
      </w:pPr>
    </w:p>
    <w:bookmarkStart w:id="316" w:name="page317"/>
    <w:bookmarkEnd w:id="316"/>
    <w:p>
      <w:pPr>
        <w:ind w:left="700"/>
        <w:spacing w:after="0" w:line="263" w:lineRule="auto"/>
        <w:rPr>
          <w:sz w:val="20"/>
          <w:szCs w:val="20"/>
          <w:color w:val="auto"/>
        </w:rPr>
      </w:pPr>
      <w:r>
        <w:rPr>
          <w:rFonts w:ascii="Arial" w:cs="Arial" w:eastAsia="Arial" w:hAnsi="Arial"/>
          <w:sz w:val="22"/>
          <w:szCs w:val="22"/>
          <w:color w:val="auto"/>
        </w:rPr>
        <w:t>Day, and such extension of time shall in such case be included in the computation of payment of Yield, interest or any fee payable hereunder, as the case may be.</w:t>
      </w:r>
    </w:p>
    <w:p>
      <w:pPr>
        <w:spacing w:after="0" w:line="215" w:lineRule="exact"/>
        <w:rPr>
          <w:sz w:val="20"/>
          <w:szCs w:val="20"/>
          <w:color w:val="auto"/>
        </w:rPr>
      </w:pPr>
    </w:p>
    <w:p>
      <w:pPr>
        <w:jc w:val="both"/>
        <w:ind w:left="700" w:right="60" w:firstLine="1936"/>
        <w:spacing w:after="0" w:line="292" w:lineRule="auto"/>
        <w:tabs>
          <w:tab w:leader="none" w:pos="3248" w:val="left"/>
        </w:tabs>
        <w:numPr>
          <w:ilvl w:val="0"/>
          <w:numId w:val="320"/>
        </w:numPr>
        <w:rPr>
          <w:rFonts w:ascii="Arial" w:cs="Arial" w:eastAsia="Arial" w:hAnsi="Arial"/>
          <w:sz w:val="19"/>
          <w:szCs w:val="19"/>
          <w:color w:val="auto"/>
        </w:rPr>
      </w:pPr>
      <w:r>
        <w:rPr>
          <w:rFonts w:ascii="Arial" w:cs="Arial" w:eastAsia="Arial" w:hAnsi="Arial"/>
          <w:sz w:val="19"/>
          <w:szCs w:val="19"/>
          <w:color w:val="auto"/>
        </w:rPr>
        <w:t xml:space="preserve">If the Advance requested by the Borrower for any Funding Date and approved by a Lender and the Deal Agent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2.3</w:t>
      </w:r>
      <w:r>
        <w:rPr>
          <w:rFonts w:ascii="Arial" w:cs="Arial" w:eastAsia="Arial" w:hAnsi="Arial"/>
          <w:sz w:val="19"/>
          <w:szCs w:val="19"/>
          <w:color w:val="auto"/>
        </w:rPr>
        <w:t>, is not made or effectuated for any reason other than the failure of the Lender or the Deal Agent to honor its obligations hereunder, as the case may be, on the requested Funding Date, the Borrower shall indemnify such Lender against any reasonable loss, cost or expense incurred by such Lender, including, without limitation,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the Funding.</w:t>
      </w:r>
    </w:p>
    <w:p>
      <w:pPr>
        <w:spacing w:after="0" w:line="178"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Effect of Benchmark Transition Event</w:t>
      </w:r>
      <w:r>
        <w:rPr>
          <w:rFonts w:ascii="Arial" w:cs="Arial" w:eastAsia="Arial" w:hAnsi="Arial"/>
          <w:sz w:val="22"/>
          <w:szCs w:val="22"/>
          <w:color w:val="auto"/>
        </w:rPr>
        <w:t>.</w:t>
      </w:r>
    </w:p>
    <w:p>
      <w:pPr>
        <w:spacing w:after="0" w:line="260" w:lineRule="exact"/>
        <w:rPr>
          <w:sz w:val="20"/>
          <w:szCs w:val="20"/>
          <w:color w:val="auto"/>
        </w:rPr>
      </w:pPr>
    </w:p>
    <w:p>
      <w:pPr>
        <w:jc w:val="both"/>
        <w:ind w:left="700" w:right="80" w:firstLine="1949"/>
        <w:spacing w:after="0" w:line="292" w:lineRule="auto"/>
        <w:tabs>
          <w:tab w:leader="none" w:pos="2978" w:val="left"/>
        </w:tabs>
        <w:numPr>
          <w:ilvl w:val="2"/>
          <w:numId w:val="321"/>
        </w:numPr>
        <w:rPr>
          <w:rFonts w:ascii="Arial" w:cs="Arial" w:eastAsia="Arial" w:hAnsi="Arial"/>
          <w:sz w:val="19"/>
          <w:szCs w:val="19"/>
          <w:color w:val="FF0000"/>
          <w:strike w:val="1"/>
        </w:rPr>
      </w:pPr>
      <w:r>
        <w:rPr>
          <w:rFonts w:ascii="Arial" w:cs="Arial" w:eastAsia="Arial" w:hAnsi="Arial"/>
          <w:sz w:val="19"/>
          <w:szCs w:val="19"/>
          <w:u w:val="single" w:color="auto"/>
          <w:color w:val="FF0000"/>
          <w:strike w:val="1"/>
        </w:rPr>
        <w:t>Benchmark Replacement</w:t>
      </w:r>
      <w:r>
        <w:rPr>
          <w:rFonts w:ascii="Arial" w:cs="Arial" w:eastAsia="Arial" w:hAnsi="Arial"/>
          <w:sz w:val="19"/>
          <w:szCs w:val="19"/>
          <w:color w:val="007F00"/>
          <w:strike w:val="1"/>
        </w:rPr>
        <w:t>. Notwithstanding anything to the contrary herein or in any other</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007F00"/>
          <w:strike w:val="1"/>
        </w:rPr>
        <w:t xml:space="preserve">Transaction Document, </w:t>
      </w:r>
      <w:r>
        <w:rPr>
          <w:rFonts w:ascii="Arial" w:cs="Arial" w:eastAsia="Arial" w:hAnsi="Arial"/>
          <w:sz w:val="19"/>
          <w:szCs w:val="19"/>
          <w:color w:val="FF0000"/>
          <w:strike w:val="1"/>
        </w:rPr>
        <w:t>upon the occurrence of a Benchmark Transition Event or an Early Opt-in Election, as</w:t>
      </w:r>
      <w:r>
        <w:rPr>
          <w:rFonts w:ascii="Arial" w:cs="Arial" w:eastAsia="Arial" w:hAnsi="Arial"/>
          <w:sz w:val="19"/>
          <w:szCs w:val="19"/>
          <w:color w:val="007F00"/>
          <w:strike w:val="1"/>
        </w:rPr>
        <w:t xml:space="preserve"> </w:t>
      </w:r>
      <w:r>
        <w:rPr>
          <w:rFonts w:ascii="Arial" w:cs="Arial" w:eastAsia="Arial" w:hAnsi="Arial"/>
          <w:sz w:val="19"/>
          <w:szCs w:val="19"/>
          <w:color w:val="FF0000"/>
          <w:strike w:val="1"/>
        </w:rPr>
        <w:t xml:space="preserve">applicable, the Deal Agent may amend this Agreement to replace the LIBOR Rate with a Benchmark Replacement. Any such amendment will become effective at 5:00 p.m. on the tenth (10th) Business Day after the Deal Agent has provided such proposed amendment to the Borrower and Credit Acceptance without any further action or consent of the Borrower, Credit Acceptance or any other party hereto. No replacement of the LIBOR Rate with a Benchmark Replacement pursuant to this </w:t>
      </w:r>
      <w:r>
        <w:rPr>
          <w:rFonts w:ascii="Arial" w:cs="Arial" w:eastAsia="Arial" w:hAnsi="Arial"/>
          <w:sz w:val="19"/>
          <w:szCs w:val="19"/>
          <w:u w:val="single" w:color="auto"/>
          <w:color w:val="FF0000"/>
          <w:strike w:val="1"/>
        </w:rPr>
        <w:t>Section 2.11</w:t>
      </w:r>
      <w:r>
        <w:rPr>
          <w:rFonts w:ascii="Arial" w:cs="Arial" w:eastAsia="Arial" w:hAnsi="Arial"/>
          <w:sz w:val="19"/>
          <w:szCs w:val="19"/>
          <w:color w:val="FF0000"/>
          <w:strike w:val="1"/>
        </w:rPr>
        <w:t xml:space="preserve"> will occur prior to the applicable Benchmark Transition Start Date.</w:t>
      </w:r>
    </w:p>
    <w:p>
      <w:pPr>
        <w:spacing w:after="0" w:line="177" w:lineRule="exact"/>
        <w:rPr>
          <w:rFonts w:ascii="Arial" w:cs="Arial" w:eastAsia="Arial" w:hAnsi="Arial"/>
          <w:sz w:val="19"/>
          <w:szCs w:val="19"/>
          <w:color w:val="FF0000"/>
          <w:strike w:val="1"/>
        </w:rPr>
      </w:pPr>
    </w:p>
    <w:p>
      <w:pPr>
        <w:ind w:left="3240" w:hanging="604"/>
        <w:spacing w:after="0"/>
        <w:tabs>
          <w:tab w:leader="none" w:pos="3240" w:val="left"/>
        </w:tabs>
        <w:numPr>
          <w:ilvl w:val="1"/>
          <w:numId w:val="322"/>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Benchmark Replacement.</w:t>
      </w:r>
    </w:p>
    <w:p>
      <w:pPr>
        <w:spacing w:after="0" w:line="260" w:lineRule="exact"/>
        <w:rPr>
          <w:rFonts w:ascii="Arial" w:cs="Arial" w:eastAsia="Arial" w:hAnsi="Arial"/>
          <w:sz w:val="22"/>
          <w:szCs w:val="22"/>
          <w:u w:val="single" w:color="auto"/>
          <w:color w:val="0000FF"/>
        </w:rPr>
      </w:pPr>
    </w:p>
    <w:p>
      <w:pPr>
        <w:jc w:val="both"/>
        <w:ind w:left="1340" w:right="60" w:firstLine="1740"/>
        <w:spacing w:after="0" w:line="285" w:lineRule="auto"/>
        <w:tabs>
          <w:tab w:leader="none" w:pos="3906" w:val="left"/>
        </w:tabs>
        <w:numPr>
          <w:ilvl w:val="3"/>
          <w:numId w:val="322"/>
        </w:numPr>
        <w:rPr>
          <w:rFonts w:ascii="Arial" w:cs="Arial" w:eastAsia="Arial" w:hAnsi="Arial"/>
          <w:sz w:val="19"/>
          <w:szCs w:val="19"/>
          <w:u w:val="single" w:color="auto"/>
          <w:color w:val="auto"/>
        </w:rPr>
      </w:pPr>
      <w:r>
        <w:rPr>
          <w:rFonts w:ascii="Arial" w:cs="Arial" w:eastAsia="Arial" w:hAnsi="Arial"/>
          <w:sz w:val="19"/>
          <w:szCs w:val="19"/>
          <w:u w:val="single" w:color="auto"/>
          <w:color w:val="0000FF"/>
        </w:rPr>
        <w:t>Notwithstanding anything to the contrary herein or in any other Transaction Document (and any Hedging Agreement shall be deemed not to be a “Transaction Document” for purposes of this Section 2.11),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(a)(1) or (a)</w:t>
      </w:r>
    </w:p>
    <w:p>
      <w:pPr>
        <w:spacing w:after="0" w:line="3" w:lineRule="exact"/>
        <w:rPr>
          <w:rFonts w:ascii="Arial" w:cs="Arial" w:eastAsia="Arial" w:hAnsi="Arial"/>
          <w:sz w:val="19"/>
          <w:szCs w:val="19"/>
          <w:u w:val="single" w:color="auto"/>
          <w:color w:val="auto"/>
        </w:rPr>
      </w:pPr>
    </w:p>
    <w:p>
      <w:pPr>
        <w:jc w:val="both"/>
        <w:ind w:left="1340" w:right="60" w:hanging="1"/>
        <w:spacing w:after="0" w:line="281" w:lineRule="auto"/>
        <w:tabs>
          <w:tab w:leader="none" w:pos="1680" w:val="left"/>
        </w:tabs>
        <w:numPr>
          <w:ilvl w:val="0"/>
          <w:numId w:val="323"/>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(a)(3) of the definition of “Benchmark Replacement” for such Benchmark Replacement Date, such Benchmark Replacement will replace such Benchmark for all purposes hereunder and under any Transaction Document in respect of any Benchmark setting on the date agreed to by the Deal Agent and the Borrower</w:t>
      </w:r>
    </w:p>
    <w:p>
      <w:pPr>
        <w:spacing w:after="0" w:line="5" w:lineRule="exact"/>
        <w:rPr>
          <w:rFonts w:ascii="Arial" w:cs="Arial" w:eastAsia="Arial" w:hAnsi="Arial"/>
          <w:sz w:val="19"/>
          <w:szCs w:val="19"/>
          <w:u w:val="single" w:color="auto"/>
          <w:color w:val="0000FF"/>
        </w:rPr>
      </w:pPr>
    </w:p>
    <w:p>
      <w:pPr>
        <w:jc w:val="both"/>
        <w:ind w:left="1340" w:right="60" w:firstLine="1702"/>
        <w:spacing w:after="0" w:line="245" w:lineRule="auto"/>
        <w:tabs>
          <w:tab w:leader="none" w:pos="3892" w:val="left"/>
        </w:tabs>
        <w:numPr>
          <w:ilvl w:val="3"/>
          <w:numId w:val="323"/>
        </w:numPr>
        <w:rPr>
          <w:rFonts w:ascii="Arial" w:cs="Arial" w:eastAsia="Arial" w:hAnsi="Arial"/>
          <w:sz w:val="20"/>
          <w:szCs w:val="20"/>
          <w:color w:val="auto"/>
        </w:rPr>
      </w:pPr>
      <w:r>
        <w:rPr>
          <w:rFonts w:ascii="Arial" w:cs="Arial" w:eastAsia="Arial" w:hAnsi="Arial"/>
          <w:sz w:val="22"/>
          <w:szCs w:val="22"/>
          <w:u w:val="single" w:color="auto"/>
          <w:color w:val="0000FF"/>
        </w:rPr>
        <w:t>Notwithstanding anything to the contrary herein or in any other Transaction Document, if a Term SOFR Transition Event and its related Benchmark Replacement Date have occurred prior to the Reference Time in respect of</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49</w:t>
      </w:r>
    </w:p>
    <w:p>
      <w:pPr>
        <w:sectPr>
          <w:pgSz w:w="11900" w:h="16838" w:orient="portrait"/>
          <w:cols w:equalWidth="0" w:num="1">
            <w:col w:w="11200"/>
          </w:cols>
          <w:pgMar w:left="320" w:top="1428" w:right="379" w:bottom="1440" w:gutter="0" w:footer="0" w:header="0"/>
        </w:sectPr>
      </w:pPr>
    </w:p>
    <w:bookmarkStart w:id="317" w:name="page318"/>
    <w:bookmarkEnd w:id="317"/>
    <w:p>
      <w:pPr>
        <w:jc w:val="both"/>
        <w:ind w:left="1340" w:right="40" w:firstLine="14"/>
        <w:spacing w:after="0" w:line="260" w:lineRule="auto"/>
        <w:rPr>
          <w:sz w:val="20"/>
          <w:szCs w:val="20"/>
          <w:color w:val="auto"/>
        </w:rPr>
      </w:pPr>
      <w:r>
        <w:rPr>
          <w:rFonts w:ascii="Arial" w:cs="Arial" w:eastAsia="Arial" w:hAnsi="Arial"/>
          <w:sz w:val="21"/>
          <w:szCs w:val="21"/>
          <w:u w:val="single" w:color="auto"/>
          <w:color w:val="0000FF"/>
        </w:rPr>
        <w:t>any setting of the then-current Benchmark, then the applicable Benchmark Replacement will replace the then-current Benchmark for all purposes hereunder or under any Transaction Document in respect of such Benchmark setting and subsequent Benchmark settings, without any amendment to, or further action or consent of any other party to, this Agreement or any other Transaction Document; provided that this clause (ii) shall not be effective unless the Deal Agent has delivered to the Borrower a Term SOFR Notice. For the avoidance of doubt, the Deal Agent shall not be required to deliver a Term SOFR Notice after a Term SOFR Transition Event and may elect or not elect to do so in its sole discretion.</w:t>
      </w:r>
    </w:p>
    <w:p>
      <w:pPr>
        <w:spacing w:after="0" w:line="221" w:lineRule="exact"/>
        <w:rPr>
          <w:sz w:val="20"/>
          <w:szCs w:val="20"/>
          <w:color w:val="auto"/>
        </w:rPr>
      </w:pPr>
    </w:p>
    <w:p>
      <w:pPr>
        <w:jc w:val="both"/>
        <w:ind w:left="700" w:firstLine="1936"/>
        <w:spacing w:after="0" w:line="285" w:lineRule="auto"/>
        <w:tabs>
          <w:tab w:leader="none" w:pos="3247" w:val="left"/>
        </w:tabs>
        <w:numPr>
          <w:ilvl w:val="0"/>
          <w:numId w:val="32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In connection with the implementation of a Benchmark Replacement, the Deal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the Borrower</w:t>
      </w:r>
      <w:r>
        <w:rPr>
          <w:rFonts w:ascii="Arial" w:cs="Arial" w:eastAsia="Arial" w:hAnsi="Arial"/>
          <w:sz w:val="19"/>
          <w:szCs w:val="19"/>
          <w:color w:val="FF0000"/>
          <w:strike w:val="1"/>
        </w:rPr>
        <w:t>, Credit Acceptance</w:t>
      </w:r>
      <w:r>
        <w:rPr>
          <w:rFonts w:ascii="Arial" w:cs="Arial" w:eastAsia="Arial" w:hAnsi="Arial"/>
          <w:sz w:val="19"/>
          <w:szCs w:val="19"/>
          <w:color w:val="auto"/>
        </w:rPr>
        <w:t xml:space="preserve"> or any other party hereto</w:t>
      </w:r>
    </w:p>
    <w:p>
      <w:pPr>
        <w:spacing w:after="0" w:line="3" w:lineRule="exact"/>
        <w:rPr>
          <w:rFonts w:ascii="Arial" w:cs="Arial" w:eastAsia="Arial" w:hAnsi="Arial"/>
          <w:sz w:val="19"/>
          <w:szCs w:val="19"/>
          <w:u w:val="single" w:color="auto"/>
          <w:color w:val="auto"/>
        </w:rPr>
      </w:pPr>
    </w:p>
    <w:p>
      <w:pPr>
        <w:jc w:val="both"/>
        <w:ind w:left="700" w:firstLine="1936"/>
        <w:spacing w:after="0" w:line="256" w:lineRule="auto"/>
        <w:tabs>
          <w:tab w:leader="none" w:pos="3255" w:val="left"/>
        </w:tabs>
        <w:numPr>
          <w:ilvl w:val="0"/>
          <w:numId w:val="324"/>
        </w:numPr>
        <w:rPr>
          <w:rFonts w:ascii="Arial" w:cs="Arial" w:eastAsia="Arial" w:hAnsi="Arial"/>
          <w:sz w:val="19"/>
          <w:szCs w:val="19"/>
          <w:color w:val="auto"/>
        </w:rPr>
      </w:pPr>
      <w:r>
        <w:rPr>
          <w:rFonts w:ascii="Arial" w:cs="Arial" w:eastAsia="Arial" w:hAnsi="Arial"/>
          <w:sz w:val="21"/>
          <w:szCs w:val="21"/>
          <w:u w:val="single" w:color="auto"/>
          <w:color w:val="auto"/>
        </w:rPr>
        <w:t>Notices; Standards for Decisions and Determinations</w:t>
      </w:r>
      <w:r>
        <w:rPr>
          <w:rFonts w:ascii="Arial" w:cs="Arial" w:eastAsia="Arial" w:hAnsi="Arial"/>
          <w:sz w:val="21"/>
          <w:szCs w:val="21"/>
          <w:color w:val="auto"/>
        </w:rPr>
        <w:t xml:space="preserve">. The Deal Agent will promptly notify the Borrower </w:t>
      </w:r>
      <w:r>
        <w:rPr>
          <w:rFonts w:ascii="Arial" w:cs="Arial" w:eastAsia="Arial" w:hAnsi="Arial"/>
          <w:sz w:val="21"/>
          <w:szCs w:val="21"/>
          <w:color w:val="FF0000"/>
          <w:strike w:val="1"/>
        </w:rPr>
        <w:t>and Credit Acceptance</w:t>
      </w:r>
      <w:r>
        <w:rPr>
          <w:rFonts w:ascii="Arial" w:cs="Arial" w:eastAsia="Arial" w:hAnsi="Arial"/>
          <w:sz w:val="21"/>
          <w:szCs w:val="21"/>
          <w:color w:val="auto"/>
        </w:rPr>
        <w:t xml:space="preserve"> of (i) any occurrence of a Benchmark Transition Event or </w:t>
      </w:r>
      <w:r>
        <w:rPr>
          <w:rFonts w:ascii="Arial" w:cs="Arial" w:eastAsia="Arial" w:hAnsi="Arial"/>
          <w:sz w:val="21"/>
          <w:szCs w:val="21"/>
          <w:color w:val="FF0000"/>
          <w:strike w:val="1"/>
        </w:rPr>
        <w:t>an Early Opt-in</w:t>
      </w:r>
      <w:r>
        <w:rPr>
          <w:rFonts w:ascii="Arial" w:cs="Arial" w:eastAsia="Arial" w:hAnsi="Arial"/>
          <w:sz w:val="21"/>
          <w:szCs w:val="21"/>
          <w:color w:val="auto"/>
        </w:rPr>
        <w:t xml:space="preserve"> </w:t>
      </w:r>
      <w:r>
        <w:rPr>
          <w:rFonts w:ascii="Arial" w:cs="Arial" w:eastAsia="Arial" w:hAnsi="Arial"/>
          <w:sz w:val="21"/>
          <w:szCs w:val="21"/>
          <w:color w:val="FF0000"/>
          <w:strike w:val="1"/>
        </w:rPr>
        <w:t>Election</w:t>
      </w:r>
      <w:r>
        <w:rPr>
          <w:rFonts w:ascii="Arial" w:cs="Arial" w:eastAsia="Arial" w:hAnsi="Arial"/>
          <w:sz w:val="21"/>
          <w:szCs w:val="21"/>
          <w:u w:val="single" w:color="auto"/>
          <w:color w:val="0000FF"/>
        </w:rPr>
        <w:t>a Term SOFR Transition Event</w:t>
      </w:r>
      <w:r>
        <w:rPr>
          <w:rFonts w:ascii="Arial" w:cs="Arial" w:eastAsia="Arial" w:hAnsi="Arial"/>
          <w:sz w:val="21"/>
          <w:szCs w:val="21"/>
          <w:color w:val="000000"/>
        </w:rPr>
        <w:t>, as applicable, and its related Benchmark Replacement</w:t>
      </w:r>
      <w:r>
        <w:rPr>
          <w:rFonts w:ascii="Arial" w:cs="Arial" w:eastAsia="Arial" w:hAnsi="Arial"/>
          <w:sz w:val="21"/>
          <w:szCs w:val="21"/>
          <w:color w:val="FF0000"/>
        </w:rPr>
        <w:t xml:space="preserve"> </w:t>
      </w:r>
      <w:r>
        <w:rPr>
          <w:rFonts w:ascii="Arial" w:cs="Arial" w:eastAsia="Arial" w:hAnsi="Arial"/>
          <w:sz w:val="21"/>
          <w:szCs w:val="21"/>
          <w:color w:val="FF0000"/>
          <w:strike w:val="1"/>
        </w:rPr>
        <w:t>Date and Benchmark</w:t>
      </w:r>
      <w:r>
        <w:rPr>
          <w:rFonts w:ascii="Arial" w:cs="Arial" w:eastAsia="Arial" w:hAnsi="Arial"/>
          <w:sz w:val="21"/>
          <w:szCs w:val="21"/>
          <w:color w:val="FF0000"/>
        </w:rPr>
        <w:t xml:space="preserve"> </w:t>
      </w:r>
      <w:r>
        <w:rPr>
          <w:rFonts w:ascii="Arial" w:cs="Arial" w:eastAsia="Arial" w:hAnsi="Arial"/>
          <w:sz w:val="21"/>
          <w:szCs w:val="21"/>
          <w:color w:val="FF0000"/>
          <w:strike w:val="1"/>
        </w:rPr>
        <w:t>Transition Start</w:t>
      </w:r>
      <w:r>
        <w:rPr>
          <w:rFonts w:ascii="Arial" w:cs="Arial" w:eastAsia="Arial" w:hAnsi="Arial"/>
          <w:sz w:val="21"/>
          <w:szCs w:val="21"/>
          <w:color w:val="FF0000"/>
        </w:rPr>
        <w:t xml:space="preserve"> </w:t>
      </w:r>
      <w:r>
        <w:rPr>
          <w:rFonts w:ascii="Arial" w:cs="Arial" w:eastAsia="Arial" w:hAnsi="Arial"/>
          <w:sz w:val="21"/>
          <w:szCs w:val="21"/>
          <w:color w:val="000000"/>
        </w:rPr>
        <w:t>Date, (ii) the implementation of any Benchmark Replacement, (iii) the effectiveness of any Benchmark</w:t>
      </w:r>
      <w:r>
        <w:rPr>
          <w:rFonts w:ascii="Arial" w:cs="Arial" w:eastAsia="Arial" w:hAnsi="Arial"/>
          <w:sz w:val="21"/>
          <w:szCs w:val="21"/>
          <w:color w:val="FF0000"/>
        </w:rPr>
        <w:t xml:space="preserve"> </w:t>
      </w:r>
      <w:r>
        <w:rPr>
          <w:rFonts w:ascii="Arial" w:cs="Arial" w:eastAsia="Arial" w:hAnsi="Arial"/>
          <w:sz w:val="21"/>
          <w:szCs w:val="21"/>
          <w:color w:val="000000"/>
        </w:rPr>
        <w:t xml:space="preserve">Replacement Conforming Changes </w:t>
      </w:r>
      <w:r>
        <w:rPr>
          <w:rFonts w:ascii="Arial" w:cs="Arial" w:eastAsia="Arial" w:hAnsi="Arial"/>
          <w:sz w:val="21"/>
          <w:szCs w:val="21"/>
          <w:color w:val="FF0000"/>
          <w:strike w:val="1"/>
        </w:rPr>
        <w:t>and</w:t>
      </w:r>
      <w:r>
        <w:rPr>
          <w:rFonts w:ascii="Arial" w:cs="Arial" w:eastAsia="Arial" w:hAnsi="Arial"/>
          <w:sz w:val="21"/>
          <w:szCs w:val="21"/>
          <w:color w:val="0000FF"/>
        </w:rPr>
        <w:t>,</w:t>
      </w:r>
      <w:r>
        <w:rPr>
          <w:rFonts w:ascii="Arial" w:cs="Arial" w:eastAsia="Arial" w:hAnsi="Arial"/>
          <w:sz w:val="21"/>
          <w:szCs w:val="21"/>
          <w:color w:val="000000"/>
        </w:rPr>
        <w:t xml:space="preserve"> (iv) </w:t>
      </w:r>
      <w:r>
        <w:rPr>
          <w:rFonts w:ascii="Arial" w:cs="Arial" w:eastAsia="Arial" w:hAnsi="Arial"/>
          <w:sz w:val="21"/>
          <w:szCs w:val="21"/>
          <w:u w:val="single" w:color="auto"/>
          <w:color w:val="0000FF"/>
        </w:rPr>
        <w:t>the removal or reinstatement of any tenor of a Benchmark pursuant to</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Section 2.11(d) below and (v)</w:t>
      </w:r>
      <w:r>
        <w:rPr>
          <w:rFonts w:ascii="Arial" w:cs="Arial" w:eastAsia="Arial" w:hAnsi="Arial"/>
          <w:sz w:val="21"/>
          <w:szCs w:val="21"/>
          <w:color w:val="0000FF"/>
        </w:rPr>
        <w:t xml:space="preserve"> </w:t>
      </w:r>
      <w:r>
        <w:rPr>
          <w:rFonts w:ascii="Arial" w:cs="Arial" w:eastAsia="Arial" w:hAnsi="Arial"/>
          <w:sz w:val="21"/>
          <w:szCs w:val="21"/>
          <w:color w:val="000000"/>
        </w:rPr>
        <w:t>the commencement or conclusion of any Benchmark Unavailability Period. Any</w:t>
      </w:r>
      <w:r>
        <w:rPr>
          <w:rFonts w:ascii="Arial" w:cs="Arial" w:eastAsia="Arial" w:hAnsi="Arial"/>
          <w:sz w:val="21"/>
          <w:szCs w:val="21"/>
          <w:color w:val="0000FF"/>
        </w:rPr>
        <w:t xml:space="preserve"> </w:t>
      </w:r>
      <w:r>
        <w:rPr>
          <w:rFonts w:ascii="Arial" w:cs="Arial" w:eastAsia="Arial" w:hAnsi="Arial"/>
          <w:sz w:val="21"/>
          <w:szCs w:val="21"/>
          <w:color w:val="000000"/>
        </w:rPr>
        <w:t xml:space="preserve">determination, decision or election that may be made by the Deal Agent pursuant to this Section 2.11, including any determination with respect to a tenor, rate or adjustment or of the occurrence or non-occurrence of an event, circumstance or date and any decision to take or refrain from taking any action </w:t>
      </w:r>
      <w:r>
        <w:rPr>
          <w:rFonts w:ascii="Arial" w:cs="Arial" w:eastAsia="Arial" w:hAnsi="Arial"/>
          <w:sz w:val="21"/>
          <w:szCs w:val="21"/>
          <w:u w:val="single" w:color="auto"/>
          <w:color w:val="0000FF"/>
        </w:rPr>
        <w:t>or any selection</w:t>
      </w:r>
      <w:r>
        <w:rPr>
          <w:rFonts w:ascii="Arial" w:cs="Arial" w:eastAsia="Arial" w:hAnsi="Arial"/>
          <w:sz w:val="21"/>
          <w:szCs w:val="21"/>
          <w:color w:val="000000"/>
        </w:rPr>
        <w:t xml:space="preserve">, will be conclusive and binding absent manifest error and may be made in </w:t>
      </w:r>
      <w:r>
        <w:rPr>
          <w:rFonts w:ascii="Arial" w:cs="Arial" w:eastAsia="Arial" w:hAnsi="Arial"/>
          <w:sz w:val="21"/>
          <w:szCs w:val="21"/>
          <w:color w:val="FF0000"/>
          <w:strike w:val="1"/>
        </w:rPr>
        <w:t>the Deal Agent’s commercially reasonable</w:t>
      </w:r>
      <w:r>
        <w:rPr>
          <w:rFonts w:ascii="Arial" w:cs="Arial" w:eastAsia="Arial" w:hAnsi="Arial"/>
          <w:sz w:val="21"/>
          <w:szCs w:val="21"/>
          <w:u w:val="single" w:color="auto"/>
          <w:color w:val="0000FF"/>
        </w:rPr>
        <w:t>its sole</w:t>
      </w:r>
      <w:r>
        <w:rPr>
          <w:rFonts w:ascii="Arial" w:cs="Arial" w:eastAsia="Arial" w:hAnsi="Arial"/>
          <w:sz w:val="21"/>
          <w:szCs w:val="21"/>
          <w:color w:val="000000"/>
        </w:rPr>
        <w:t xml:space="preserve"> discretion and without consent from the Borrower</w:t>
      </w:r>
      <w:r>
        <w:rPr>
          <w:rFonts w:ascii="Arial" w:cs="Arial" w:eastAsia="Arial" w:hAnsi="Arial"/>
          <w:sz w:val="21"/>
          <w:szCs w:val="21"/>
          <w:color w:val="FF0000"/>
          <w:strike w:val="1"/>
        </w:rPr>
        <w:t>, Credit Acceptance</w:t>
      </w:r>
      <w:r>
        <w:rPr>
          <w:rFonts w:ascii="Arial" w:cs="Arial" w:eastAsia="Arial" w:hAnsi="Arial"/>
          <w:sz w:val="21"/>
          <w:szCs w:val="21"/>
          <w:color w:val="000000"/>
        </w:rPr>
        <w:t xml:space="preserve"> or any other party hereto, except, in each case, as expressly required pursuant to this Section 2.11.</w:t>
      </w:r>
    </w:p>
    <w:p>
      <w:pPr>
        <w:spacing w:after="0" w:line="212" w:lineRule="exact"/>
        <w:rPr>
          <w:rFonts w:ascii="Arial" w:cs="Arial" w:eastAsia="Arial" w:hAnsi="Arial"/>
          <w:sz w:val="19"/>
          <w:szCs w:val="19"/>
          <w:color w:val="auto"/>
        </w:rPr>
      </w:pPr>
    </w:p>
    <w:p>
      <w:pPr>
        <w:jc w:val="both"/>
        <w:ind w:left="700" w:right="40" w:firstLine="1936"/>
        <w:spacing w:after="0" w:line="257" w:lineRule="auto"/>
        <w:tabs>
          <w:tab w:leader="none" w:pos="3260" w:val="left"/>
        </w:tabs>
        <w:numPr>
          <w:ilvl w:val="0"/>
          <w:numId w:val="324"/>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Unavailability of Tenor of Benchmark</w:t>
      </w:r>
      <w:r>
        <w:rPr>
          <w:rFonts w:ascii="Arial" w:cs="Arial" w:eastAsia="Arial" w:hAnsi="Arial"/>
          <w:sz w:val="21"/>
          <w:szCs w:val="21"/>
          <w:u w:val="single" w:color="auto"/>
          <w:color w:val="007F00"/>
        </w:rPr>
        <w:t>. Notwithstanding anything to the contrary herein or</w:t>
      </w:r>
      <w:r>
        <w:rPr>
          <w:rFonts w:ascii="Arial" w:cs="Arial" w:eastAsia="Arial" w:hAnsi="Arial"/>
          <w:sz w:val="21"/>
          <w:szCs w:val="21"/>
          <w:u w:val="single" w:color="auto"/>
          <w:color w:val="0000FF"/>
        </w:rPr>
        <w:t xml:space="preserve"> </w:t>
      </w:r>
      <w:r>
        <w:rPr>
          <w:rFonts w:ascii="Arial" w:cs="Arial" w:eastAsia="Arial" w:hAnsi="Arial"/>
          <w:sz w:val="21"/>
          <w:szCs w:val="21"/>
          <w:u w:val="single" w:color="auto"/>
          <w:color w:val="007F00"/>
        </w:rPr>
        <w:t xml:space="preserve">in any other Transaction Document, </w:t>
      </w:r>
      <w:r>
        <w:rPr>
          <w:rFonts w:ascii="Arial" w:cs="Arial" w:eastAsia="Arial" w:hAnsi="Arial"/>
          <w:sz w:val="21"/>
          <w:szCs w:val="21"/>
          <w:u w:val="single" w:color="auto"/>
          <w:color w:val="0000FF"/>
        </w:rPr>
        <w:t>at any time (including in connection with the implementation of a Benchmark</w:t>
      </w:r>
      <w:r>
        <w:rPr>
          <w:rFonts w:ascii="Arial" w:cs="Arial" w:eastAsia="Arial" w:hAnsi="Arial"/>
          <w:sz w:val="21"/>
          <w:szCs w:val="21"/>
          <w:u w:val="single" w:color="auto"/>
          <w:color w:val="007F00"/>
        </w:rPr>
        <w:t xml:space="preserve"> </w:t>
      </w:r>
      <w:r>
        <w:rPr>
          <w:rFonts w:ascii="Arial" w:cs="Arial" w:eastAsia="Arial" w:hAnsi="Arial"/>
          <w:sz w:val="21"/>
          <w:szCs w:val="21"/>
          <w:u w:val="single" w:color="auto"/>
          <w:color w:val="0000FF"/>
        </w:rPr>
        <w:t>Replacement), (i) if the then-current Benchmark is a term rate (including Term SOFR or USD LIBOR) and either (A) any tenor for such Benchmark is not displayed on a screen or other information service that publishes such rate from time to time as selected by the Deal Agent in its reasonable discretion or (B) the regulatory supervisor for the administrator of such Benchmark has provided a public statement or publication of information announcing that any tenor for such Benchmark is or will be no longer representative, then the Deal Agent may modify the definition of “Accrual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Deal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50</w:t>
      </w:r>
    </w:p>
    <w:p>
      <w:pPr>
        <w:sectPr>
          <w:pgSz w:w="11900" w:h="16838" w:orient="portrait"/>
          <w:cols w:equalWidth="0" w:num="1">
            <w:col w:w="11140"/>
          </w:cols>
          <w:pgMar w:left="320" w:top="1428" w:right="439" w:bottom="1440" w:gutter="0" w:footer="0" w:header="0"/>
        </w:sectPr>
      </w:pPr>
    </w:p>
    <w:bookmarkStart w:id="318" w:name="page319"/>
    <w:bookmarkEnd w:id="318"/>
    <w:p>
      <w:pPr>
        <w:ind w:left="700" w:right="200"/>
        <w:spacing w:after="0" w:line="263" w:lineRule="auto"/>
        <w:rPr>
          <w:sz w:val="20"/>
          <w:szCs w:val="20"/>
          <w:color w:val="auto"/>
        </w:rPr>
      </w:pPr>
      <w:r>
        <w:rPr>
          <w:rFonts w:ascii="Arial" w:cs="Arial" w:eastAsia="Arial" w:hAnsi="Arial"/>
          <w:sz w:val="22"/>
          <w:szCs w:val="22"/>
          <w:u w:val="single" w:color="auto"/>
          <w:color w:val="0000FF"/>
        </w:rPr>
        <w:t>Agent may modify the definition of “Accrual Period” for all Benchmark settings at or after such time to reinstate such previously removed tenor.</w:t>
      </w:r>
    </w:p>
    <w:p>
      <w:pPr>
        <w:spacing w:after="0" w:line="202" w:lineRule="exact"/>
        <w:rPr>
          <w:sz w:val="20"/>
          <w:szCs w:val="20"/>
          <w:color w:val="auto"/>
        </w:rPr>
      </w:pPr>
    </w:p>
    <w:p>
      <w:pPr>
        <w:ind w:left="660" w:right="40" w:firstLine="1944"/>
        <w:spacing w:after="0" w:line="289" w:lineRule="auto"/>
        <w:rPr>
          <w:sz w:val="20"/>
          <w:szCs w:val="20"/>
          <w:color w:val="auto"/>
        </w:rPr>
      </w:pPr>
      <w:r>
        <w:rPr>
          <w:rFonts w:ascii="Arial" w:cs="Arial" w:eastAsia="Arial" w:hAnsi="Arial"/>
          <w:sz w:val="19"/>
          <w:szCs w:val="19"/>
          <w:u w:val="single" w:color="auto"/>
          <w:color w:val="0000FF"/>
        </w:rPr>
        <w:t>(e)</w:t>
      </w:r>
      <w:r>
        <w:rPr>
          <w:rFonts w:ascii="Arial" w:cs="Arial" w:eastAsia="Arial" w:hAnsi="Arial"/>
          <w:sz w:val="19"/>
          <w:szCs w:val="19"/>
          <w:color w:val="FF0000"/>
          <w:strike w:val="1"/>
        </w:rPr>
        <w:t>(d)</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Benchmark Unavailability Period</w:t>
      </w:r>
      <w:r>
        <w:rPr>
          <w:rFonts w:ascii="Arial" w:cs="Arial" w:eastAsia="Arial" w:hAnsi="Arial"/>
          <w:sz w:val="19"/>
          <w:szCs w:val="19"/>
          <w:color w:val="000000"/>
        </w:rPr>
        <w:t>. Upon the Borrower’s receipt of notice of the</w:t>
      </w:r>
      <w:r>
        <w:rPr>
          <w:rFonts w:ascii="Arial" w:cs="Arial" w:eastAsia="Arial" w:hAnsi="Arial"/>
          <w:sz w:val="19"/>
          <w:szCs w:val="19"/>
          <w:color w:val="0000FF"/>
        </w:rPr>
        <w:t xml:space="preserve"> </w:t>
      </w:r>
      <w:r>
        <w:rPr>
          <w:rFonts w:ascii="Arial" w:cs="Arial" w:eastAsia="Arial" w:hAnsi="Arial"/>
          <w:sz w:val="19"/>
          <w:szCs w:val="19"/>
          <w:color w:val="000000"/>
        </w:rPr>
        <w:t xml:space="preserve">commencement of a Benchmark Unavailability Period, the Borrower may revoke any request for </w:t>
      </w:r>
      <w:r>
        <w:rPr>
          <w:rFonts w:ascii="Arial" w:cs="Arial" w:eastAsia="Arial" w:hAnsi="Arial"/>
          <w:sz w:val="19"/>
          <w:szCs w:val="19"/>
          <w:color w:val="FF0000"/>
          <w:strike w:val="1"/>
        </w:rPr>
        <w:t>an</w:t>
      </w:r>
      <w:r>
        <w:rPr>
          <w:rFonts w:ascii="Arial" w:cs="Arial" w:eastAsia="Arial" w:hAnsi="Arial"/>
          <w:sz w:val="19"/>
          <w:szCs w:val="19"/>
          <w:u w:val="single" w:color="auto"/>
          <w:color w:val="0000FF"/>
        </w:rPr>
        <w:t>a</w:t>
      </w:r>
      <w:r>
        <w:rPr>
          <w:rFonts w:ascii="Arial" w:cs="Arial" w:eastAsia="Arial" w:hAnsi="Arial"/>
          <w:sz w:val="19"/>
          <w:szCs w:val="19"/>
          <w:color w:val="000000"/>
        </w:rPr>
        <w:t xml:space="preserve"> borrowing of, conversion to or continuation of </w:t>
      </w:r>
      <w:r>
        <w:rPr>
          <w:rFonts w:ascii="Arial" w:cs="Arial" w:eastAsia="Arial" w:hAnsi="Arial"/>
          <w:sz w:val="19"/>
          <w:szCs w:val="19"/>
          <w:color w:val="FF0000"/>
          <w:strike w:val="1"/>
        </w:rPr>
        <w:t>Advances for which the Yield Rate is the Alternative Rate</w:t>
      </w:r>
      <w:r>
        <w:rPr>
          <w:rFonts w:ascii="Arial" w:cs="Arial" w:eastAsia="Arial" w:hAnsi="Arial"/>
          <w:sz w:val="19"/>
          <w:szCs w:val="19"/>
          <w:u w:val="single" w:color="auto"/>
          <w:color w:val="0000FF"/>
        </w:rPr>
        <w:t>Loans accruing interest by</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reference to USD LIBOR</w:t>
      </w:r>
      <w:r>
        <w:rPr>
          <w:rFonts w:ascii="Arial" w:cs="Arial" w:eastAsia="Arial" w:hAnsi="Arial"/>
          <w:sz w:val="19"/>
          <w:szCs w:val="19"/>
          <w:color w:val="0000FF"/>
        </w:rPr>
        <w:t xml:space="preserve"> </w:t>
      </w:r>
      <w:r>
        <w:rPr>
          <w:rFonts w:ascii="Arial" w:cs="Arial" w:eastAsia="Arial" w:hAnsi="Arial"/>
          <w:sz w:val="19"/>
          <w:szCs w:val="19"/>
          <w:color w:val="000000"/>
        </w:rPr>
        <w:t>to be made, converted or continued during</w:t>
      </w:r>
      <w:r>
        <w:rPr>
          <w:rFonts w:ascii="Arial" w:cs="Arial" w:eastAsia="Arial" w:hAnsi="Arial"/>
          <w:sz w:val="19"/>
          <w:szCs w:val="19"/>
          <w:color w:val="0000FF"/>
        </w:rPr>
        <w:t xml:space="preserve"> </w:t>
      </w:r>
      <w:r>
        <w:rPr>
          <w:rFonts w:ascii="Arial" w:cs="Arial" w:eastAsia="Arial" w:hAnsi="Arial"/>
          <w:sz w:val="19"/>
          <w:szCs w:val="19"/>
          <w:color w:val="FF0000"/>
          <w:strike w:val="1"/>
        </w:rPr>
        <w:t>any</w:t>
      </w:r>
      <w:r>
        <w:rPr>
          <w:rFonts w:ascii="Arial" w:cs="Arial" w:eastAsia="Arial" w:hAnsi="Arial"/>
          <w:sz w:val="19"/>
          <w:szCs w:val="19"/>
          <w:u w:val="single" w:color="auto"/>
          <w:color w:val="0000FF"/>
        </w:rPr>
        <w:t>such</w:t>
      </w:r>
      <w:r>
        <w:rPr>
          <w:rFonts w:ascii="Arial" w:cs="Arial" w:eastAsia="Arial" w:hAnsi="Arial"/>
          <w:sz w:val="19"/>
          <w:szCs w:val="19"/>
          <w:color w:val="0000FF"/>
        </w:rPr>
        <w:t xml:space="preserve"> </w:t>
      </w:r>
      <w:r>
        <w:rPr>
          <w:rFonts w:ascii="Arial" w:cs="Arial" w:eastAsia="Arial" w:hAnsi="Arial"/>
          <w:sz w:val="19"/>
          <w:szCs w:val="19"/>
          <w:color w:val="000000"/>
        </w:rPr>
        <w:t>Benchmark Unavailability Period and,</w:t>
      </w:r>
      <w:r>
        <w:rPr>
          <w:rFonts w:ascii="Arial" w:cs="Arial" w:eastAsia="Arial" w:hAnsi="Arial"/>
          <w:sz w:val="19"/>
          <w:szCs w:val="19"/>
          <w:color w:val="0000FF"/>
        </w:rPr>
        <w:t xml:space="preserve"> </w:t>
      </w:r>
      <w:r>
        <w:rPr>
          <w:rFonts w:ascii="Arial" w:cs="Arial" w:eastAsia="Arial" w:hAnsi="Arial"/>
          <w:sz w:val="19"/>
          <w:szCs w:val="19"/>
          <w:color w:val="000000"/>
        </w:rPr>
        <w:t xml:space="preserve">failing that, the Borrower will be deemed to have converted any such request into a request for a borrowing of or conversion to </w:t>
      </w:r>
      <w:r>
        <w:rPr>
          <w:rFonts w:ascii="Arial" w:cs="Arial" w:eastAsia="Arial" w:hAnsi="Arial"/>
          <w:sz w:val="19"/>
          <w:szCs w:val="19"/>
          <w:color w:val="FF0000"/>
          <w:strike w:val="1"/>
        </w:rPr>
        <w:t>Advances for which the Yield Rate is</w:t>
      </w:r>
      <w:r>
        <w:rPr>
          <w:rFonts w:ascii="Arial" w:cs="Arial" w:eastAsia="Arial" w:hAnsi="Arial"/>
          <w:sz w:val="19"/>
          <w:szCs w:val="19"/>
          <w:u w:val="single" w:color="auto"/>
          <w:color w:val="0000FF"/>
        </w:rPr>
        <w:t>a Loan accruing interest by reference to</w:t>
      </w:r>
      <w:r>
        <w:rPr>
          <w:rFonts w:ascii="Arial" w:cs="Arial" w:eastAsia="Arial" w:hAnsi="Arial"/>
          <w:sz w:val="19"/>
          <w:szCs w:val="19"/>
          <w:color w:val="000000"/>
        </w:rPr>
        <w:t xml:space="preserve"> the Base Rate. During any Benchmark Unavailability Period </w:t>
      </w:r>
      <w:r>
        <w:rPr>
          <w:rFonts w:ascii="Arial" w:cs="Arial" w:eastAsia="Arial" w:hAnsi="Arial"/>
          <w:sz w:val="19"/>
          <w:szCs w:val="19"/>
          <w:u w:val="single" w:color="auto"/>
          <w:color w:val="0000FF"/>
        </w:rPr>
        <w:t>or at any time that a tenor for the then- current Benchmark is not an Available Tenor</w:t>
      </w:r>
      <w:r>
        <w:rPr>
          <w:rFonts w:ascii="Arial" w:cs="Arial" w:eastAsia="Arial" w:hAnsi="Arial"/>
          <w:sz w:val="19"/>
          <w:szCs w:val="19"/>
          <w:color w:val="000000"/>
        </w:rPr>
        <w:t xml:space="preserve">, the component of </w:t>
      </w:r>
      <w:r>
        <w:rPr>
          <w:rFonts w:ascii="Arial" w:cs="Arial" w:eastAsia="Arial" w:hAnsi="Arial"/>
          <w:sz w:val="19"/>
          <w:szCs w:val="19"/>
          <w:color w:val="FF0000"/>
          <w:strike w:val="1"/>
        </w:rPr>
        <w:t>the</w:t>
      </w:r>
      <w:r>
        <w:rPr>
          <w:rFonts w:ascii="Arial" w:cs="Arial" w:eastAsia="Arial" w:hAnsi="Arial"/>
          <w:sz w:val="19"/>
          <w:szCs w:val="19"/>
          <w:color w:val="000000"/>
        </w:rPr>
        <w:t xml:space="preserve"> Base Rate based upon the </w:t>
      </w:r>
      <w:r>
        <w:rPr>
          <w:rFonts w:ascii="Arial" w:cs="Arial" w:eastAsia="Arial" w:hAnsi="Arial"/>
          <w:sz w:val="19"/>
          <w:szCs w:val="19"/>
          <w:color w:val="FF0000"/>
          <w:strike w:val="1"/>
        </w:rPr>
        <w:t>LIBOR Rate</w:t>
      </w:r>
      <w:r>
        <w:rPr>
          <w:rFonts w:ascii="Arial" w:cs="Arial" w:eastAsia="Arial" w:hAnsi="Arial"/>
          <w:sz w:val="19"/>
          <w:szCs w:val="19"/>
          <w:u w:val="single" w:color="auto"/>
          <w:color w:val="0000FF"/>
        </w:rPr>
        <w:t>then-current Benchmark or such tenor for such Benchmark,</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as applicable,</w:t>
      </w:r>
      <w:r>
        <w:rPr>
          <w:rFonts w:ascii="Arial" w:cs="Arial" w:eastAsia="Arial" w:hAnsi="Arial"/>
          <w:sz w:val="19"/>
          <w:szCs w:val="19"/>
          <w:color w:val="0000FF"/>
        </w:rPr>
        <w:t xml:space="preserve"> </w:t>
      </w:r>
      <w:r>
        <w:rPr>
          <w:rFonts w:ascii="Arial" w:cs="Arial" w:eastAsia="Arial" w:hAnsi="Arial"/>
          <w:sz w:val="19"/>
          <w:szCs w:val="19"/>
          <w:color w:val="000000"/>
        </w:rPr>
        <w:t>will not be used in any determination of the Base Rate.</w:t>
      </w:r>
    </w:p>
    <w:p>
      <w:pPr>
        <w:spacing w:after="0" w:line="197" w:lineRule="exact"/>
        <w:rPr>
          <w:sz w:val="20"/>
          <w:szCs w:val="20"/>
          <w:color w:val="auto"/>
        </w:rPr>
      </w:pPr>
    </w:p>
    <w:p>
      <w:pPr>
        <w:jc w:val="both"/>
        <w:ind w:left="700" w:firstLine="1949"/>
        <w:spacing w:after="0" w:line="261" w:lineRule="auto"/>
        <w:tabs>
          <w:tab w:leader="none" w:pos="2941" w:val="left"/>
        </w:tabs>
        <w:numPr>
          <w:ilvl w:val="0"/>
          <w:numId w:val="325"/>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Limitation. Neither the Collateral Agent nor the Backup Servicer shall be (i) responsible for making any decisions or determinations in connection with any Benchmark Replacement or Benchmark Transition Event or (ii) have any liability for any determination, decision or election made by or on behalf of the Deal Agent in connection with a Benchmark Transition Event or a Benchmark Replacement, and each Lender, by its acceptance of a Note, will be deemed to waive and release any and all claims against the Collateral Agent and the Backup Servicer relating to any such determination, decision or election.</w:t>
      </w:r>
    </w:p>
    <w:p>
      <w:pPr>
        <w:spacing w:after="0" w:line="20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60" w:lineRule="exact"/>
        <w:rPr>
          <w:sz w:val="20"/>
          <w:szCs w:val="20"/>
          <w:color w:val="auto"/>
        </w:rPr>
      </w:pPr>
    </w:p>
    <w:p>
      <w:pPr>
        <w:jc w:val="both"/>
        <w:ind w:left="700" w:firstLine="1936"/>
        <w:spacing w:after="0" w:line="253" w:lineRule="auto"/>
        <w:tabs>
          <w:tab w:leader="none" w:pos="3248"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Borrower shall pay to the Deal Agent, for the account of each Lender from the Collection Account on each Payment Date, monthly in arrears, the Program Fee and Unused Fee for each Lender agreed to in each Fee Letter.</w:t>
      </w:r>
    </w:p>
    <w:p>
      <w:pPr>
        <w:spacing w:after="0" w:line="212" w:lineRule="exact"/>
        <w:rPr>
          <w:rFonts w:ascii="Arial" w:cs="Arial" w:eastAsia="Arial" w:hAnsi="Arial"/>
          <w:sz w:val="22"/>
          <w:szCs w:val="22"/>
          <w:color w:val="auto"/>
        </w:rPr>
      </w:pPr>
    </w:p>
    <w:p>
      <w:pPr>
        <w:ind w:left="700" w:firstLine="1936"/>
        <w:spacing w:after="0" w:line="263" w:lineRule="auto"/>
        <w:tabs>
          <w:tab w:leader="none" w:pos="3247" w:val="left"/>
        </w:tabs>
        <w:numPr>
          <w:ilvl w:val="0"/>
          <w:numId w:val="326"/>
        </w:numPr>
        <w:rPr>
          <w:rFonts w:ascii="Arial" w:cs="Arial" w:eastAsia="Arial" w:hAnsi="Arial"/>
          <w:sz w:val="22"/>
          <w:szCs w:val="22"/>
          <w:color w:val="auto"/>
        </w:rPr>
      </w:pPr>
      <w:r>
        <w:rPr>
          <w:rFonts w:ascii="Arial" w:cs="Arial" w:eastAsia="Arial" w:hAnsi="Arial"/>
          <w:sz w:val="22"/>
          <w:szCs w:val="22"/>
          <w:color w:val="auto"/>
        </w:rPr>
        <w:t xml:space="preserve">The Servicer shall be entitled to receive the Servicing Fee, monthly in arrears in accordance with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3240" w:hanging="604"/>
        <w:spacing w:after="0"/>
        <w:tabs>
          <w:tab w:leader="none" w:pos="324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The Backup Servicer shall be entitled to receive the Backup Servicing Fee in accordance</w:t>
      </w:r>
    </w:p>
    <w:p>
      <w:pPr>
        <w:spacing w:after="0" w:line="55" w:lineRule="exact"/>
        <w:rPr>
          <w:rFonts w:ascii="Arial" w:cs="Arial" w:eastAsia="Arial" w:hAnsi="Arial"/>
          <w:sz w:val="19"/>
          <w:szCs w:val="19"/>
          <w:color w:val="auto"/>
        </w:rPr>
      </w:pPr>
    </w:p>
    <w:p>
      <w:pPr>
        <w:ind w:left="700"/>
        <w:spacing w:after="0"/>
        <w:rPr>
          <w:rFonts w:ascii="Arial" w:cs="Arial" w:eastAsia="Arial" w:hAnsi="Arial"/>
          <w:sz w:val="19"/>
          <w:szCs w:val="19"/>
          <w:color w:val="auto"/>
        </w:rPr>
      </w:pPr>
      <w:r>
        <w:rPr>
          <w:rFonts w:ascii="Arial" w:cs="Arial" w:eastAsia="Arial" w:hAnsi="Arial"/>
          <w:sz w:val="22"/>
          <w:szCs w:val="22"/>
          <w:color w:val="auto"/>
        </w:rPr>
        <w:t xml:space="preserve">with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jc w:val="both"/>
        <w:ind w:left="700" w:firstLine="1936"/>
        <w:spacing w:after="0" w:line="248" w:lineRule="auto"/>
        <w:tabs>
          <w:tab w:leader="none" w:pos="3247"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Borrower shall pay to the Deal Agent, on the Effective Date, the Structuring Fee and reasonable out-of-pocket expenses (including, without limitation, rating agency fees, filing fees and expenses incurred by the Deal Agent, as agent for the Lenders, in connection with the preparation and execution of this Agreement and other Transaction Documents and the carrying out of the transactions contemplated hereby and thereby) in immediately available funds.</w:t>
      </w:r>
    </w:p>
    <w:p>
      <w:pPr>
        <w:spacing w:after="0" w:line="218" w:lineRule="exact"/>
        <w:rPr>
          <w:rFonts w:ascii="Arial" w:cs="Arial" w:eastAsia="Arial" w:hAnsi="Arial"/>
          <w:sz w:val="22"/>
          <w:szCs w:val="22"/>
          <w:color w:val="auto"/>
        </w:rPr>
      </w:pPr>
    </w:p>
    <w:p>
      <w:pPr>
        <w:ind w:left="700" w:right="20" w:firstLine="1936"/>
        <w:spacing w:after="0" w:line="263" w:lineRule="auto"/>
        <w:tabs>
          <w:tab w:leader="none" w:pos="3248" w:val="left"/>
        </w:tabs>
        <w:numPr>
          <w:ilvl w:val="0"/>
          <w:numId w:val="326"/>
        </w:numPr>
        <w:rPr>
          <w:rFonts w:ascii="Arial" w:cs="Arial" w:eastAsia="Arial" w:hAnsi="Arial"/>
          <w:sz w:val="22"/>
          <w:szCs w:val="22"/>
          <w:color w:val="auto"/>
        </w:rPr>
      </w:pPr>
      <w:r>
        <w:rPr>
          <w:rFonts w:ascii="Arial" w:cs="Arial" w:eastAsia="Arial" w:hAnsi="Arial"/>
          <w:sz w:val="22"/>
          <w:szCs w:val="22"/>
          <w:color w:val="auto"/>
        </w:rPr>
        <w:t xml:space="preserve">The Borrower shall pay to the Deal Agent, for the account of each Lender, the Prepayment Fee, if any, in accordance with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700" w:right="20" w:firstLine="1936"/>
        <w:spacing w:after="0" w:line="263" w:lineRule="auto"/>
        <w:tabs>
          <w:tab w:leader="none" w:pos="3251" w:val="left"/>
        </w:tabs>
        <w:numPr>
          <w:ilvl w:val="0"/>
          <w:numId w:val="326"/>
        </w:numPr>
        <w:rPr>
          <w:rFonts w:ascii="Arial" w:cs="Arial" w:eastAsia="Arial" w:hAnsi="Arial"/>
          <w:sz w:val="22"/>
          <w:szCs w:val="22"/>
          <w:color w:val="auto"/>
        </w:rPr>
      </w:pPr>
      <w:r>
        <w:rPr>
          <w:rFonts w:ascii="Arial" w:cs="Arial" w:eastAsia="Arial" w:hAnsi="Arial"/>
          <w:sz w:val="22"/>
          <w:szCs w:val="22"/>
          <w:color w:val="auto"/>
        </w:rPr>
        <w:t>The Borrower shall pay to Dechert LLP, as counsel to the Deal Agent, its reasonable fees and out-of-pocket expenses in accordance with the Fee Letter.</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51</w:t>
      </w:r>
    </w:p>
    <w:p>
      <w:pPr>
        <w:sectPr>
          <w:pgSz w:w="11900" w:h="16838" w:orient="portrait"/>
          <w:cols w:equalWidth="0" w:num="1">
            <w:col w:w="11100"/>
          </w:cols>
          <w:pgMar w:left="320" w:top="1428" w:right="479" w:bottom="1440" w:gutter="0" w:footer="0" w:header="0"/>
        </w:sectPr>
      </w:pPr>
    </w:p>
    <w:bookmarkStart w:id="319" w:name="page320"/>
    <w:bookmarkEnd w:id="319"/>
    <w:p>
      <w:pPr>
        <w:ind w:left="76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Increased Costs; Capital Adequacy; Illegality</w:t>
      </w:r>
      <w:r>
        <w:rPr>
          <w:rFonts w:ascii="Arial" w:cs="Arial" w:eastAsia="Arial" w:hAnsi="Arial"/>
          <w:sz w:val="22"/>
          <w:szCs w:val="22"/>
          <w:color w:val="auto"/>
        </w:rPr>
        <w:t>.</w:t>
      </w:r>
    </w:p>
    <w:p>
      <w:pPr>
        <w:spacing w:after="0" w:line="260" w:lineRule="exact"/>
        <w:rPr>
          <w:sz w:val="20"/>
          <w:szCs w:val="20"/>
          <w:color w:val="auto"/>
        </w:rPr>
      </w:pPr>
    </w:p>
    <w:p>
      <w:pPr>
        <w:jc w:val="both"/>
        <w:ind w:left="120" w:right="40" w:firstLine="1940"/>
        <w:spacing w:after="0" w:line="286" w:lineRule="auto"/>
        <w:tabs>
          <w:tab w:leader="none" w:pos="2601" w:val="left"/>
        </w:tabs>
        <w:numPr>
          <w:ilvl w:val="0"/>
          <w:numId w:val="327"/>
        </w:numPr>
        <w:rPr>
          <w:rFonts w:ascii="Arial" w:cs="Arial" w:eastAsia="Arial" w:hAnsi="Arial"/>
          <w:sz w:val="19"/>
          <w:szCs w:val="19"/>
          <w:color w:val="auto"/>
        </w:rPr>
      </w:pPr>
      <w:r>
        <w:rPr>
          <w:rFonts w:ascii="Arial" w:cs="Arial" w:eastAsia="Arial" w:hAnsi="Arial"/>
          <w:sz w:val="19"/>
          <w:szCs w:val="19"/>
          <w:color w:val="auto"/>
        </w:rPr>
        <w:t>If either (i) the introduction of or any change (including, without limitation, any change by way of imposition or increase of reserve requirements) in or in the interpretation of any law or regulation or (ii) the compliance by an Affected Party with any guideline or request from any central bank or other Governmental Authority (whether or not having the force of law), shall (A) subject an Affected Party to any Tax (except for Taxes on the overall net income of such Affected Party), duty or other charge with respect to the Advance made by it hereunder, or any right to make the Funding hereunder, or on any payment made hereunder, (B) impose, modify or deem applicable any reserve requirement (including, without limitation, any reserve requirement imposed by the Board of Governors of the Federal Reserve System, but excluding any reserve requirement, if any, included in the determination of Yield), special deposit or similar requirement against assets of, deposits with or for the amount of, or credit extended by, any Affected Party or (C) impose any other condition affecting the Advance made by it hereunder or a Lender’s rights hereunder, the result of which is to increase the cost to any Affected Party or to reduce the amount of any sum received or receivable by an Affected Party under this Agreement, then within ten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spacing w:after="0" w:line="269" w:lineRule="exact"/>
        <w:rPr>
          <w:rFonts w:ascii="Arial" w:cs="Arial" w:eastAsia="Arial" w:hAnsi="Arial"/>
          <w:sz w:val="19"/>
          <w:szCs w:val="19"/>
          <w:color w:val="auto"/>
        </w:rPr>
      </w:pPr>
    </w:p>
    <w:p>
      <w:pPr>
        <w:jc w:val="both"/>
        <w:ind w:left="120" w:firstLine="1940"/>
        <w:spacing w:after="0" w:line="287" w:lineRule="auto"/>
        <w:tabs>
          <w:tab w:leader="none" w:pos="260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If either (i) the introduction of or any change in or in the interpretation of any law, guideline, rule, regulation, directive or request or (ii) compliance by any Affected Party with any law, guideline, rule, regulation, directive or request from any central bank or other governmental authority or agency (whether or not having the force of law), including, without limitation, compliance by an Affected Party with any request or directive regarding capital adequacy, has or would have the effect of reducing the rate of return on the capital of any Affected Party as a consequence of its obligations hereunder or arising in connection herewith to a level below that which any such Affected Party could have achieved but for such introduction, change or compliance (taking into consideration the policies of such Affected Party with respect to capital adequacy) by an amount deemed by such Affected Party to be material, then from time to time, within ten days after demand by such Affected Party (which demand shall be accompanied by a statement setting forth the basis for such demand), the Borrower shall pay directly to such Affected Party such additional amount or amounts as will compensate such Affected Party for such reduction. For avoidance of doubt, any interpretation of Accounting Research Bulletin No. 51 by the Financial Accounting Standards Board shall constitute an adoption, change, request or directive subject to this subsection 2.13(b).</w:t>
      </w:r>
    </w:p>
    <w:p>
      <w:pPr>
        <w:spacing w:after="0" w:line="185" w:lineRule="exact"/>
        <w:rPr>
          <w:rFonts w:ascii="Arial" w:cs="Arial" w:eastAsia="Arial" w:hAnsi="Arial"/>
          <w:sz w:val="19"/>
          <w:szCs w:val="19"/>
          <w:color w:val="auto"/>
        </w:rPr>
      </w:pPr>
    </w:p>
    <w:p>
      <w:pPr>
        <w:jc w:val="both"/>
        <w:ind w:left="120" w:right="40" w:firstLine="1940"/>
        <w:spacing w:after="0" w:line="247" w:lineRule="auto"/>
        <w:tabs>
          <w:tab w:leader="none" w:pos="2601" w:val="left"/>
        </w:tabs>
        <w:numPr>
          <w:ilvl w:val="0"/>
          <w:numId w:val="327"/>
        </w:numPr>
        <w:rPr>
          <w:rFonts w:ascii="Arial" w:cs="Arial" w:eastAsia="Arial" w:hAnsi="Arial"/>
          <w:sz w:val="22"/>
          <w:szCs w:val="22"/>
          <w:color w:val="auto"/>
        </w:rPr>
      </w:pPr>
      <w:r>
        <w:rPr>
          <w:rFonts w:ascii="Arial" w:cs="Arial" w:eastAsia="Arial" w:hAnsi="Arial"/>
          <w:sz w:val="22"/>
          <w:szCs w:val="22"/>
          <w:color w:val="auto"/>
        </w:rPr>
        <w:t>If as a result of any event or circumstance similar to those described in clauses (a) or (b) of this section, any Affected Party is required to compensate a bank or other financial institution providing liquidity support, credit enhancement or other similar support to such Affected Party in connection with this Agreement or the funding or maintenance of the Advance hereunder, then within ten days after demand by such Affected Party, the Borrower shall pay to such Affected Party such additional amount or amounts as may be necessary to reimburse such Affected Party for any amounts payable or paid by it.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52</w:t>
      </w:r>
    </w:p>
    <w:p>
      <w:pPr>
        <w:sectPr>
          <w:pgSz w:w="11900" w:h="16838" w:orient="portrait"/>
          <w:cols w:equalWidth="0" w:num="1">
            <w:col w:w="11140"/>
          </w:cols>
          <w:pgMar w:left="320" w:top="1428" w:right="439" w:bottom="1440" w:gutter="0" w:footer="0" w:header="0"/>
        </w:sectPr>
      </w:pPr>
    </w:p>
    <w:bookmarkStart w:id="320" w:name="page321"/>
    <w:bookmarkEnd w:id="320"/>
    <w:p>
      <w:pPr>
        <w:jc w:val="both"/>
        <w:ind w:left="700" w:right="40" w:firstLine="1936"/>
        <w:spacing w:after="0" w:line="265" w:lineRule="auto"/>
        <w:tabs>
          <w:tab w:leader="none" w:pos="3247" w:val="left"/>
        </w:tabs>
        <w:numPr>
          <w:ilvl w:val="0"/>
          <w:numId w:val="328"/>
        </w:numPr>
        <w:rPr>
          <w:rFonts w:ascii="Arial" w:cs="Arial" w:eastAsia="Arial" w:hAnsi="Arial"/>
          <w:sz w:val="21"/>
          <w:szCs w:val="21"/>
          <w:color w:val="auto"/>
        </w:rPr>
      </w:pPr>
      <w:r>
        <w:rPr>
          <w:rFonts w:ascii="Arial" w:cs="Arial" w:eastAsia="Arial" w:hAnsi="Arial"/>
          <w:sz w:val="21"/>
          <w:szCs w:val="21"/>
          <w:color w:val="auto"/>
        </w:rPr>
        <w:t>In determining any amount provided for in this section, the Affected Party may use any reasonable averaging and attribution methods. Any Affected Party making a claim under this section shall submit to the Servicer a written description as to such additional or increased cost or reduction and the calculation thereof, which written description shall be conclusive absent demonstrable error.</w:t>
      </w:r>
    </w:p>
    <w:p>
      <w:pPr>
        <w:spacing w:after="0" w:line="202" w:lineRule="exact"/>
        <w:rPr>
          <w:rFonts w:ascii="Arial" w:cs="Arial" w:eastAsia="Arial" w:hAnsi="Arial"/>
          <w:sz w:val="21"/>
          <w:szCs w:val="21"/>
          <w:color w:val="auto"/>
        </w:rPr>
      </w:pPr>
    </w:p>
    <w:p>
      <w:pPr>
        <w:jc w:val="both"/>
        <w:ind w:left="700" w:right="40" w:firstLine="1936"/>
        <w:spacing w:after="0" w:line="265" w:lineRule="auto"/>
        <w:tabs>
          <w:tab w:leader="none" w:pos="3255" w:val="left"/>
        </w:tabs>
        <w:numPr>
          <w:ilvl w:val="0"/>
          <w:numId w:val="328"/>
        </w:numPr>
        <w:rPr>
          <w:rFonts w:ascii="Arial" w:cs="Arial" w:eastAsia="Arial" w:hAnsi="Arial"/>
          <w:sz w:val="19"/>
          <w:szCs w:val="19"/>
          <w:color w:val="EE2724"/>
          <w:strike w:val="1"/>
        </w:rPr>
      </w:pPr>
      <w:r>
        <w:rPr>
          <w:rFonts w:ascii="Arial" w:cs="Arial" w:eastAsia="Arial" w:hAnsi="Arial"/>
          <w:sz w:val="21"/>
          <w:szCs w:val="21"/>
          <w:color w:val="FF0000"/>
          <w:strike w:val="1"/>
        </w:rPr>
        <w:t>If a Lender shall notify the Deal Agent that a Eurodollar Disruption Event as described in clause (a) of the definition of “Eurodollar Disruption Event” has occurred, the Deal Agent shall in turn so notify the Borrower, whereupon all Capital in respect of which Yield accrues at the Adjusted Eurodollar Rate shall immediately be converted into Capital in respect of which Yield accrues at the Base Rate.</w:t>
      </w:r>
    </w:p>
    <w:p>
      <w:pPr>
        <w:spacing w:after="0" w:line="216"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Taxes</w:t>
      </w:r>
      <w:r>
        <w:rPr>
          <w:rFonts w:ascii="Arial" w:cs="Arial" w:eastAsia="Arial" w:hAnsi="Arial"/>
          <w:sz w:val="22"/>
          <w:szCs w:val="22"/>
          <w:color w:val="auto"/>
        </w:rPr>
        <w:t>.</w:t>
      </w:r>
    </w:p>
    <w:p>
      <w:pPr>
        <w:spacing w:after="0" w:line="247" w:lineRule="exact"/>
        <w:rPr>
          <w:sz w:val="20"/>
          <w:szCs w:val="20"/>
          <w:color w:val="auto"/>
        </w:rPr>
      </w:pPr>
    </w:p>
    <w:p>
      <w:pPr>
        <w:jc w:val="both"/>
        <w:ind w:left="700" w:firstLine="1936"/>
        <w:spacing w:after="0" w:line="287" w:lineRule="auto"/>
        <w:tabs>
          <w:tab w:leader="none" w:pos="3248" w:val="left"/>
        </w:tabs>
        <w:numPr>
          <w:ilvl w:val="0"/>
          <w:numId w:val="329"/>
        </w:numPr>
        <w:rPr>
          <w:rFonts w:ascii="Arial" w:cs="Arial" w:eastAsia="Arial" w:hAnsi="Arial"/>
          <w:sz w:val="19"/>
          <w:szCs w:val="19"/>
          <w:color w:val="auto"/>
        </w:rPr>
      </w:pPr>
      <w:r>
        <w:rPr>
          <w:rFonts w:ascii="Arial" w:cs="Arial" w:eastAsia="Arial" w:hAnsi="Arial"/>
          <w:sz w:val="19"/>
          <w:szCs w:val="19"/>
          <w:color w:val="auto"/>
        </w:rPr>
        <w:t>All payments made by an Obligor in respect of each Loan and each Contract and all payments made by the Borrower or the Servicer under this Agreement will be made free and clear of and without deduction or withholding for or on account of any Taxes. If any Taxes are required to be deducted or withheld from any amounts payable to the Deal Agent or any other Secured Party, then the amount payable to such Person will be increased (such increase, the “</w:t>
      </w:r>
      <w:r>
        <w:rPr>
          <w:rFonts w:ascii="Arial" w:cs="Arial" w:eastAsia="Arial" w:hAnsi="Arial"/>
          <w:sz w:val="19"/>
          <w:szCs w:val="19"/>
          <w:u w:val="single" w:color="auto"/>
          <w:color w:val="auto"/>
        </w:rPr>
        <w:t>Additional Amount</w:t>
      </w:r>
      <w:r>
        <w:rPr>
          <w:rFonts w:ascii="Arial" w:cs="Arial" w:eastAsia="Arial" w:hAnsi="Arial"/>
          <w:sz w:val="19"/>
          <w:szCs w:val="19"/>
          <w:color w:val="auto"/>
        </w:rPr>
        <w:t>”) such that every net payment made under this Agreement after deduction or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net income or franchise taxes imposed on a Lender or the Deal Agent, respectively, with respect to payments required to be made by the Borrower or Servicer under this Agreement, by a taxing jurisdiction in which such Lender or Deal Agent is organized, conducts business or is paying taxes as of the Effective Date (as the case may be) (such taxes “</w:t>
      </w:r>
      <w:r>
        <w:rPr>
          <w:rFonts w:ascii="Arial" w:cs="Arial" w:eastAsia="Arial" w:hAnsi="Arial"/>
          <w:sz w:val="19"/>
          <w:szCs w:val="19"/>
          <w:u w:val="single" w:color="auto"/>
          <w:color w:val="auto"/>
        </w:rPr>
        <w:t>Excluded Taxes</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jc w:val="both"/>
        <w:ind w:left="700" w:right="40" w:firstLine="1936"/>
        <w:spacing w:after="0" w:line="297" w:lineRule="auto"/>
        <w:tabs>
          <w:tab w:leader="none" w:pos="3247" w:val="left"/>
        </w:tabs>
        <w:numPr>
          <w:ilvl w:val="0"/>
          <w:numId w:val="329"/>
        </w:numPr>
        <w:rPr>
          <w:rFonts w:ascii="Arial" w:cs="Arial" w:eastAsia="Arial" w:hAnsi="Arial"/>
          <w:sz w:val="19"/>
          <w:szCs w:val="19"/>
          <w:color w:val="auto"/>
        </w:rPr>
      </w:pPr>
      <w:r>
        <w:rPr>
          <w:rFonts w:ascii="Arial" w:cs="Arial" w:eastAsia="Arial" w:hAnsi="Arial"/>
          <w:sz w:val="19"/>
          <w:szCs w:val="19"/>
          <w:color w:val="auto"/>
        </w:rPr>
        <w:t>The Borrower will indemnify each Affected Party for the full amount of Taxes payable or paid by such Person in respect of Additional Amounts and any liability (including penalties, interest and expenses) arising therefrom or with respect thereto, whether or not such Taxes were correctly or legally imposed or asserted by the relevant Governmental Authority. All payments in respect of this indemnification shall be made within ten days from the date a written invoice, which shall be conclusive absent manifest error, therefor is delivered to the Borrower.</w:t>
      </w:r>
    </w:p>
    <w:p>
      <w:pPr>
        <w:spacing w:after="0" w:line="173" w:lineRule="exact"/>
        <w:rPr>
          <w:rFonts w:ascii="Arial" w:cs="Arial" w:eastAsia="Arial" w:hAnsi="Arial"/>
          <w:sz w:val="19"/>
          <w:szCs w:val="19"/>
          <w:color w:val="auto"/>
        </w:rPr>
      </w:pPr>
    </w:p>
    <w:p>
      <w:pPr>
        <w:ind w:left="700" w:right="40" w:firstLine="1936"/>
        <w:spacing w:after="0" w:line="287" w:lineRule="auto"/>
        <w:tabs>
          <w:tab w:leader="none" w:pos="3248" w:val="left"/>
        </w:tabs>
        <w:numPr>
          <w:ilvl w:val="0"/>
          <w:numId w:val="329"/>
        </w:numPr>
        <w:rPr>
          <w:rFonts w:ascii="Arial" w:cs="Arial" w:eastAsia="Arial" w:hAnsi="Arial"/>
          <w:sz w:val="21"/>
          <w:szCs w:val="21"/>
          <w:color w:val="auto"/>
        </w:rPr>
      </w:pPr>
      <w:r>
        <w:rPr>
          <w:rFonts w:ascii="Arial" w:cs="Arial" w:eastAsia="Arial" w:hAnsi="Arial"/>
          <w:sz w:val="21"/>
          <w:szCs w:val="21"/>
          <w:color w:val="auto"/>
        </w:rPr>
        <w:t>The Borrower shall timely pay to the relevant Governmental Authority in accordance with Applicable Law, or at the option of the Deal Agent timely reimburse it for the payment of, Other Taxes.</w:t>
      </w:r>
    </w:p>
    <w:p>
      <w:pPr>
        <w:spacing w:after="0" w:line="191" w:lineRule="exact"/>
        <w:rPr>
          <w:rFonts w:ascii="Arial" w:cs="Arial" w:eastAsia="Arial" w:hAnsi="Arial"/>
          <w:sz w:val="21"/>
          <w:szCs w:val="21"/>
          <w:color w:val="auto"/>
        </w:rPr>
      </w:pPr>
    </w:p>
    <w:p>
      <w:pPr>
        <w:jc w:val="both"/>
        <w:ind w:left="700" w:right="40" w:firstLine="1936"/>
        <w:spacing w:after="0" w:line="250" w:lineRule="auto"/>
        <w:tabs>
          <w:tab w:leader="none" w:pos="3247" w:val="left"/>
        </w:tabs>
        <w:numPr>
          <w:ilvl w:val="0"/>
          <w:numId w:val="329"/>
        </w:numPr>
        <w:rPr>
          <w:rFonts w:ascii="Arial" w:cs="Arial" w:eastAsia="Arial" w:hAnsi="Arial"/>
          <w:sz w:val="22"/>
          <w:szCs w:val="22"/>
          <w:color w:val="auto"/>
        </w:rPr>
      </w:pPr>
      <w:r>
        <w:rPr>
          <w:rFonts w:ascii="Arial" w:cs="Arial" w:eastAsia="Arial" w:hAnsi="Arial"/>
          <w:sz w:val="22"/>
          <w:szCs w:val="22"/>
          <w:color w:val="auto"/>
        </w:rPr>
        <w:t>As soon as practicable after any payment of Taxes by the Borrower to a Governmental Authority pursuant to this Section 2.14, the Borrower shall deliver to the Deal Agent the original or a certified copy of a receipt issued by such Governmental Authority evidencing such payment, a copy of the return reporting such payment or other evidence of such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53</w:t>
      </w:r>
    </w:p>
    <w:p>
      <w:pPr>
        <w:sectPr>
          <w:pgSz w:w="11900" w:h="16838" w:orient="portrait"/>
          <w:cols w:equalWidth="0" w:num="1">
            <w:col w:w="11140"/>
          </w:cols>
          <w:pgMar w:left="320" w:top="1428" w:right="439" w:bottom="1440" w:gutter="0" w:footer="0" w:header="0"/>
        </w:sectPr>
      </w:pPr>
    </w:p>
    <w:bookmarkStart w:id="321" w:name="page322"/>
    <w:bookmarkEnd w:id="321"/>
    <w:p>
      <w:pPr>
        <w:ind w:left="120"/>
        <w:spacing w:after="0"/>
        <w:rPr>
          <w:sz w:val="20"/>
          <w:szCs w:val="20"/>
          <w:color w:val="auto"/>
        </w:rPr>
      </w:pPr>
      <w:r>
        <w:rPr>
          <w:rFonts w:ascii="Arial" w:cs="Arial" w:eastAsia="Arial" w:hAnsi="Arial"/>
          <w:sz w:val="19"/>
          <w:szCs w:val="19"/>
          <w:color w:val="auto"/>
        </w:rPr>
        <w:t>payment reasonably satisfactory to the Deal Agent, not including those Taxes paid by Credit Acceptance on a consolidated basis</w:t>
      </w:r>
    </w:p>
    <w:p>
      <w:pPr>
        <w:spacing w:after="0" w:line="295" w:lineRule="exact"/>
        <w:rPr>
          <w:sz w:val="20"/>
          <w:szCs w:val="20"/>
          <w:color w:val="auto"/>
        </w:rPr>
      </w:pPr>
    </w:p>
    <w:p>
      <w:pPr>
        <w:jc w:val="both"/>
        <w:ind w:left="120" w:right="60" w:firstLine="1940"/>
        <w:spacing w:after="0" w:line="302" w:lineRule="auto"/>
        <w:tabs>
          <w:tab w:leader="none" w:pos="2601" w:val="left"/>
        </w:tabs>
        <w:numPr>
          <w:ilvl w:val="0"/>
          <w:numId w:val="330"/>
        </w:numPr>
        <w:rPr>
          <w:rFonts w:ascii="Arial" w:cs="Arial" w:eastAsia="Arial" w:hAnsi="Arial"/>
          <w:sz w:val="19"/>
          <w:szCs w:val="19"/>
          <w:color w:val="auto"/>
        </w:rPr>
      </w:pPr>
      <w:r>
        <w:rPr>
          <w:rFonts w:ascii="Arial" w:cs="Arial" w:eastAsia="Arial" w:hAnsi="Arial"/>
          <w:sz w:val="19"/>
          <w:szCs w:val="19"/>
          <w:color w:val="auto"/>
        </w:rPr>
        <w:t>If a Lender is created or organized under the laws of the United States or a political subdivision thereof, such Lender shall deliver to the Borrower, with a copy to the Deal Agent on or prior to the date on which such Lender becomes a Lender hereunder, two (or such other number as may from time to time be prescribed by Applicable Law) duly completed copies of IRS Form W-9 certifying that such Lender is exempt from U.S. federal backup withholding tax.</w:t>
      </w:r>
    </w:p>
    <w:p>
      <w:pPr>
        <w:spacing w:after="0" w:line="169" w:lineRule="exact"/>
        <w:rPr>
          <w:rFonts w:ascii="Arial" w:cs="Arial" w:eastAsia="Arial" w:hAnsi="Arial"/>
          <w:sz w:val="19"/>
          <w:szCs w:val="19"/>
          <w:color w:val="auto"/>
        </w:rPr>
      </w:pPr>
    </w:p>
    <w:p>
      <w:pPr>
        <w:jc w:val="both"/>
        <w:ind w:left="120" w:right="100" w:firstLine="1940"/>
        <w:spacing w:after="0" w:line="287" w:lineRule="auto"/>
        <w:tabs>
          <w:tab w:leader="none" w:pos="2605" w:val="left"/>
        </w:tabs>
        <w:numPr>
          <w:ilvl w:val="0"/>
          <w:numId w:val="330"/>
        </w:numPr>
        <w:rPr>
          <w:rFonts w:ascii="Arial" w:cs="Arial" w:eastAsia="Arial" w:hAnsi="Arial"/>
          <w:sz w:val="19"/>
          <w:szCs w:val="19"/>
          <w:color w:val="auto"/>
        </w:rPr>
      </w:pPr>
      <w:r>
        <w:rPr>
          <w:rFonts w:ascii="Arial" w:cs="Arial" w:eastAsia="Arial" w:hAnsi="Arial"/>
          <w:sz w:val="19"/>
          <w:szCs w:val="19"/>
          <w:color w:val="auto"/>
        </w:rPr>
        <w:t xml:space="preserve">If a Lender is not created or organized under the laws of the United States or a political subdivision thereof, such Lender shall deliver to the Borrower, with a copy to the Deal Agent, (i) on or prior to the date on which such Lender becomes a Lender hereunder, two (or such other number as may from time to time be prescribed by Applicable Law) duly completed copies of IRS Form W-8BEN, Form W-8BEN-E or Form W-8ECI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deduction or withholding of United States federal income or similar Taxes and (ii) upon the obsolescence of or after the occurrence of any event requiring a change in, any form or certificate previously delivered pursuant to this </w:t>
      </w:r>
      <w:r>
        <w:rPr>
          <w:rFonts w:ascii="Arial" w:cs="Arial" w:eastAsia="Arial" w:hAnsi="Arial"/>
          <w:sz w:val="19"/>
          <w:szCs w:val="19"/>
          <w:u w:val="single" w:color="auto"/>
          <w:color w:val="auto"/>
        </w:rPr>
        <w:t>Section 2.14(f)</w:t>
      </w:r>
      <w:r>
        <w:rPr>
          <w:rFonts w:ascii="Arial" w:cs="Arial" w:eastAsia="Arial" w:hAnsi="Arial"/>
          <w:sz w:val="19"/>
          <w:szCs w:val="19"/>
          <w:color w:val="auto"/>
        </w:rPr>
        <w:t>, copies (in such numbers as may from time to time be prescribed by Applicable Law or regulations) of such additional, amended or successor forms, certificates or statements as may be required under Applicable Laws or regulations to permit the Borrower to make payments hereunder for the account of such Lender, without deduction or withholding of United States federal income or similar Taxes.</w:t>
      </w:r>
    </w:p>
    <w:p>
      <w:pPr>
        <w:spacing w:after="0" w:line="199" w:lineRule="exact"/>
        <w:rPr>
          <w:rFonts w:ascii="Arial" w:cs="Arial" w:eastAsia="Arial" w:hAnsi="Arial"/>
          <w:sz w:val="19"/>
          <w:szCs w:val="19"/>
          <w:color w:val="auto"/>
        </w:rPr>
      </w:pPr>
    </w:p>
    <w:p>
      <w:pPr>
        <w:jc w:val="both"/>
        <w:ind w:left="120" w:right="100" w:firstLine="1940"/>
        <w:spacing w:after="0" w:line="258" w:lineRule="auto"/>
        <w:tabs>
          <w:tab w:leader="none" w:pos="2599" w:val="left"/>
        </w:tabs>
        <w:numPr>
          <w:ilvl w:val="0"/>
          <w:numId w:val="330"/>
        </w:numPr>
        <w:rPr>
          <w:rFonts w:ascii="Arial" w:cs="Arial" w:eastAsia="Arial" w:hAnsi="Arial"/>
          <w:sz w:val="21"/>
          <w:szCs w:val="21"/>
          <w:color w:val="auto"/>
        </w:rPr>
      </w:pPr>
      <w:r>
        <w:rPr>
          <w:rFonts w:ascii="Arial" w:cs="Arial" w:eastAsia="Arial" w:hAnsi="Arial"/>
          <w:sz w:val="21"/>
          <w:szCs w:val="21"/>
          <w:color w:val="auto"/>
        </w:rPr>
        <w:t>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Deal Agent at the time or times prescribed by law and at such time or times reasonably requested by the Borrower and the Deal Agent such documentation prescribed by applicable law (including as prescribed by Section 1471(b)(3) (C)(i) of the Code) and such additional documentation reasonably requested by the Borrower or the Deal Agent as may be necessary for the Borrower and the Deal Agent to comply with their obligations under FATCA and to determine that such Lender has complied with such Lender’s obligations under FATCA or to determine the amount to deduct and withhold from such payment. Solely for purposes of this clause (g), “FATCA” shall include any amendments made to FATCA after the date of this Agreement.</w:t>
      </w:r>
    </w:p>
    <w:p>
      <w:pPr>
        <w:spacing w:after="0" w:line="293" w:lineRule="exact"/>
        <w:rPr>
          <w:rFonts w:ascii="Arial" w:cs="Arial" w:eastAsia="Arial" w:hAnsi="Arial"/>
          <w:sz w:val="21"/>
          <w:szCs w:val="21"/>
          <w:color w:val="auto"/>
        </w:rPr>
      </w:pPr>
    </w:p>
    <w:p>
      <w:pPr>
        <w:jc w:val="both"/>
        <w:ind w:left="120" w:right="100" w:firstLine="1940"/>
        <w:spacing w:after="0" w:line="265" w:lineRule="auto"/>
        <w:tabs>
          <w:tab w:leader="none" w:pos="2599" w:val="left"/>
        </w:tabs>
        <w:numPr>
          <w:ilvl w:val="0"/>
          <w:numId w:val="330"/>
        </w:numPr>
        <w:rPr>
          <w:rFonts w:ascii="Arial" w:cs="Arial" w:eastAsia="Arial" w:hAnsi="Arial"/>
          <w:sz w:val="21"/>
          <w:szCs w:val="21"/>
          <w:color w:val="auto"/>
        </w:rPr>
      </w:pPr>
      <w:r>
        <w:rPr>
          <w:rFonts w:ascii="Arial" w:cs="Arial" w:eastAsia="Arial" w:hAnsi="Arial"/>
          <w:sz w:val="21"/>
          <w:szCs w:val="21"/>
          <w:color w:val="auto"/>
        </w:rPr>
        <w:t>If, in connection with an agreement or other document providing liquidity support, credit enhancement or other similar support to the Lenders in connection with this Agreement or the funding or maintenance of the Funding hereunder, the Lenders are required to compensate a bank or other financial institution in respect of Taxes under circumstances similar to those described in this section then within 10 days after demand by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54</w:t>
      </w:r>
    </w:p>
    <w:p>
      <w:pPr>
        <w:sectPr>
          <w:pgSz w:w="11900" w:h="16838" w:orient="portrait"/>
          <w:cols w:equalWidth="0" w:num="1">
            <w:col w:w="11200"/>
          </w:cols>
          <w:pgMar w:left="320" w:top="1428" w:right="379" w:bottom="1440" w:gutter="0" w:footer="0" w:header="0"/>
        </w:sectPr>
      </w:pPr>
    </w:p>
    <w:bookmarkStart w:id="322" w:name="page323"/>
    <w:bookmarkEnd w:id="322"/>
    <w:p>
      <w:pPr>
        <w:ind w:left="120" w:right="600"/>
        <w:spacing w:after="0" w:line="263" w:lineRule="auto"/>
        <w:rPr>
          <w:sz w:val="20"/>
          <w:szCs w:val="20"/>
          <w:color w:val="auto"/>
        </w:rPr>
      </w:pPr>
      <w:r>
        <w:rPr>
          <w:rFonts w:ascii="Arial" w:cs="Arial" w:eastAsia="Arial" w:hAnsi="Arial"/>
          <w:sz w:val="22"/>
          <w:szCs w:val="22"/>
          <w:color w:val="auto"/>
        </w:rPr>
        <w:t>Lenders, the Borrower shall pay to the Lenders such additional amount or amounts as may be necessary to reimburse the Lenders for any amounts paid by them.</w:t>
      </w:r>
    </w:p>
    <w:p>
      <w:pPr>
        <w:spacing w:after="0" w:line="215" w:lineRule="exact"/>
        <w:rPr>
          <w:sz w:val="20"/>
          <w:szCs w:val="20"/>
          <w:color w:val="auto"/>
        </w:rPr>
      </w:pPr>
    </w:p>
    <w:p>
      <w:pPr>
        <w:ind w:left="2580" w:hanging="520"/>
        <w:spacing w:after="0"/>
        <w:tabs>
          <w:tab w:leader="none" w:pos="2580" w:val="left"/>
        </w:tabs>
        <w:numPr>
          <w:ilvl w:val="1"/>
          <w:numId w:val="331"/>
        </w:numPr>
        <w:rPr>
          <w:rFonts w:ascii="Arial" w:cs="Arial" w:eastAsia="Arial" w:hAnsi="Arial"/>
          <w:sz w:val="19"/>
          <w:szCs w:val="19"/>
          <w:color w:val="auto"/>
        </w:rPr>
      </w:pPr>
      <w:r>
        <w:rPr>
          <w:rFonts w:ascii="Arial" w:cs="Arial" w:eastAsia="Arial" w:hAnsi="Arial"/>
          <w:sz w:val="19"/>
          <w:szCs w:val="19"/>
          <w:color w:val="auto"/>
        </w:rPr>
        <w:t>Each Lender shall severally indemnify the Deal Agent, within 10 days after demand therefor, for</w:t>
      </w:r>
    </w:p>
    <w:p>
      <w:pPr>
        <w:spacing w:after="0" w:line="55" w:lineRule="exact"/>
        <w:rPr>
          <w:rFonts w:ascii="Arial" w:cs="Arial" w:eastAsia="Arial" w:hAnsi="Arial"/>
          <w:sz w:val="19"/>
          <w:szCs w:val="19"/>
          <w:color w:val="auto"/>
        </w:rPr>
      </w:pPr>
    </w:p>
    <w:p>
      <w:pPr>
        <w:ind w:left="120" w:right="60" w:hanging="4"/>
        <w:spacing w:after="0" w:line="286" w:lineRule="auto"/>
        <w:tabs>
          <w:tab w:leader="none" w:pos="378" w:val="left"/>
        </w:tabs>
        <w:numPr>
          <w:ilvl w:val="0"/>
          <w:numId w:val="332"/>
        </w:numPr>
        <w:rPr>
          <w:rFonts w:ascii="Arial" w:cs="Arial" w:eastAsia="Arial" w:hAnsi="Arial"/>
          <w:sz w:val="19"/>
          <w:szCs w:val="19"/>
          <w:color w:val="auto"/>
        </w:rPr>
      </w:pPr>
      <w:r>
        <w:rPr>
          <w:rFonts w:ascii="Arial" w:cs="Arial" w:eastAsia="Arial" w:hAnsi="Arial"/>
          <w:sz w:val="19"/>
          <w:szCs w:val="19"/>
          <w:color w:val="auto"/>
        </w:rPr>
        <w:t>any Taxes, other than Excluded Taxes and Other Taxes, attributable to such Lender (but only to the extent that the Borrower has not already indemnified the Deal Agent for such Taxes and without limiting the obligation of the Borrower to do so), (ii) any Taxes attributable to such Lender’s failure to comply with the provisions of Section 13.1(e) relating to the maintenance of a Participant Register and (iii) any Excluded Taxes attributable to such Lender, in each case, that are payable or paid by the Deal Agent in connection with any Transaction Documents, and any reasonable expenses arising therefrom or with respect thereto, whether or not such Taxes were correctly or legally imposed or asserted by the relevant Governmental Authority. A certificate as to the amount of such payment or liability delivered to any Lender by the Deal Agent shall be conclusive absent manifest error. Each Lender hereby authorizes the Deal Agent to set off and apply any and all amounts at any time owing to such Lender under any Transaction Documents or otherwise payable by the Deal Agent to the Lender from any other source against any amount due to the Deal Agent under this Section 2.14(i).</w:t>
      </w:r>
    </w:p>
    <w:p>
      <w:pPr>
        <w:spacing w:after="0" w:line="186" w:lineRule="exact"/>
        <w:rPr>
          <w:sz w:val="20"/>
          <w:szCs w:val="20"/>
          <w:color w:val="auto"/>
        </w:rPr>
      </w:pPr>
    </w:p>
    <w:p>
      <w:pPr>
        <w:ind w:left="120" w:right="40" w:firstLine="1944"/>
        <w:spacing w:after="0" w:line="287" w:lineRule="auto"/>
        <w:rPr>
          <w:sz w:val="20"/>
          <w:szCs w:val="20"/>
          <w:color w:val="auto"/>
        </w:rPr>
      </w:pPr>
      <w:r>
        <w:rPr>
          <w:rFonts w:ascii="Arial" w:cs="Arial" w:eastAsia="Arial" w:hAnsi="Arial"/>
          <w:sz w:val="21"/>
          <w:szCs w:val="21"/>
          <w:color w:val="auto"/>
        </w:rPr>
        <w:t>(j)Without prejudice to the survival of any other agreement of the Borrower hereunder, the agreements and obligations of the Borrower contained in this section shall survive the termination of this Agreement.</w:t>
      </w:r>
    </w:p>
    <w:p>
      <w:pPr>
        <w:spacing w:after="0" w:line="192" w:lineRule="exact"/>
        <w:rPr>
          <w:sz w:val="20"/>
          <w:szCs w:val="20"/>
          <w:color w:val="auto"/>
        </w:rPr>
      </w:pPr>
    </w:p>
    <w:p>
      <w:pPr>
        <w:jc w:val="both"/>
        <w:ind w:left="120" w:firstLine="648"/>
        <w:spacing w:after="0" w:line="297"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Assignment of the Contribution Agreement</w:t>
      </w:r>
      <w:r>
        <w:rPr>
          <w:rFonts w:ascii="Arial" w:cs="Arial" w:eastAsia="Arial" w:hAnsi="Arial"/>
          <w:sz w:val="19"/>
          <w:szCs w:val="19"/>
          <w:color w:val="auto"/>
        </w:rPr>
        <w:t>. The Borrower hereby assigns to the Collateral Agent, for the ratable benefit of the Secured Parties hereunder, all of the Borrower’s right, title and interest in and to, but none of its obligations under, the Contribution Agreement and the Hedging Agreement. The Borrower confirms that the Collateral Agent on behalf of the Secured Parties shall have the sole right to, at the written direction of the Deal Agent, enforce the Borrower’s rights and remedies under the Contribution Agreement and the Hedging Agreement for the benefit of the Secured Parties.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Take-Out</w:t>
      </w:r>
      <w:r>
        <w:rPr>
          <w:rFonts w:ascii="Arial" w:cs="Arial" w:eastAsia="Arial" w:hAnsi="Arial"/>
          <w:sz w:val="22"/>
          <w:szCs w:val="22"/>
          <w:color w:val="auto"/>
        </w:rPr>
        <w:t>.</w:t>
      </w:r>
    </w:p>
    <w:p>
      <w:pPr>
        <w:spacing w:after="0" w:line="260" w:lineRule="exact"/>
        <w:rPr>
          <w:sz w:val="20"/>
          <w:szCs w:val="20"/>
          <w:color w:val="auto"/>
        </w:rPr>
      </w:pPr>
    </w:p>
    <w:p>
      <w:pPr>
        <w:jc w:val="both"/>
        <w:ind w:left="120" w:right="40" w:firstLine="1940"/>
        <w:spacing w:after="0" w:line="271" w:lineRule="auto"/>
        <w:tabs>
          <w:tab w:leader="none" w:pos="2601" w:val="left"/>
        </w:tabs>
        <w:numPr>
          <w:ilvl w:val="0"/>
          <w:numId w:val="333"/>
        </w:numPr>
        <w:rPr>
          <w:rFonts w:ascii="Arial" w:cs="Arial" w:eastAsia="Arial" w:hAnsi="Arial"/>
          <w:sz w:val="21"/>
          <w:szCs w:val="21"/>
          <w:color w:val="auto"/>
        </w:rPr>
      </w:pPr>
      <w:r>
        <w:rPr>
          <w:rFonts w:ascii="Arial" w:cs="Arial" w:eastAsia="Arial" w:hAnsi="Arial"/>
          <w:sz w:val="21"/>
          <w:szCs w:val="21"/>
          <w:color w:val="auto"/>
        </w:rPr>
        <w:t>On any Business Day (the “</w:t>
      </w:r>
      <w:r>
        <w:rPr>
          <w:rFonts w:ascii="Arial" w:cs="Arial" w:eastAsia="Arial" w:hAnsi="Arial"/>
          <w:sz w:val="21"/>
          <w:szCs w:val="21"/>
          <w:u w:val="single" w:color="auto"/>
          <w:color w:val="auto"/>
        </w:rPr>
        <w:t>Take-Out Date</w:t>
      </w:r>
      <w:r>
        <w:rPr>
          <w:rFonts w:ascii="Arial" w:cs="Arial" w:eastAsia="Arial" w:hAnsi="Arial"/>
          <w:sz w:val="21"/>
          <w:szCs w:val="21"/>
          <w:color w:val="auto"/>
        </w:rPr>
        <w:t>”), but subject to the limitation contained in clause (d) below, the Borrower shall have the right to effect a Take-Out and require the Collateral Agent to release its security interest in and Lien on the related Contracts and Loans, subject to the following terms and conditions:</w:t>
      </w:r>
    </w:p>
    <w:p>
      <w:pPr>
        <w:spacing w:after="0" w:line="207" w:lineRule="exact"/>
        <w:rPr>
          <w:rFonts w:ascii="Arial" w:cs="Arial" w:eastAsia="Arial" w:hAnsi="Arial"/>
          <w:sz w:val="21"/>
          <w:szCs w:val="21"/>
          <w:color w:val="auto"/>
        </w:rPr>
      </w:pPr>
    </w:p>
    <w:p>
      <w:pPr>
        <w:jc w:val="both"/>
        <w:ind w:left="120" w:right="20" w:firstLine="2384"/>
        <w:spacing w:after="0" w:line="248" w:lineRule="auto"/>
        <w:tabs>
          <w:tab w:leader="none" w:pos="3252" w:val="left"/>
        </w:tabs>
        <w:numPr>
          <w:ilvl w:val="1"/>
          <w:numId w:val="333"/>
        </w:numPr>
        <w:rPr>
          <w:rFonts w:ascii="Arial" w:cs="Arial" w:eastAsia="Arial" w:hAnsi="Arial"/>
          <w:sz w:val="22"/>
          <w:szCs w:val="22"/>
          <w:color w:val="auto"/>
        </w:rPr>
      </w:pPr>
      <w:r>
        <w:rPr>
          <w:rFonts w:ascii="Arial" w:cs="Arial" w:eastAsia="Arial" w:hAnsi="Arial"/>
          <w:sz w:val="22"/>
          <w:szCs w:val="22"/>
          <w:color w:val="auto"/>
        </w:rPr>
        <w:t xml:space="preserve">The Borrower shall have given the Deal Agent, the Collateral Agent, the Backup Servicer and the Servicer at least three (3) Business Days’ prior written notice of its intent to effect the Take-Out, which notice shall be irrevocable; </w:t>
      </w:r>
      <w:r>
        <w:rPr>
          <w:rFonts w:ascii="Arial" w:cs="Arial" w:eastAsia="Arial" w:hAnsi="Arial"/>
          <w:sz w:val="22"/>
          <w:szCs w:val="22"/>
          <w:u w:val="single" w:color="auto"/>
          <w:color w:val="auto"/>
        </w:rPr>
        <w:t>provided however</w:t>
      </w:r>
      <w:r>
        <w:rPr>
          <w:rFonts w:ascii="Arial" w:cs="Arial" w:eastAsia="Arial" w:hAnsi="Arial"/>
          <w:sz w:val="22"/>
          <w:szCs w:val="22"/>
          <w:color w:val="auto"/>
        </w:rPr>
        <w:t>, failure to effect such Take-Out on the Take-Out Date shall not result in a Termination Event), but the Borrower shall be obligated to pay any Breakage Costs and any other losses incurred by the Lenders in connection therewith.</w:t>
      </w:r>
    </w:p>
    <w:p>
      <w:pPr>
        <w:spacing w:after="0" w:line="218" w:lineRule="exact"/>
        <w:rPr>
          <w:rFonts w:ascii="Arial" w:cs="Arial" w:eastAsia="Arial" w:hAnsi="Arial"/>
          <w:sz w:val="22"/>
          <w:szCs w:val="22"/>
          <w:color w:val="auto"/>
        </w:rPr>
      </w:pPr>
    </w:p>
    <w:p>
      <w:pPr>
        <w:jc w:val="both"/>
        <w:ind w:left="120" w:right="20" w:firstLine="2324"/>
        <w:spacing w:after="0" w:line="253" w:lineRule="auto"/>
        <w:tabs>
          <w:tab w:leader="none" w:pos="3252" w:val="left"/>
        </w:tabs>
        <w:numPr>
          <w:ilvl w:val="1"/>
          <w:numId w:val="333"/>
        </w:numPr>
        <w:rPr>
          <w:rFonts w:ascii="Arial" w:cs="Arial" w:eastAsia="Arial" w:hAnsi="Arial"/>
          <w:sz w:val="22"/>
          <w:szCs w:val="22"/>
          <w:color w:val="auto"/>
        </w:rPr>
      </w:pPr>
      <w:r>
        <w:rPr>
          <w:rFonts w:ascii="Arial" w:cs="Arial" w:eastAsia="Arial" w:hAnsi="Arial"/>
          <w:sz w:val="22"/>
          <w:szCs w:val="22"/>
          <w:color w:val="auto"/>
        </w:rPr>
        <w:t>Unless the Take-Out is to be effected on a Payment Date (in which case the relevant calculations with respect to such Take-Out shall be reflected on the applicable Monthly Report), the Servicer shall deliver to the Deal Agent an Officer’s Certificate,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55</w:t>
      </w:r>
    </w:p>
    <w:p>
      <w:pPr>
        <w:sectPr>
          <w:pgSz w:w="11900" w:h="16838" w:orient="portrait"/>
          <w:cols w:equalWidth="0" w:num="1">
            <w:col w:w="11140"/>
          </w:cols>
          <w:pgMar w:left="320" w:top="1428" w:right="439" w:bottom="1440" w:gutter="0" w:footer="0" w:header="0"/>
        </w:sectPr>
      </w:pPr>
    </w:p>
    <w:bookmarkStart w:id="323" w:name="page324"/>
    <w:bookmarkEnd w:id="323"/>
    <w:p>
      <w:pPr>
        <w:jc w:val="both"/>
        <w:ind w:left="120" w:right="60"/>
        <w:spacing w:after="0" w:line="265" w:lineRule="auto"/>
        <w:rPr>
          <w:sz w:val="20"/>
          <w:szCs w:val="20"/>
          <w:color w:val="auto"/>
        </w:rPr>
      </w:pPr>
      <w:r>
        <w:rPr>
          <w:rFonts w:ascii="Arial" w:cs="Arial" w:eastAsia="Arial" w:hAnsi="Arial"/>
          <w:sz w:val="21"/>
          <w:szCs w:val="21"/>
          <w:color w:val="auto"/>
        </w:rPr>
        <w:t>together with evidence to the reasonable satisfaction of the Deal Agent (which evidence may consist solely of the Officer’s Certificate signed by an officer of the Servicer) that the Borrower shall have sufficient funds on the related Take-Out Date to effect the contemplated Take-Out in accordance with this Agreement. In effecting the Take-Out, the Borrower may use the proceeds of sales of the Loans (which sales must be made in arm’s-length transactions).</w:t>
      </w:r>
    </w:p>
    <w:p>
      <w:pPr>
        <w:spacing w:after="0" w:line="216" w:lineRule="exact"/>
        <w:rPr>
          <w:sz w:val="20"/>
          <w:szCs w:val="20"/>
          <w:color w:val="auto"/>
        </w:rPr>
      </w:pPr>
    </w:p>
    <w:p>
      <w:pPr>
        <w:jc w:val="both"/>
        <w:ind w:left="120" w:right="60" w:firstLine="2588"/>
        <w:spacing w:after="0" w:line="250" w:lineRule="auto"/>
        <w:tabs>
          <w:tab w:leader="none" w:pos="3252" w:val="left"/>
        </w:tabs>
        <w:numPr>
          <w:ilvl w:val="2"/>
          <w:numId w:val="334"/>
        </w:numPr>
        <w:rPr>
          <w:rFonts w:ascii="Arial" w:cs="Arial" w:eastAsia="Arial" w:hAnsi="Arial"/>
          <w:sz w:val="22"/>
          <w:szCs w:val="22"/>
          <w:color w:val="auto"/>
        </w:rPr>
      </w:pPr>
      <w:r>
        <w:rPr>
          <w:rFonts w:ascii="Arial" w:cs="Arial" w:eastAsia="Arial" w:hAnsi="Arial"/>
          <w:sz w:val="22"/>
          <w:szCs w:val="22"/>
          <w:color w:val="auto"/>
        </w:rPr>
        <w:t>After giving effect to the Take-Out and the release to the Borrower of the Loans and related Contracts on the Take-Out Date, (x) the representations and warranties contained in Section 4.1 and 4.2 hereof shall continue to be correct in all material respects, except to the extent relating to an earlier date and (y) neither an Unmatured Termination Event nor a Termination Event shall have resulted.</w:t>
      </w:r>
    </w:p>
    <w:p>
      <w:pPr>
        <w:spacing w:after="0" w:line="214" w:lineRule="exact"/>
        <w:rPr>
          <w:rFonts w:ascii="Arial" w:cs="Arial" w:eastAsia="Arial" w:hAnsi="Arial"/>
          <w:sz w:val="22"/>
          <w:szCs w:val="22"/>
          <w:color w:val="auto"/>
        </w:rPr>
      </w:pPr>
    </w:p>
    <w:p>
      <w:pPr>
        <w:jc w:val="both"/>
        <w:ind w:left="120" w:right="20" w:firstLine="2588"/>
        <w:spacing w:after="0" w:line="291" w:lineRule="auto"/>
        <w:tabs>
          <w:tab w:leader="none" w:pos="3241" w:val="left"/>
        </w:tabs>
        <w:numPr>
          <w:ilvl w:val="2"/>
          <w:numId w:val="334"/>
        </w:numPr>
        <w:rPr>
          <w:rFonts w:ascii="Arial" w:cs="Arial" w:eastAsia="Arial" w:hAnsi="Arial"/>
          <w:sz w:val="19"/>
          <w:szCs w:val="19"/>
          <w:color w:val="auto"/>
        </w:rPr>
      </w:pPr>
      <w:r>
        <w:rPr>
          <w:rFonts w:ascii="Arial" w:cs="Arial" w:eastAsia="Arial" w:hAnsi="Arial"/>
          <w:sz w:val="19"/>
          <w:szCs w:val="19"/>
          <w:color w:val="auto"/>
        </w:rPr>
        <w:t>On the Take-Out Date, the Collateral Agent shall have received, for the benefit of the Secured Parties and the Hedge Counterparties, as applicable, in immediately available funds, an amount equal to the sum of:</w:t>
      </w:r>
    </w:p>
    <w:p>
      <w:pPr>
        <w:spacing w:after="0" w:line="1" w:lineRule="exact"/>
        <w:rPr>
          <w:rFonts w:ascii="Arial" w:cs="Arial" w:eastAsia="Arial" w:hAnsi="Arial"/>
          <w:sz w:val="19"/>
          <w:szCs w:val="19"/>
          <w:color w:val="auto"/>
        </w:rPr>
      </w:pPr>
    </w:p>
    <w:p>
      <w:pPr>
        <w:jc w:val="both"/>
        <w:ind w:left="120" w:right="20" w:hanging="5"/>
        <w:spacing w:after="0" w:line="287" w:lineRule="auto"/>
        <w:tabs>
          <w:tab w:leader="none" w:pos="474" w:val="left"/>
        </w:tabs>
        <w:numPr>
          <w:ilvl w:val="0"/>
          <w:numId w:val="335"/>
        </w:numPr>
        <w:rPr>
          <w:rFonts w:ascii="Arial" w:cs="Arial" w:eastAsia="Arial" w:hAnsi="Arial"/>
          <w:sz w:val="19"/>
          <w:szCs w:val="19"/>
          <w:color w:val="auto"/>
        </w:rPr>
      </w:pPr>
      <w:r>
        <w:rPr>
          <w:rFonts w:ascii="Arial" w:cs="Arial" w:eastAsia="Arial" w:hAnsi="Arial"/>
          <w:sz w:val="19"/>
          <w:szCs w:val="19"/>
          <w:color w:val="auto"/>
        </w:rPr>
        <w:t xml:space="preserve">the aggregate outstanding Capital being paid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an amount equal to the related unpaid Yield to the end of the Accrual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an aggregate amount equal to the sum of all other amounts due and owing to the Deal Agent, the Lenders, the Backup Servicer, the Successor Servicer, the Hedge Counterparties and the other Secured Parties, as applicable, under this Agreement and the other Transaction Documents, to the extent accrued to such date and to accrue thereafter (including, without limitation, Breakage Costs and Hedge Costs)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all other Aggregate Unpaids. No such reduction shall be given effect unless the Borrower has complied with the terms of any Hedging Agreement requiring that any derivative transaction related thereto be terminated in whole or in part as a result of any such reduction in the Capital and Borrower has paid all Hedge Costs due to the relevant Hedge Counterparty for any such termination.</w:t>
      </w:r>
    </w:p>
    <w:p>
      <w:pPr>
        <w:spacing w:after="0" w:line="200" w:lineRule="exact"/>
        <w:rPr>
          <w:rFonts w:ascii="Arial" w:cs="Arial" w:eastAsia="Arial" w:hAnsi="Arial"/>
          <w:sz w:val="19"/>
          <w:szCs w:val="19"/>
          <w:color w:val="auto"/>
        </w:rPr>
      </w:pPr>
    </w:p>
    <w:p>
      <w:pPr>
        <w:jc w:val="both"/>
        <w:ind w:left="120" w:firstLine="2588"/>
        <w:spacing w:after="0" w:line="263" w:lineRule="auto"/>
        <w:tabs>
          <w:tab w:leader="none" w:pos="3248" w:val="left"/>
        </w:tabs>
        <w:numPr>
          <w:ilvl w:val="2"/>
          <w:numId w:val="335"/>
        </w:numPr>
        <w:rPr>
          <w:rFonts w:ascii="Arial" w:cs="Arial" w:eastAsia="Arial" w:hAnsi="Arial"/>
          <w:sz w:val="21"/>
          <w:szCs w:val="21"/>
          <w:color w:val="auto"/>
        </w:rPr>
      </w:pPr>
      <w:r>
        <w:rPr>
          <w:rFonts w:ascii="Arial" w:cs="Arial" w:eastAsia="Arial" w:hAnsi="Arial"/>
          <w:sz w:val="21"/>
          <w:szCs w:val="21"/>
          <w:color w:val="auto"/>
        </w:rPr>
        <w:t>Upon receipt of the amount set forth in Section 2.16(a)(iv), the Collateral Agent shall apply such amounts first to the pro-rata reduction of the Capital, second to the payment of accrued Yield on the amount of Capital to be repaid and to the payment of any Breakage Costs, by paying such amounts to the Lenders, and third to pay any Hedge Costs related to such reduction of the Capital due to the relevant Hedge Counterparty, and fourth to pay all other Aggregate Unpaids related to such reduction of the Capital due to the relevant party.</w:t>
      </w:r>
    </w:p>
    <w:p>
      <w:pPr>
        <w:spacing w:after="0" w:line="283" w:lineRule="exact"/>
        <w:rPr>
          <w:rFonts w:ascii="Arial" w:cs="Arial" w:eastAsia="Arial" w:hAnsi="Arial"/>
          <w:sz w:val="21"/>
          <w:szCs w:val="21"/>
          <w:color w:val="auto"/>
        </w:rPr>
      </w:pPr>
    </w:p>
    <w:p>
      <w:pPr>
        <w:ind w:left="3240" w:hanging="532"/>
        <w:spacing w:after="0"/>
        <w:tabs>
          <w:tab w:leader="none" w:pos="3240" w:val="left"/>
        </w:tabs>
        <w:numPr>
          <w:ilvl w:val="2"/>
          <w:numId w:val="335"/>
        </w:numPr>
        <w:rPr>
          <w:rFonts w:ascii="Arial" w:cs="Arial" w:eastAsia="Arial" w:hAnsi="Arial"/>
          <w:sz w:val="19"/>
          <w:szCs w:val="19"/>
          <w:color w:val="auto"/>
        </w:rPr>
      </w:pPr>
      <w:r>
        <w:rPr>
          <w:rFonts w:ascii="Arial" w:cs="Arial" w:eastAsia="Arial" w:hAnsi="Arial"/>
          <w:sz w:val="19"/>
          <w:szCs w:val="19"/>
          <w:color w:val="auto"/>
        </w:rPr>
        <w:t>The Borrower shall certify in writing to the Collateral Agent and the Deal Agent that no</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adverse selection was employed in the selection of the Loans and Contracts to be released.</w:t>
      </w:r>
    </w:p>
    <w:p>
      <w:pPr>
        <w:spacing w:after="0" w:line="228" w:lineRule="exact"/>
        <w:rPr>
          <w:rFonts w:ascii="Arial" w:cs="Arial" w:eastAsia="Arial" w:hAnsi="Arial"/>
          <w:sz w:val="19"/>
          <w:szCs w:val="19"/>
          <w:color w:val="auto"/>
        </w:rPr>
      </w:pPr>
    </w:p>
    <w:p>
      <w:pPr>
        <w:jc w:val="both"/>
        <w:ind w:left="120" w:right="20" w:firstLine="1940"/>
        <w:spacing w:after="0" w:line="250" w:lineRule="auto"/>
        <w:tabs>
          <w:tab w:leader="none" w:pos="2599" w:val="left"/>
        </w:tabs>
        <w:numPr>
          <w:ilvl w:val="1"/>
          <w:numId w:val="335"/>
        </w:numPr>
        <w:rPr>
          <w:rFonts w:ascii="Arial" w:cs="Arial" w:eastAsia="Arial" w:hAnsi="Arial"/>
          <w:sz w:val="22"/>
          <w:szCs w:val="22"/>
          <w:color w:val="auto"/>
        </w:rPr>
      </w:pPr>
      <w:r>
        <w:rPr>
          <w:rFonts w:ascii="Arial" w:cs="Arial" w:eastAsia="Arial" w:hAnsi="Arial"/>
          <w:sz w:val="22"/>
          <w:szCs w:val="22"/>
          <w:color w:val="auto"/>
        </w:rPr>
        <w:t>The Borrower hereby agrees to pay the reasonable legal fees and expenses of the Deal Agent and the Lenders in connection with any Take-Out (including, but not limited to, expenses incurred in connection with the release of the Lien of the Collateral Agent, the Lenders and any other party having such an interest in the Loans in connection with such Take-Out).</w:t>
      </w:r>
    </w:p>
    <w:p>
      <w:pPr>
        <w:spacing w:after="0" w:line="295" w:lineRule="exact"/>
        <w:rPr>
          <w:rFonts w:ascii="Arial" w:cs="Arial" w:eastAsia="Arial" w:hAnsi="Arial"/>
          <w:sz w:val="22"/>
          <w:szCs w:val="22"/>
          <w:color w:val="auto"/>
        </w:rPr>
      </w:pPr>
    </w:p>
    <w:p>
      <w:pPr>
        <w:jc w:val="both"/>
        <w:ind w:left="120" w:right="40" w:firstLine="1940"/>
        <w:spacing w:after="0" w:line="253" w:lineRule="auto"/>
        <w:tabs>
          <w:tab w:leader="none" w:pos="2601" w:val="left"/>
        </w:tabs>
        <w:numPr>
          <w:ilvl w:val="1"/>
          <w:numId w:val="335"/>
        </w:numPr>
        <w:rPr>
          <w:rFonts w:ascii="Arial" w:cs="Arial" w:eastAsia="Arial" w:hAnsi="Arial"/>
          <w:sz w:val="22"/>
          <w:szCs w:val="22"/>
          <w:color w:val="auto"/>
        </w:rPr>
      </w:pPr>
      <w:r>
        <w:rPr>
          <w:rFonts w:ascii="Arial" w:cs="Arial" w:eastAsia="Arial" w:hAnsi="Arial"/>
          <w:sz w:val="22"/>
          <w:szCs w:val="22"/>
          <w:color w:val="auto"/>
        </w:rPr>
        <w:t>In connection with any Take-Out, on the related Take-Out Date, the Collateral Agent, on behalf of the Lenders, shall, at the expense of the Borrower: (i) execute such instruments of release with respect to the portion of the Loans to be released to the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56</w:t>
      </w:r>
    </w:p>
    <w:p>
      <w:pPr>
        <w:sectPr>
          <w:pgSz w:w="11900" w:h="16838" w:orient="portrait"/>
          <w:cols w:equalWidth="0" w:num="1">
            <w:col w:w="11140"/>
          </w:cols>
          <w:pgMar w:left="320" w:top="1428" w:right="439" w:bottom="1440" w:gutter="0" w:footer="0" w:header="0"/>
        </w:sectPr>
      </w:pPr>
    </w:p>
    <w:bookmarkStart w:id="324" w:name="page325"/>
    <w:bookmarkEnd w:id="324"/>
    <w:p>
      <w:pPr>
        <w:jc w:val="both"/>
        <w:ind w:left="120" w:right="60"/>
        <w:spacing w:after="0" w:line="250" w:lineRule="auto"/>
        <w:rPr>
          <w:sz w:val="20"/>
          <w:szCs w:val="20"/>
          <w:color w:val="auto"/>
        </w:rPr>
      </w:pPr>
      <w:r>
        <w:rPr>
          <w:rFonts w:ascii="Arial" w:cs="Arial" w:eastAsia="Arial" w:hAnsi="Arial"/>
          <w:sz w:val="22"/>
          <w:szCs w:val="22"/>
          <w:color w:val="auto"/>
        </w:rPr>
        <w:t>Borrower, in favor of the Borrower as the Borrower may reasonably request; (ii) deliver any portion of the Loans to be released to the Borrower in its possession to the Borrower; and (iii) otherwise take such actions as are necessary and appropriate to release the Lien of the Collateral Agent on the Loans to be released to the Borrower and deliver to the Borrower such Loans</w:t>
      </w:r>
    </w:p>
    <w:p>
      <w:pPr>
        <w:spacing w:after="0" w:line="228" w:lineRule="exact"/>
        <w:rPr>
          <w:sz w:val="20"/>
          <w:szCs w:val="20"/>
          <w:color w:val="auto"/>
        </w:rPr>
      </w:pPr>
    </w:p>
    <w:p>
      <w:pPr>
        <w:ind w:left="120" w:firstLine="1940"/>
        <w:spacing w:after="0" w:line="263" w:lineRule="auto"/>
        <w:tabs>
          <w:tab w:leader="none" w:pos="2599" w:val="left"/>
        </w:tabs>
        <w:numPr>
          <w:ilvl w:val="0"/>
          <w:numId w:val="336"/>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Borrower may not effect an Optional Take-Out more frequently than one time during any three- month period.</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CONDITIONS TO THE CLOSING, EACH FUNDING AND AMENDMENT AND RESTATEMENT</w:t>
      </w:r>
    </w:p>
    <w:p>
      <w:pPr>
        <w:spacing w:after="0" w:line="229" w:lineRule="exact"/>
        <w:rPr>
          <w:sz w:val="20"/>
          <w:szCs w:val="20"/>
          <w:color w:val="auto"/>
        </w:rPr>
      </w:pPr>
    </w:p>
    <w:p>
      <w:pPr>
        <w:ind w:left="120" w:right="60" w:firstLine="648"/>
        <w:spacing w:after="0" w:line="263"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Conditions to Effectiveness of this Sixth Amended and Restated Loan and Security Agreement</w:t>
      </w:r>
      <w:r>
        <w:rPr>
          <w:rFonts w:ascii="Arial" w:cs="Arial" w:eastAsia="Arial" w:hAnsi="Arial"/>
          <w:sz w:val="22"/>
          <w:szCs w:val="22"/>
          <w:color w:val="auto"/>
        </w:rPr>
        <w:t>. This Sixth Amended and Restated Loan and Security Agreement shall not become effective until:</w:t>
      </w:r>
    </w:p>
    <w:p>
      <w:pPr>
        <w:spacing w:after="0" w:line="215" w:lineRule="exact"/>
        <w:rPr>
          <w:sz w:val="20"/>
          <w:szCs w:val="20"/>
          <w:color w:val="auto"/>
        </w:rPr>
      </w:pPr>
    </w:p>
    <w:p>
      <w:pPr>
        <w:ind w:left="760" w:right="780" w:firstLine="4"/>
        <w:spacing w:after="0" w:line="263" w:lineRule="auto"/>
        <w:tabs>
          <w:tab w:leader="none" w:pos="1297" w:val="left"/>
        </w:tabs>
        <w:numPr>
          <w:ilvl w:val="0"/>
          <w:numId w:val="337"/>
        </w:numPr>
        <w:rPr>
          <w:rFonts w:ascii="Arial" w:cs="Arial" w:eastAsia="Arial" w:hAnsi="Arial"/>
          <w:sz w:val="22"/>
          <w:szCs w:val="22"/>
          <w:color w:val="auto"/>
        </w:rPr>
      </w:pPr>
      <w:r>
        <w:rPr>
          <w:rFonts w:ascii="Arial" w:cs="Arial" w:eastAsia="Arial" w:hAnsi="Arial"/>
          <w:sz w:val="22"/>
          <w:szCs w:val="22"/>
          <w:color w:val="auto"/>
        </w:rPr>
        <w:t>Each document specified on Schedule VII has been duly executed by, and delivered to, the parties hereto and thereto and the Deal Agent has received all such executed documents.</w:t>
      </w:r>
    </w:p>
    <w:p>
      <w:pPr>
        <w:spacing w:after="0" w:line="201" w:lineRule="exact"/>
        <w:rPr>
          <w:rFonts w:ascii="Arial" w:cs="Arial" w:eastAsia="Arial" w:hAnsi="Arial"/>
          <w:sz w:val="22"/>
          <w:szCs w:val="22"/>
          <w:color w:val="auto"/>
        </w:rPr>
      </w:pPr>
    </w:p>
    <w:p>
      <w:pPr>
        <w:ind w:left="760" w:right="520" w:firstLine="4"/>
        <w:spacing w:after="0" w:line="263" w:lineRule="auto"/>
        <w:tabs>
          <w:tab w:leader="none" w:pos="1295" w:val="left"/>
        </w:tabs>
        <w:numPr>
          <w:ilvl w:val="0"/>
          <w:numId w:val="337"/>
        </w:numPr>
        <w:rPr>
          <w:rFonts w:ascii="Arial" w:cs="Arial" w:eastAsia="Arial" w:hAnsi="Arial"/>
          <w:sz w:val="22"/>
          <w:szCs w:val="22"/>
          <w:color w:val="auto"/>
        </w:rPr>
      </w:pPr>
      <w:r>
        <w:rPr>
          <w:rFonts w:ascii="Arial" w:cs="Arial" w:eastAsia="Arial" w:hAnsi="Arial"/>
          <w:sz w:val="22"/>
          <w:szCs w:val="22"/>
          <w:color w:val="auto"/>
        </w:rPr>
        <w:t>The Borrower shall have paid all fees or other amounts required to be paid by it on the Effective Date under the Fee Letter.</w:t>
      </w:r>
    </w:p>
    <w:p>
      <w:pPr>
        <w:spacing w:after="0" w:line="201" w:lineRule="exact"/>
        <w:rPr>
          <w:rFonts w:ascii="Arial" w:cs="Arial" w:eastAsia="Arial" w:hAnsi="Arial"/>
          <w:sz w:val="22"/>
          <w:szCs w:val="22"/>
          <w:color w:val="auto"/>
        </w:rPr>
      </w:pPr>
    </w:p>
    <w:p>
      <w:pPr>
        <w:ind w:left="760" w:right="180" w:firstLine="4"/>
        <w:spacing w:after="0" w:line="263" w:lineRule="auto"/>
        <w:tabs>
          <w:tab w:leader="none" w:pos="1297" w:val="left"/>
        </w:tabs>
        <w:numPr>
          <w:ilvl w:val="0"/>
          <w:numId w:val="337"/>
        </w:numPr>
        <w:rPr>
          <w:rFonts w:ascii="Arial" w:cs="Arial" w:eastAsia="Arial" w:hAnsi="Arial"/>
          <w:sz w:val="22"/>
          <w:szCs w:val="22"/>
          <w:color w:val="auto"/>
        </w:rPr>
      </w:pPr>
      <w:r>
        <w:rPr>
          <w:rFonts w:ascii="Arial" w:cs="Arial" w:eastAsia="Arial" w:hAnsi="Arial"/>
          <w:sz w:val="22"/>
          <w:szCs w:val="22"/>
          <w:color w:val="auto"/>
        </w:rPr>
        <w:t>The Deal Agent has received such other approvals, opinions or documents as the Deal Agent or its counsel may reasonably require.</w:t>
      </w:r>
    </w:p>
    <w:p>
      <w:pPr>
        <w:spacing w:after="0" w:line="202" w:lineRule="exact"/>
        <w:rPr>
          <w:sz w:val="20"/>
          <w:szCs w:val="20"/>
          <w:color w:val="auto"/>
        </w:rPr>
      </w:pPr>
    </w:p>
    <w:p>
      <w:pPr>
        <w:ind w:left="120" w:right="60" w:firstLine="648"/>
        <w:spacing w:after="0" w:line="263" w:lineRule="auto"/>
        <w:rPr>
          <w:sz w:val="20"/>
          <w:szCs w:val="20"/>
          <w:color w:val="auto"/>
        </w:rPr>
      </w:pPr>
      <w:r>
        <w:rPr>
          <w:rFonts w:ascii="Arial" w:cs="Arial" w:eastAsia="Arial" w:hAnsi="Arial"/>
          <w:sz w:val="22"/>
          <w:szCs w:val="22"/>
          <w:color w:val="auto"/>
        </w:rPr>
        <w:t xml:space="preserve">Section 3.2. </w:t>
      </w:r>
      <w:r>
        <w:rPr>
          <w:rFonts w:ascii="Arial" w:cs="Arial" w:eastAsia="Arial" w:hAnsi="Arial"/>
          <w:sz w:val="22"/>
          <w:szCs w:val="22"/>
          <w:u w:val="single" w:color="auto"/>
          <w:color w:val="auto"/>
        </w:rPr>
        <w:t>Conditions Precedent To All Fundings</w:t>
      </w:r>
      <w:r>
        <w:rPr>
          <w:rFonts w:ascii="Arial" w:cs="Arial" w:eastAsia="Arial" w:hAnsi="Arial"/>
          <w:sz w:val="22"/>
          <w:szCs w:val="22"/>
          <w:color w:val="auto"/>
        </w:rPr>
        <w:t>. Each request for a Funding hereunder (each, a “</w:t>
      </w:r>
      <w:r>
        <w:rPr>
          <w:rFonts w:ascii="Arial" w:cs="Arial" w:eastAsia="Arial" w:hAnsi="Arial"/>
          <w:sz w:val="22"/>
          <w:szCs w:val="22"/>
          <w:u w:val="single" w:color="auto"/>
          <w:color w:val="auto"/>
        </w:rPr>
        <w:t>Transaction</w:t>
      </w:r>
      <w:r>
        <w:rPr>
          <w:rFonts w:ascii="Arial" w:cs="Arial" w:eastAsia="Arial" w:hAnsi="Arial"/>
          <w:sz w:val="22"/>
          <w:szCs w:val="22"/>
          <w:color w:val="auto"/>
        </w:rPr>
        <w:t>”) shall be subject to the further conditions precedent:</w:t>
      </w:r>
    </w:p>
    <w:p>
      <w:pPr>
        <w:spacing w:after="0" w:line="215" w:lineRule="exact"/>
        <w:rPr>
          <w:sz w:val="20"/>
          <w:szCs w:val="20"/>
          <w:color w:val="auto"/>
        </w:rPr>
      </w:pPr>
    </w:p>
    <w:p>
      <w:pPr>
        <w:jc w:val="both"/>
        <w:ind w:left="120" w:right="40" w:firstLine="1940"/>
        <w:spacing w:after="0" w:line="248" w:lineRule="auto"/>
        <w:tabs>
          <w:tab w:leader="none" w:pos="2601" w:val="left"/>
        </w:tabs>
        <w:numPr>
          <w:ilvl w:val="0"/>
          <w:numId w:val="338"/>
        </w:numPr>
        <w:rPr>
          <w:rFonts w:ascii="Arial" w:cs="Arial" w:eastAsia="Arial" w:hAnsi="Arial"/>
          <w:sz w:val="22"/>
          <w:szCs w:val="22"/>
          <w:color w:val="auto"/>
        </w:rPr>
      </w:pPr>
      <w:r>
        <w:rPr>
          <w:rFonts w:ascii="Arial" w:cs="Arial" w:eastAsia="Arial" w:hAnsi="Arial"/>
          <w:sz w:val="22"/>
          <w:szCs w:val="22"/>
          <w:color w:val="auto"/>
        </w:rPr>
        <w:t>With respect to any Advance (including the Initial Funding), the Borrower shall have delivered to the Deal Agent, on or prior to the date of the Advance in form and substance satisfactory to the Deal Agent, (i) the Funding Notice and (ii) Exhibit A to the Contribution Agreement, including the Schedule of Loans and Contracts attached thereto, dated within two (2) Business Days prior to the date of the Advance and containing such additional information as may be reasonably requested by the Deal Agent.</w:t>
      </w:r>
    </w:p>
    <w:p>
      <w:pPr>
        <w:spacing w:after="0" w:line="218" w:lineRule="exact"/>
        <w:rPr>
          <w:rFonts w:ascii="Arial" w:cs="Arial" w:eastAsia="Arial" w:hAnsi="Arial"/>
          <w:sz w:val="22"/>
          <w:szCs w:val="22"/>
          <w:color w:val="auto"/>
        </w:rPr>
      </w:pPr>
    </w:p>
    <w:p>
      <w:pPr>
        <w:ind w:left="120" w:right="60" w:firstLine="1940"/>
        <w:spacing w:after="0" w:line="287" w:lineRule="auto"/>
        <w:tabs>
          <w:tab w:leader="none" w:pos="2599" w:val="left"/>
        </w:tabs>
        <w:numPr>
          <w:ilvl w:val="0"/>
          <w:numId w:val="338"/>
        </w:numPr>
        <w:rPr>
          <w:rFonts w:ascii="Arial" w:cs="Arial" w:eastAsia="Arial" w:hAnsi="Arial"/>
          <w:sz w:val="21"/>
          <w:szCs w:val="21"/>
          <w:color w:val="auto"/>
        </w:rPr>
      </w:pPr>
      <w:r>
        <w:rPr>
          <w:rFonts w:ascii="Arial" w:cs="Arial" w:eastAsia="Arial" w:hAnsi="Arial"/>
          <w:sz w:val="21"/>
          <w:szCs w:val="21"/>
          <w:color w:val="auto"/>
        </w:rPr>
        <w:t>On the date of such Transaction the following statements shall be true and the Borrower shall be deemed to have certified that, after giving effect to the proposed Advance and pledge of Additional Loans:</w:t>
      </w:r>
    </w:p>
    <w:p>
      <w:pPr>
        <w:spacing w:after="0" w:line="191" w:lineRule="exact"/>
        <w:rPr>
          <w:rFonts w:ascii="Arial" w:cs="Arial" w:eastAsia="Arial" w:hAnsi="Arial"/>
          <w:sz w:val="21"/>
          <w:szCs w:val="21"/>
          <w:color w:val="auto"/>
        </w:rPr>
      </w:pPr>
    </w:p>
    <w:p>
      <w:pPr>
        <w:ind w:left="120" w:right="40" w:firstLine="2588"/>
        <w:spacing w:after="0" w:line="343" w:lineRule="auto"/>
        <w:tabs>
          <w:tab w:leader="none" w:pos="3240" w:val="left"/>
        </w:tabs>
        <w:numPr>
          <w:ilvl w:val="1"/>
          <w:numId w:val="338"/>
        </w:numPr>
        <w:rPr>
          <w:rFonts w:ascii="Arial" w:cs="Arial" w:eastAsia="Arial" w:hAnsi="Arial"/>
          <w:sz w:val="19"/>
          <w:szCs w:val="19"/>
          <w:color w:val="auto"/>
        </w:rPr>
      </w:pPr>
      <w:r>
        <w:rPr>
          <w:rFonts w:ascii="Arial" w:cs="Arial" w:eastAsia="Arial" w:hAnsi="Arial"/>
          <w:sz w:val="19"/>
          <w:szCs w:val="19"/>
          <w:color w:val="auto"/>
        </w:rPr>
        <w:t>The representations and warranties contained in Sections 4.1, 4.2 and 4.3 are true and correct on and as of such day as though made on and as of such day and shall be deemed to have been made on such day;</w:t>
      </w:r>
    </w:p>
    <w:p>
      <w:pPr>
        <w:spacing w:after="0" w:line="144" w:lineRule="exact"/>
        <w:rPr>
          <w:rFonts w:ascii="Arial" w:cs="Arial" w:eastAsia="Arial" w:hAnsi="Arial"/>
          <w:sz w:val="19"/>
          <w:szCs w:val="19"/>
          <w:color w:val="auto"/>
        </w:rPr>
      </w:pPr>
    </w:p>
    <w:p>
      <w:pPr>
        <w:ind w:left="120" w:right="60" w:firstLine="2588"/>
        <w:spacing w:after="0" w:line="263" w:lineRule="auto"/>
        <w:tabs>
          <w:tab w:leader="none" w:pos="3246" w:val="left"/>
        </w:tabs>
        <w:numPr>
          <w:ilvl w:val="1"/>
          <w:numId w:val="338"/>
        </w:numPr>
        <w:rPr>
          <w:rFonts w:ascii="Arial" w:cs="Arial" w:eastAsia="Arial" w:hAnsi="Arial"/>
          <w:sz w:val="22"/>
          <w:szCs w:val="22"/>
          <w:color w:val="auto"/>
        </w:rPr>
      </w:pPr>
      <w:r>
        <w:rPr>
          <w:rFonts w:ascii="Arial" w:cs="Arial" w:eastAsia="Arial" w:hAnsi="Arial"/>
          <w:sz w:val="22"/>
          <w:szCs w:val="22"/>
          <w:color w:val="auto"/>
        </w:rPr>
        <w:t>On and as of such day, after giving effect to the proposed Advance, (A) the outstanding Capital does not exceed the lesser of (1) the Borrowing Base and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57</w:t>
      </w:r>
    </w:p>
    <w:p>
      <w:pPr>
        <w:sectPr>
          <w:pgSz w:w="11900" w:h="16838" w:orient="portrait"/>
          <w:cols w:equalWidth="0" w:num="1">
            <w:col w:w="11140"/>
          </w:cols>
          <w:pgMar w:left="320" w:top="1428" w:right="439" w:bottom="1440" w:gutter="0" w:footer="0" w:header="0"/>
        </w:sectPr>
      </w:pPr>
    </w:p>
    <w:bookmarkStart w:id="325" w:name="page326"/>
    <w:bookmarkEnd w:id="325"/>
    <w:p>
      <w:pPr>
        <w:ind w:left="120" w:right="100" w:hanging="4"/>
        <w:spacing w:after="0" w:line="263" w:lineRule="auto"/>
        <w:tabs>
          <w:tab w:leader="none" w:pos="426" w:val="left"/>
        </w:tabs>
        <w:numPr>
          <w:ilvl w:val="0"/>
          <w:numId w:val="339"/>
        </w:numPr>
        <w:rPr>
          <w:rFonts w:ascii="Arial" w:cs="Arial" w:eastAsia="Arial" w:hAnsi="Arial"/>
          <w:sz w:val="22"/>
          <w:szCs w:val="22"/>
          <w:color w:val="auto"/>
        </w:rPr>
      </w:pPr>
      <w:r>
        <w:rPr>
          <w:rFonts w:ascii="Arial" w:cs="Arial" w:eastAsia="Arial" w:hAnsi="Arial"/>
          <w:sz w:val="22"/>
          <w:szCs w:val="22"/>
          <w:color w:val="auto"/>
        </w:rPr>
        <w:t>the Facility Limit and (B) with respect to each Lender the aggregate Capital funded or maintained by such Lender does not exceed such Lender’s Commitment;</w:t>
      </w:r>
    </w:p>
    <w:p>
      <w:pPr>
        <w:spacing w:after="0" w:line="215" w:lineRule="exact"/>
        <w:rPr>
          <w:rFonts w:ascii="Arial" w:cs="Arial" w:eastAsia="Arial" w:hAnsi="Arial"/>
          <w:sz w:val="22"/>
          <w:szCs w:val="22"/>
          <w:color w:val="auto"/>
        </w:rPr>
      </w:pPr>
    </w:p>
    <w:p>
      <w:pPr>
        <w:jc w:val="both"/>
        <w:ind w:left="120" w:right="40" w:firstLine="2588"/>
        <w:spacing w:after="0" w:line="253" w:lineRule="auto"/>
        <w:tabs>
          <w:tab w:leader="none" w:pos="3252" w:val="left"/>
        </w:tabs>
        <w:numPr>
          <w:ilvl w:val="2"/>
          <w:numId w:val="339"/>
        </w:numPr>
        <w:rPr>
          <w:rFonts w:ascii="Arial" w:cs="Arial" w:eastAsia="Arial" w:hAnsi="Arial"/>
          <w:sz w:val="22"/>
          <w:szCs w:val="22"/>
          <w:color w:val="auto"/>
        </w:rPr>
      </w:pPr>
      <w:r>
        <w:rPr>
          <w:rFonts w:ascii="Arial" w:cs="Arial" w:eastAsia="Arial" w:hAnsi="Arial"/>
          <w:sz w:val="22"/>
          <w:szCs w:val="22"/>
          <w:color w:val="auto"/>
        </w:rPr>
        <w:t>On and as of such day, the Borrower, the Originator and the Servicer each has performed all of the agreements contained in this Agreement and the other Transaction Documents to which it is a party to be performed by such person at or prior to such day; and</w:t>
      </w:r>
    </w:p>
    <w:p>
      <w:pPr>
        <w:spacing w:after="0" w:line="293" w:lineRule="exact"/>
        <w:rPr>
          <w:rFonts w:ascii="Arial" w:cs="Arial" w:eastAsia="Arial" w:hAnsi="Arial"/>
          <w:sz w:val="22"/>
          <w:szCs w:val="22"/>
          <w:color w:val="auto"/>
        </w:rPr>
      </w:pPr>
    </w:p>
    <w:p>
      <w:pPr>
        <w:jc w:val="both"/>
        <w:ind w:left="120" w:right="60" w:firstLine="2588"/>
        <w:spacing w:after="0" w:line="253" w:lineRule="auto"/>
        <w:tabs>
          <w:tab w:leader="none" w:pos="3241" w:val="left"/>
        </w:tabs>
        <w:numPr>
          <w:ilvl w:val="2"/>
          <w:numId w:val="339"/>
        </w:numPr>
        <w:rPr>
          <w:rFonts w:ascii="Arial" w:cs="Arial" w:eastAsia="Arial" w:hAnsi="Arial"/>
          <w:sz w:val="22"/>
          <w:szCs w:val="22"/>
          <w:color w:val="auto"/>
        </w:rPr>
      </w:pPr>
      <w:r>
        <w:rPr>
          <w:rFonts w:ascii="Arial" w:cs="Arial" w:eastAsia="Arial" w:hAnsi="Arial"/>
          <w:sz w:val="22"/>
          <w:szCs w:val="22"/>
          <w:color w:val="auto"/>
        </w:rPr>
        <w:t>No law or regulation shall prohibit, and no order, judgment or decree of any federal, state or local court or governmental body, agency or instrumentality shall prohibit or enjoin, the making of the Funding by the Lender in accordance with the provisions hereof.</w:t>
      </w:r>
    </w:p>
    <w:p>
      <w:pPr>
        <w:spacing w:after="0" w:line="293" w:lineRule="exact"/>
        <w:rPr>
          <w:rFonts w:ascii="Arial" w:cs="Arial" w:eastAsia="Arial" w:hAnsi="Arial"/>
          <w:sz w:val="22"/>
          <w:szCs w:val="22"/>
          <w:color w:val="auto"/>
        </w:rPr>
      </w:pPr>
    </w:p>
    <w:p>
      <w:pPr>
        <w:ind w:left="2600" w:hanging="540"/>
        <w:spacing w:after="0"/>
        <w:tabs>
          <w:tab w:leader="none" w:pos="2600" w:val="left"/>
        </w:tabs>
        <w:numPr>
          <w:ilvl w:val="1"/>
          <w:numId w:val="339"/>
        </w:numPr>
        <w:rPr>
          <w:rFonts w:ascii="Arial" w:cs="Arial" w:eastAsia="Arial" w:hAnsi="Arial"/>
          <w:sz w:val="19"/>
          <w:szCs w:val="19"/>
          <w:color w:val="auto"/>
        </w:rPr>
      </w:pPr>
      <w:r>
        <w:rPr>
          <w:rFonts w:ascii="Arial" w:cs="Arial" w:eastAsia="Arial" w:hAnsi="Arial"/>
          <w:sz w:val="19"/>
          <w:szCs w:val="19"/>
          <w:color w:val="auto"/>
        </w:rPr>
        <w:t>The Borrower shall have delivered to the Collateral Agent the information described in Section</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2.2(a)(iii).</w:t>
      </w:r>
    </w:p>
    <w:p>
      <w:pPr>
        <w:spacing w:after="0" w:line="228" w:lineRule="exact"/>
        <w:rPr>
          <w:rFonts w:ascii="Arial" w:cs="Arial" w:eastAsia="Arial" w:hAnsi="Arial"/>
          <w:sz w:val="19"/>
          <w:szCs w:val="19"/>
          <w:color w:val="auto"/>
        </w:rPr>
      </w:pPr>
    </w:p>
    <w:p>
      <w:pPr>
        <w:ind w:left="120" w:right="40" w:firstLine="1940"/>
        <w:spacing w:after="0" w:line="263" w:lineRule="auto"/>
        <w:tabs>
          <w:tab w:leader="none" w:pos="2599" w:val="left"/>
        </w:tabs>
        <w:numPr>
          <w:ilvl w:val="1"/>
          <w:numId w:val="339"/>
        </w:numPr>
        <w:rPr>
          <w:rFonts w:ascii="Arial" w:cs="Arial" w:eastAsia="Arial" w:hAnsi="Arial"/>
          <w:sz w:val="22"/>
          <w:szCs w:val="22"/>
          <w:color w:val="auto"/>
        </w:rPr>
      </w:pPr>
      <w:r>
        <w:rPr>
          <w:rFonts w:ascii="Arial" w:cs="Arial" w:eastAsia="Arial" w:hAnsi="Arial"/>
          <w:sz w:val="22"/>
          <w:szCs w:val="22"/>
          <w:color w:val="auto"/>
        </w:rPr>
        <w:t>All financing statements necessary to perfect the Collateral Agent’s first priority security interest in the Collateral shall have been filed in the appropriate filing offices.</w:t>
      </w:r>
    </w:p>
    <w:p>
      <w:pPr>
        <w:spacing w:after="0" w:line="282" w:lineRule="exact"/>
        <w:rPr>
          <w:rFonts w:ascii="Arial" w:cs="Arial" w:eastAsia="Arial" w:hAnsi="Arial"/>
          <w:sz w:val="22"/>
          <w:szCs w:val="22"/>
          <w:color w:val="auto"/>
        </w:rPr>
      </w:pPr>
    </w:p>
    <w:p>
      <w:pPr>
        <w:ind w:left="120" w:right="60" w:firstLine="1940"/>
        <w:spacing w:after="0" w:line="343" w:lineRule="auto"/>
        <w:tabs>
          <w:tab w:leader="none" w:pos="2601" w:val="left"/>
        </w:tabs>
        <w:numPr>
          <w:ilvl w:val="1"/>
          <w:numId w:val="339"/>
        </w:numPr>
        <w:rPr>
          <w:rFonts w:ascii="Arial" w:cs="Arial" w:eastAsia="Arial" w:hAnsi="Arial"/>
          <w:sz w:val="19"/>
          <w:szCs w:val="19"/>
          <w:color w:val="auto"/>
        </w:rPr>
      </w:pPr>
      <w:r>
        <w:rPr>
          <w:rFonts w:ascii="Arial" w:cs="Arial" w:eastAsia="Arial" w:hAnsi="Arial"/>
          <w:sz w:val="19"/>
          <w:szCs w:val="19"/>
          <w:color w:val="auto"/>
        </w:rPr>
        <w:t>Forecasted Collections for the Aggregate Outstanding Eligible Loan Net Balance (after giving effect to the proposed Advance) shall be greater than or equal to Capital, after giving effect to the proposed Advance.</w:t>
      </w:r>
    </w:p>
    <w:p>
      <w:pPr>
        <w:spacing w:after="0" w:line="144" w:lineRule="exact"/>
        <w:rPr>
          <w:rFonts w:ascii="Arial" w:cs="Arial" w:eastAsia="Arial" w:hAnsi="Arial"/>
          <w:sz w:val="19"/>
          <w:szCs w:val="19"/>
          <w:color w:val="auto"/>
        </w:rPr>
      </w:pPr>
    </w:p>
    <w:p>
      <w:pPr>
        <w:ind w:left="2600" w:hanging="540"/>
        <w:spacing w:after="0"/>
        <w:tabs>
          <w:tab w:leader="none" w:pos="2600" w:val="left"/>
        </w:tabs>
        <w:numPr>
          <w:ilvl w:val="1"/>
          <w:numId w:val="339"/>
        </w:numPr>
        <w:rPr>
          <w:rFonts w:ascii="Arial" w:cs="Arial" w:eastAsia="Arial" w:hAnsi="Arial"/>
          <w:sz w:val="19"/>
          <w:szCs w:val="19"/>
          <w:color w:val="auto"/>
        </w:rPr>
      </w:pPr>
      <w:r>
        <w:rPr>
          <w:rFonts w:ascii="Arial" w:cs="Arial" w:eastAsia="Arial" w:hAnsi="Arial"/>
          <w:sz w:val="19"/>
          <w:szCs w:val="19"/>
          <w:color w:val="auto"/>
        </w:rPr>
        <w:t>(i) All conditions required to be satisfied in the Contribution Agreement shall have been satisfied.</w:t>
      </w:r>
    </w:p>
    <w:p>
      <w:pPr>
        <w:spacing w:after="0" w:line="294" w:lineRule="exact"/>
        <w:rPr>
          <w:rFonts w:ascii="Arial" w:cs="Arial" w:eastAsia="Arial" w:hAnsi="Arial"/>
          <w:sz w:val="19"/>
          <w:szCs w:val="19"/>
          <w:color w:val="auto"/>
        </w:rPr>
      </w:pPr>
    </w:p>
    <w:p>
      <w:pPr>
        <w:ind w:left="2600" w:hanging="540"/>
        <w:spacing w:after="0"/>
        <w:tabs>
          <w:tab w:leader="none" w:pos="2600" w:val="left"/>
        </w:tabs>
        <w:numPr>
          <w:ilvl w:val="1"/>
          <w:numId w:val="339"/>
        </w:numPr>
        <w:rPr>
          <w:rFonts w:ascii="Arial" w:cs="Arial" w:eastAsia="Arial" w:hAnsi="Arial"/>
          <w:sz w:val="19"/>
          <w:szCs w:val="19"/>
          <w:color w:val="auto"/>
        </w:rPr>
      </w:pPr>
      <w:r>
        <w:rPr>
          <w:rFonts w:ascii="Arial" w:cs="Arial" w:eastAsia="Arial" w:hAnsi="Arial"/>
          <w:sz w:val="19"/>
          <w:szCs w:val="19"/>
          <w:color w:val="auto"/>
        </w:rPr>
        <w:t>No Amortization Event, Termination Event or Unmatured Termination Event shall have occurred.</w:t>
      </w:r>
    </w:p>
    <w:p>
      <w:pPr>
        <w:spacing w:after="0" w:line="281" w:lineRule="exact"/>
        <w:rPr>
          <w:rFonts w:ascii="Arial" w:cs="Arial" w:eastAsia="Arial" w:hAnsi="Arial"/>
          <w:sz w:val="19"/>
          <w:szCs w:val="19"/>
          <w:color w:val="auto"/>
        </w:rPr>
      </w:pPr>
    </w:p>
    <w:p>
      <w:pPr>
        <w:ind w:left="120" w:right="40" w:firstLine="1940"/>
        <w:spacing w:after="0" w:line="263" w:lineRule="auto"/>
        <w:tabs>
          <w:tab w:leader="none" w:pos="2599" w:val="left"/>
        </w:tabs>
        <w:numPr>
          <w:ilvl w:val="1"/>
          <w:numId w:val="339"/>
        </w:numPr>
        <w:rPr>
          <w:rFonts w:ascii="Arial" w:cs="Arial" w:eastAsia="Arial" w:hAnsi="Arial"/>
          <w:sz w:val="22"/>
          <w:szCs w:val="22"/>
          <w:color w:val="auto"/>
        </w:rPr>
      </w:pPr>
      <w:r>
        <w:rPr>
          <w:rFonts w:ascii="Arial" w:cs="Arial" w:eastAsia="Arial" w:hAnsi="Arial"/>
          <w:sz w:val="22"/>
          <w:szCs w:val="22"/>
          <w:color w:val="auto"/>
        </w:rPr>
        <w:t>No Servicer Termination Event or any event, that with the giving of notice or the lapse of time, or both, would become a Servicer Termination Event shall have occurred.</w:t>
      </w:r>
    </w:p>
    <w:p>
      <w:pPr>
        <w:spacing w:after="0" w:line="282" w:lineRule="exact"/>
        <w:rPr>
          <w:rFonts w:ascii="Arial" w:cs="Arial" w:eastAsia="Arial" w:hAnsi="Arial"/>
          <w:sz w:val="22"/>
          <w:szCs w:val="22"/>
          <w:color w:val="auto"/>
        </w:rPr>
      </w:pPr>
    </w:p>
    <w:p>
      <w:pPr>
        <w:jc w:val="both"/>
        <w:ind w:left="120" w:right="40" w:firstLine="1940"/>
        <w:spacing w:after="0" w:line="271" w:lineRule="auto"/>
        <w:tabs>
          <w:tab w:leader="none" w:pos="2592" w:val="left"/>
        </w:tabs>
        <w:numPr>
          <w:ilvl w:val="1"/>
          <w:numId w:val="339"/>
        </w:numPr>
        <w:rPr>
          <w:rFonts w:ascii="Arial" w:cs="Arial" w:eastAsia="Arial" w:hAnsi="Arial"/>
          <w:sz w:val="21"/>
          <w:szCs w:val="21"/>
          <w:color w:val="auto"/>
        </w:rPr>
      </w:pPr>
      <w:r>
        <w:rPr>
          <w:rFonts w:ascii="Arial" w:cs="Arial" w:eastAsia="Arial" w:hAnsi="Arial"/>
          <w:sz w:val="21"/>
          <w:szCs w:val="21"/>
          <w:color w:val="auto"/>
        </w:rPr>
        <w:t>No material adverse selection procedures were used by the Borrower with respect to the Loans, Contracts or Dealer Agreements; provided, for the avoidance of doubt, that during the Revolving Period, the Borrower in its sole discretion may elect to pledge Dealer Loans secured by either Open Pools or Closed Pools.</w:t>
      </w:r>
    </w:p>
    <w:p>
      <w:pPr>
        <w:spacing w:after="0" w:line="207" w:lineRule="exact"/>
        <w:rPr>
          <w:rFonts w:ascii="Arial" w:cs="Arial" w:eastAsia="Arial" w:hAnsi="Arial"/>
          <w:sz w:val="21"/>
          <w:szCs w:val="21"/>
          <w:color w:val="auto"/>
        </w:rPr>
      </w:pPr>
    </w:p>
    <w:p>
      <w:pPr>
        <w:jc w:val="both"/>
        <w:ind w:left="120" w:firstLine="1940"/>
        <w:spacing w:after="0" w:line="253" w:lineRule="auto"/>
        <w:tabs>
          <w:tab w:leader="none" w:pos="2592" w:val="left"/>
        </w:tabs>
        <w:numPr>
          <w:ilvl w:val="1"/>
          <w:numId w:val="339"/>
        </w:numPr>
        <w:rPr>
          <w:rFonts w:ascii="Arial" w:cs="Arial" w:eastAsia="Arial" w:hAnsi="Arial"/>
          <w:sz w:val="22"/>
          <w:szCs w:val="22"/>
          <w:color w:val="auto"/>
        </w:rPr>
      </w:pPr>
      <w:r>
        <w:rPr>
          <w:rFonts w:ascii="Arial" w:cs="Arial" w:eastAsia="Arial" w:hAnsi="Arial"/>
          <w:sz w:val="22"/>
          <w:szCs w:val="22"/>
          <w:color w:val="auto"/>
        </w:rPr>
        <w:t>The Borrower shall have deposited to the Reserve Account an amount equal to 1.0% of the Capital after giving effect to the proposed Advance. In addition, the amount on deposit in the Reserve Account shall not be less than the Required Reserve Account Amount.</w:t>
      </w:r>
    </w:p>
    <w:p>
      <w:pPr>
        <w:spacing w:after="0" w:line="293" w:lineRule="exact"/>
        <w:rPr>
          <w:rFonts w:ascii="Arial" w:cs="Arial" w:eastAsia="Arial" w:hAnsi="Arial"/>
          <w:sz w:val="22"/>
          <w:szCs w:val="22"/>
          <w:color w:val="auto"/>
        </w:rPr>
      </w:pPr>
    </w:p>
    <w:p>
      <w:pPr>
        <w:ind w:left="2700" w:hanging="640"/>
        <w:spacing w:after="0"/>
        <w:tabs>
          <w:tab w:leader="none" w:pos="2700" w:val="left"/>
        </w:tabs>
        <w:numPr>
          <w:ilvl w:val="1"/>
          <w:numId w:val="339"/>
        </w:numPr>
        <w:rPr>
          <w:rFonts w:ascii="Arial" w:cs="Arial" w:eastAsia="Arial" w:hAnsi="Arial"/>
          <w:sz w:val="22"/>
          <w:szCs w:val="22"/>
          <w:color w:val="auto"/>
        </w:rPr>
      </w:pPr>
      <w:r>
        <w:rPr>
          <w:rFonts w:ascii="Arial" w:cs="Arial" w:eastAsia="Arial" w:hAnsi="Arial"/>
          <w:sz w:val="22"/>
          <w:szCs w:val="22"/>
          <w:color w:val="auto"/>
        </w:rPr>
        <w:t>The Hedging Agreement shall be in effect.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58</w:t>
      </w:r>
    </w:p>
    <w:p>
      <w:pPr>
        <w:sectPr>
          <w:pgSz w:w="11900" w:h="16838" w:orient="portrait"/>
          <w:cols w:equalWidth="0" w:num="1">
            <w:col w:w="11140"/>
          </w:cols>
          <w:pgMar w:left="320" w:top="1428" w:right="439" w:bottom="1440" w:gutter="0" w:footer="0" w:header="0"/>
        </w:sectPr>
      </w:pPr>
    </w:p>
    <w:bookmarkStart w:id="326" w:name="page327"/>
    <w:bookmarkEnd w:id="326"/>
    <w:p>
      <w:pPr>
        <w:ind w:left="120" w:right="40" w:firstLine="1940"/>
        <w:spacing w:after="0" w:line="263" w:lineRule="auto"/>
        <w:tabs>
          <w:tab w:leader="none" w:pos="2592" w:val="left"/>
        </w:tabs>
        <w:numPr>
          <w:ilvl w:val="0"/>
          <w:numId w:val="340"/>
        </w:numPr>
        <w:rPr>
          <w:rFonts w:ascii="Arial" w:cs="Arial" w:eastAsia="Arial" w:hAnsi="Arial"/>
          <w:sz w:val="22"/>
          <w:szCs w:val="22"/>
          <w:color w:val="auto"/>
        </w:rPr>
      </w:pPr>
      <w:r>
        <w:rPr>
          <w:rFonts w:ascii="Arial" w:cs="Arial" w:eastAsia="Arial" w:hAnsi="Arial"/>
          <w:sz w:val="22"/>
          <w:szCs w:val="22"/>
          <w:color w:val="auto"/>
        </w:rPr>
        <w:t>The Deal Agent shall have received such other approvals, opinions or documents as the Deal Agent or its counsel may reasonably require.</w:t>
      </w:r>
    </w:p>
    <w:p>
      <w:pPr>
        <w:spacing w:after="0" w:line="391" w:lineRule="exact"/>
        <w:rPr>
          <w:sz w:val="20"/>
          <w:szCs w:val="20"/>
          <w:color w:val="auto"/>
        </w:rPr>
      </w:pPr>
    </w:p>
    <w:p>
      <w:pPr>
        <w:ind w:left="3740"/>
        <w:spacing w:after="0"/>
        <w:rPr>
          <w:sz w:val="20"/>
          <w:szCs w:val="20"/>
          <w:color w:val="auto"/>
        </w:rPr>
      </w:pPr>
      <w:r>
        <w:rPr>
          <w:rFonts w:ascii="Arial" w:cs="Arial" w:eastAsia="Arial" w:hAnsi="Arial"/>
          <w:sz w:val="22"/>
          <w:szCs w:val="22"/>
          <w:color w:val="auto"/>
        </w:rPr>
        <w:t>ARTICLE IV REPRESENTATIONS AND WARRANTIES</w:t>
      </w:r>
    </w:p>
    <w:p>
      <w:pPr>
        <w:spacing w:after="0" w:line="260" w:lineRule="exact"/>
        <w:rPr>
          <w:sz w:val="20"/>
          <w:szCs w:val="20"/>
          <w:color w:val="auto"/>
        </w:rPr>
      </w:pPr>
    </w:p>
    <w:p>
      <w:pPr>
        <w:ind w:left="120" w:right="60" w:firstLine="648"/>
        <w:spacing w:after="0" w:line="343" w:lineRule="auto"/>
        <w:rPr>
          <w:sz w:val="20"/>
          <w:szCs w:val="20"/>
          <w:color w:val="auto"/>
        </w:rPr>
      </w:pPr>
      <w:r>
        <w:rPr>
          <w:rFonts w:ascii="Arial" w:cs="Arial" w:eastAsia="Arial" w:hAnsi="Arial"/>
          <w:sz w:val="19"/>
          <w:szCs w:val="19"/>
          <w:color w:val="auto"/>
        </w:rPr>
        <w:t xml:space="preserve">Section 4.1. </w:t>
      </w:r>
      <w:r>
        <w:rPr>
          <w:rFonts w:ascii="Arial" w:cs="Arial" w:eastAsia="Arial" w:hAnsi="Arial"/>
          <w:sz w:val="19"/>
          <w:szCs w:val="19"/>
          <w:u w:val="single" w:color="auto"/>
          <w:color w:val="auto"/>
        </w:rPr>
        <w:t>Representations and Warranties of the Borrower</w:t>
      </w:r>
      <w:r>
        <w:rPr>
          <w:rFonts w:ascii="Arial" w:cs="Arial" w:eastAsia="Arial" w:hAnsi="Arial"/>
          <w:sz w:val="19"/>
          <w:szCs w:val="19"/>
          <w:color w:val="auto"/>
        </w:rPr>
        <w:t>. The Borrower represents and warrants to the Collateral Agent, the Deal Agent, the Backup Servicer and the Secured Parties on the Effective Date and each Funding Date as follows:</w:t>
      </w:r>
    </w:p>
    <w:p>
      <w:pPr>
        <w:spacing w:after="0" w:line="145" w:lineRule="exact"/>
        <w:rPr>
          <w:sz w:val="20"/>
          <w:szCs w:val="20"/>
          <w:color w:val="auto"/>
        </w:rPr>
      </w:pPr>
    </w:p>
    <w:p>
      <w:pPr>
        <w:jc w:val="both"/>
        <w:ind w:left="120" w:right="20" w:firstLine="1940"/>
        <w:spacing w:after="0" w:line="248" w:lineRule="auto"/>
        <w:tabs>
          <w:tab w:leader="none" w:pos="2601"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The Borrower has been duly organized, and is validly existing as a corporation in good standing under the laws of the State of Nevada, with all requisite power and authority to own or lease its properties and conduct its business as such business is presently conducted, and the Borrower had at all relevant times, and now has all necessary power, authority and legal right to acquire, own and pledge the Collateral and perform its obligations under this Agreement.</w:t>
      </w:r>
    </w:p>
    <w:p>
      <w:pPr>
        <w:spacing w:after="0" w:line="218" w:lineRule="exact"/>
        <w:rPr>
          <w:rFonts w:ascii="Arial" w:cs="Arial" w:eastAsia="Arial" w:hAnsi="Arial"/>
          <w:sz w:val="22"/>
          <w:szCs w:val="22"/>
          <w:color w:val="auto"/>
        </w:rPr>
      </w:pPr>
    </w:p>
    <w:p>
      <w:pPr>
        <w:jc w:val="both"/>
        <w:ind w:left="120" w:right="60" w:firstLine="1940"/>
        <w:spacing w:after="0" w:line="271" w:lineRule="auto"/>
        <w:tabs>
          <w:tab w:leader="none" w:pos="2600" w:val="left"/>
        </w:tabs>
        <w:numPr>
          <w:ilvl w:val="0"/>
          <w:numId w:val="341"/>
        </w:numPr>
        <w:rPr>
          <w:rFonts w:ascii="Arial" w:cs="Arial" w:eastAsia="Arial" w:hAnsi="Arial"/>
          <w:sz w:val="21"/>
          <w:szCs w:val="21"/>
          <w:color w:val="auto"/>
        </w:rPr>
      </w:pPr>
      <w:r>
        <w:rPr>
          <w:rFonts w:ascii="Arial" w:cs="Arial" w:eastAsia="Arial" w:hAnsi="Arial"/>
          <w:sz w:val="21"/>
          <w:szCs w:val="21"/>
          <w:u w:val="single" w:color="auto"/>
          <w:color w:val="auto"/>
        </w:rPr>
        <w:t>Due Qualification</w:t>
      </w:r>
      <w:r>
        <w:rPr>
          <w:rFonts w:ascii="Arial" w:cs="Arial" w:eastAsia="Arial" w:hAnsi="Arial"/>
          <w:sz w:val="21"/>
          <w:szCs w:val="21"/>
          <w:color w:val="auto"/>
        </w:rPr>
        <w:t>. The Borrower is duly qualified to do business and is in good standing as a corporation and has obtained all material necessary licenses and approvals, in all jurisdictions in which the ownership or lease of property or the conduct of its business requires such qualification, licenses or approvals.</w:t>
      </w:r>
    </w:p>
    <w:p>
      <w:pPr>
        <w:spacing w:after="0" w:line="207" w:lineRule="exact"/>
        <w:rPr>
          <w:rFonts w:ascii="Arial" w:cs="Arial" w:eastAsia="Arial" w:hAnsi="Arial"/>
          <w:sz w:val="21"/>
          <w:szCs w:val="21"/>
          <w:color w:val="auto"/>
        </w:rPr>
      </w:pPr>
    </w:p>
    <w:p>
      <w:pPr>
        <w:ind w:left="2600" w:hanging="540"/>
        <w:spacing w:after="0"/>
        <w:tabs>
          <w:tab w:leader="none" w:pos="2600" w:val="left"/>
        </w:tabs>
        <w:numPr>
          <w:ilvl w:val="0"/>
          <w:numId w:val="341"/>
        </w:numPr>
        <w:rPr>
          <w:rFonts w:ascii="Arial" w:cs="Arial" w:eastAsia="Arial" w:hAnsi="Arial"/>
          <w:sz w:val="19"/>
          <w:szCs w:val="19"/>
          <w:color w:val="auto"/>
        </w:rPr>
      </w:pPr>
      <w:r>
        <w:rPr>
          <w:rFonts w:ascii="Arial" w:cs="Arial" w:eastAsia="Arial" w:hAnsi="Arial"/>
          <w:sz w:val="19"/>
          <w:szCs w:val="19"/>
          <w:u w:val="single" w:color="auto"/>
          <w:color w:val="auto"/>
        </w:rPr>
        <w:t>Power and Authority; Due Authorization</w:t>
      </w:r>
      <w:r>
        <w:rPr>
          <w:rFonts w:ascii="Arial" w:cs="Arial" w:eastAsia="Arial" w:hAnsi="Arial"/>
          <w:sz w:val="19"/>
          <w:szCs w:val="19"/>
          <w:color w:val="auto"/>
        </w:rPr>
        <w:t>. The Borrower: (i) has all necessary power, authority</w:t>
      </w:r>
    </w:p>
    <w:p>
      <w:pPr>
        <w:spacing w:after="0" w:line="55" w:lineRule="exact"/>
        <w:rPr>
          <w:rFonts w:ascii="Arial" w:cs="Arial" w:eastAsia="Arial" w:hAnsi="Arial"/>
          <w:sz w:val="19"/>
          <w:szCs w:val="19"/>
          <w:color w:val="auto"/>
        </w:rPr>
      </w:pPr>
    </w:p>
    <w:p>
      <w:pPr>
        <w:jc w:val="both"/>
        <w:ind w:left="120" w:right="20"/>
        <w:spacing w:after="0" w:line="290" w:lineRule="auto"/>
        <w:rPr>
          <w:rFonts w:ascii="Arial" w:cs="Arial" w:eastAsia="Arial" w:hAnsi="Arial"/>
          <w:sz w:val="19"/>
          <w:szCs w:val="19"/>
          <w:color w:val="auto"/>
        </w:rPr>
      </w:pPr>
      <w:r>
        <w:rPr>
          <w:rFonts w:ascii="Arial" w:cs="Arial" w:eastAsia="Arial" w:hAnsi="Arial"/>
          <w:sz w:val="19"/>
          <w:szCs w:val="19"/>
          <w:color w:val="auto"/>
        </w:rPr>
        <w:t>and legal right to: (A) execute and deliver this Agreement and the other Transaction Documents to which it is a party, (B) carry out the terms of the Transaction Documents to which it is a party, and (C) transfer and assign each Loan, Related Security and all other Collateral on the terms and conditions herein provided and (ii) has duly authorized by all necessary action the execution, delivery and performance of this Agreement and the other Transaction Documents to which it is a party and the transfer and assignment of the Loans, Related Security and all other Collateral on the terms and conditions herein provided. This Agreement and each other Transaction Document to which it is a party have been duly executed and delivered by it.</w:t>
      </w:r>
    </w:p>
    <w:p>
      <w:pPr>
        <w:spacing w:after="0" w:line="261" w:lineRule="exact"/>
        <w:rPr>
          <w:rFonts w:ascii="Arial" w:cs="Arial" w:eastAsia="Arial" w:hAnsi="Arial"/>
          <w:sz w:val="19"/>
          <w:szCs w:val="19"/>
          <w:color w:val="auto"/>
        </w:rPr>
      </w:pPr>
    </w:p>
    <w:p>
      <w:pPr>
        <w:jc w:val="both"/>
        <w:ind w:left="120" w:right="40" w:firstLine="1940"/>
        <w:spacing w:after="0" w:line="250" w:lineRule="auto"/>
        <w:tabs>
          <w:tab w:leader="none" w:pos="2599"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Binding Obligation</w:t>
      </w:r>
      <w:r>
        <w:rPr>
          <w:rFonts w:ascii="Arial" w:cs="Arial" w:eastAsia="Arial" w:hAnsi="Arial"/>
          <w:sz w:val="22"/>
          <w:szCs w:val="22"/>
          <w:color w:val="auto"/>
        </w:rPr>
        <w:t>. This Agreement and each other Transaction Document to which the Borrower is a party constitutes a legal, valid and binding obligation of the Borrower, each enforceable against the Borrower in accordance with its terms, subject to the effect of bankruptcy, insolvency, reorganization, or other similar laws affecting the enforcement of creditor’s rights generally and to general principles of equity.</w:t>
      </w:r>
    </w:p>
    <w:p>
      <w:pPr>
        <w:spacing w:after="0" w:line="214" w:lineRule="exact"/>
        <w:rPr>
          <w:rFonts w:ascii="Arial" w:cs="Arial" w:eastAsia="Arial" w:hAnsi="Arial"/>
          <w:sz w:val="22"/>
          <w:szCs w:val="22"/>
          <w:color w:val="auto"/>
        </w:rPr>
      </w:pPr>
    </w:p>
    <w:p>
      <w:pPr>
        <w:jc w:val="both"/>
        <w:ind w:left="120" w:firstLine="1940"/>
        <w:spacing w:after="0" w:line="248" w:lineRule="auto"/>
        <w:tabs>
          <w:tab w:leader="none" w:pos="2601" w:val="left"/>
        </w:tabs>
        <w:numPr>
          <w:ilvl w:val="0"/>
          <w:numId w:val="341"/>
        </w:numPr>
        <w:rPr>
          <w:rFonts w:ascii="Arial" w:cs="Arial" w:eastAsia="Arial" w:hAnsi="Arial"/>
          <w:sz w:val="22"/>
          <w:szCs w:val="22"/>
          <w:color w:val="auto"/>
        </w:rPr>
      </w:pPr>
      <w:r>
        <w:rPr>
          <w:rFonts w:ascii="Arial" w:cs="Arial" w:eastAsia="Arial" w:hAnsi="Arial"/>
          <w:sz w:val="22"/>
          <w:szCs w:val="22"/>
          <w:u w:val="single" w:color="auto"/>
          <w:color w:val="auto"/>
        </w:rPr>
        <w:t>No Violation</w:t>
      </w:r>
      <w:r>
        <w:rPr>
          <w:rFonts w:ascii="Arial" w:cs="Arial" w:eastAsia="Arial" w:hAnsi="Arial"/>
          <w:sz w:val="22"/>
          <w:szCs w:val="22"/>
          <w:color w:val="auto"/>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Borrower’s certificate of incorporation, bylaws or any Contractual Obligation of the Borrower, (ii) result in the creation or imposition of any Lien upon any of the Borrower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59</w:t>
      </w:r>
    </w:p>
    <w:p>
      <w:pPr>
        <w:sectPr>
          <w:pgSz w:w="11900" w:h="16838" w:orient="portrait"/>
          <w:cols w:equalWidth="0" w:num="1">
            <w:col w:w="11140"/>
          </w:cols>
          <w:pgMar w:left="320" w:top="1428" w:right="439" w:bottom="1440" w:gutter="0" w:footer="0" w:header="0"/>
        </w:sectPr>
      </w:pPr>
    </w:p>
    <w:bookmarkStart w:id="327" w:name="page328"/>
    <w:bookmarkEnd w:id="327"/>
    <w:p>
      <w:pPr>
        <w:ind w:left="120" w:right="160"/>
        <w:spacing w:after="0" w:line="263" w:lineRule="auto"/>
        <w:rPr>
          <w:sz w:val="20"/>
          <w:szCs w:val="20"/>
          <w:color w:val="auto"/>
        </w:rPr>
      </w:pPr>
      <w:r>
        <w:rPr>
          <w:rFonts w:ascii="Arial" w:cs="Arial" w:eastAsia="Arial" w:hAnsi="Arial"/>
          <w:sz w:val="22"/>
          <w:szCs w:val="22"/>
          <w:color w:val="auto"/>
        </w:rPr>
        <w:t>properties pursuant to the terms of any such Contractual Obligation, other than this Agreement, or (iii) violate any Applicable Law.</w:t>
      </w:r>
    </w:p>
    <w:p>
      <w:pPr>
        <w:spacing w:after="0" w:line="215" w:lineRule="exact"/>
        <w:rPr>
          <w:sz w:val="20"/>
          <w:szCs w:val="20"/>
          <w:color w:val="auto"/>
        </w:rPr>
      </w:pPr>
    </w:p>
    <w:p>
      <w:pPr>
        <w:jc w:val="both"/>
        <w:ind w:left="120" w:firstLine="1940"/>
        <w:spacing w:after="0" w:line="297" w:lineRule="auto"/>
        <w:tabs>
          <w:tab w:leader="none" w:pos="2605" w:val="left"/>
        </w:tabs>
        <w:numPr>
          <w:ilvl w:val="0"/>
          <w:numId w:val="342"/>
        </w:numPr>
        <w:rPr>
          <w:rFonts w:ascii="Arial" w:cs="Arial" w:eastAsia="Arial" w:hAnsi="Arial"/>
          <w:sz w:val="19"/>
          <w:szCs w:val="19"/>
          <w:color w:val="auto"/>
        </w:rPr>
      </w:pPr>
      <w:r>
        <w:rPr>
          <w:rFonts w:ascii="Arial" w:cs="Arial" w:eastAsia="Arial" w:hAnsi="Arial"/>
          <w:sz w:val="19"/>
          <w:szCs w:val="19"/>
          <w:u w:val="single" w:color="auto"/>
          <w:color w:val="auto"/>
        </w:rPr>
        <w:t>No Proceedings</w:t>
      </w:r>
      <w:r>
        <w:rPr>
          <w:rFonts w:ascii="Arial" w:cs="Arial" w:eastAsia="Arial" w:hAnsi="Arial"/>
          <w:sz w:val="19"/>
          <w:szCs w:val="19"/>
          <w:color w:val="auto"/>
        </w:rPr>
        <w:t>. There is no litigation, proceeding or investigation pending or, to the best knowledge of the Borrower, threatened against the Borrower, before any Governmental Authority (i) asserting the invalidity of this Agreement or any other Transaction Document to which the Borrower is a party, (ii) seeking to prevent the consummation of any of the transactions contemplated by this Agreement or any other Transaction Document to which the Borrower is a party or (iii) seeking any determination or ruling that could reasonably be expected to have a Material Adverse Effect.</w:t>
      </w:r>
    </w:p>
    <w:p>
      <w:pPr>
        <w:spacing w:after="0" w:line="173" w:lineRule="exact"/>
        <w:rPr>
          <w:rFonts w:ascii="Arial" w:cs="Arial" w:eastAsia="Arial" w:hAnsi="Arial"/>
          <w:sz w:val="19"/>
          <w:szCs w:val="19"/>
          <w:color w:val="auto"/>
        </w:rPr>
      </w:pPr>
    </w:p>
    <w:p>
      <w:pPr>
        <w:jc w:val="both"/>
        <w:ind w:left="120" w:right="40" w:firstLine="1940"/>
        <w:spacing w:after="0" w:line="265" w:lineRule="auto"/>
        <w:tabs>
          <w:tab w:leader="none" w:pos="2599" w:val="left"/>
        </w:tabs>
        <w:numPr>
          <w:ilvl w:val="0"/>
          <w:numId w:val="342"/>
        </w:numPr>
        <w:rPr>
          <w:rFonts w:ascii="Arial" w:cs="Arial" w:eastAsia="Arial" w:hAnsi="Arial"/>
          <w:sz w:val="21"/>
          <w:szCs w:val="21"/>
          <w:color w:val="auto"/>
        </w:rPr>
      </w:pPr>
      <w:r>
        <w:rPr>
          <w:rFonts w:ascii="Arial" w:cs="Arial" w:eastAsia="Arial" w:hAnsi="Arial"/>
          <w:sz w:val="21"/>
          <w:szCs w:val="21"/>
          <w:u w:val="single" w:color="auto"/>
          <w:color w:val="auto"/>
        </w:rPr>
        <w:t>All Consents Required</w:t>
      </w:r>
      <w:r>
        <w:rPr>
          <w:rFonts w:ascii="Arial" w:cs="Arial" w:eastAsia="Arial" w:hAnsi="Arial"/>
          <w:sz w:val="21"/>
          <w:szCs w:val="21"/>
          <w:color w:val="auto"/>
        </w:rPr>
        <w:t>. All approvals, authorizations, consents, orders or other actions of any Person or of any Governmental Authority (if any) required for the due execution, delivery and performance by the Borrower of this Agreement and any other Transaction Document to which the Borrower is a party have been obtained except where the failure to so obtain is not reasonably expected to result in a Material Adverse Effect.</w:t>
      </w:r>
    </w:p>
    <w:p>
      <w:pPr>
        <w:spacing w:after="0" w:line="215" w:lineRule="exact"/>
        <w:rPr>
          <w:rFonts w:ascii="Arial" w:cs="Arial" w:eastAsia="Arial" w:hAnsi="Arial"/>
          <w:sz w:val="21"/>
          <w:szCs w:val="21"/>
          <w:color w:val="auto"/>
        </w:rPr>
      </w:pPr>
    </w:p>
    <w:p>
      <w:pPr>
        <w:ind w:left="120" w:right="40" w:firstLine="1940"/>
        <w:spacing w:after="0" w:line="263" w:lineRule="auto"/>
        <w:tabs>
          <w:tab w:leader="none" w:pos="2599" w:val="left"/>
        </w:tabs>
        <w:numPr>
          <w:ilvl w:val="0"/>
          <w:numId w:val="342"/>
        </w:numPr>
        <w:rPr>
          <w:rFonts w:ascii="Arial" w:cs="Arial" w:eastAsia="Arial" w:hAnsi="Arial"/>
          <w:sz w:val="22"/>
          <w:szCs w:val="22"/>
          <w:color w:val="auto"/>
        </w:rPr>
      </w:pPr>
      <w:r>
        <w:rPr>
          <w:rFonts w:ascii="Arial" w:cs="Arial" w:eastAsia="Arial" w:hAnsi="Arial"/>
          <w:sz w:val="22"/>
          <w:szCs w:val="22"/>
          <w:u w:val="single" w:color="auto"/>
          <w:color w:val="auto"/>
        </w:rPr>
        <w:t>Bulk Sales</w:t>
      </w:r>
      <w:r>
        <w:rPr>
          <w:rFonts w:ascii="Arial" w:cs="Arial" w:eastAsia="Arial" w:hAnsi="Arial"/>
          <w:sz w:val="22"/>
          <w:szCs w:val="22"/>
          <w:color w:val="auto"/>
        </w:rPr>
        <w:t>. The execution, delivery and performance of this Agreement do not require compliance with any “bulk sales” act or similar law by Borrower.</w:t>
      </w:r>
    </w:p>
    <w:p>
      <w:pPr>
        <w:spacing w:after="0" w:line="201" w:lineRule="exact"/>
        <w:rPr>
          <w:rFonts w:ascii="Arial" w:cs="Arial" w:eastAsia="Arial" w:hAnsi="Arial"/>
          <w:sz w:val="22"/>
          <w:szCs w:val="22"/>
          <w:color w:val="auto"/>
        </w:rPr>
      </w:pPr>
    </w:p>
    <w:p>
      <w:pPr>
        <w:jc w:val="both"/>
        <w:ind w:left="120" w:right="20" w:firstLine="1940"/>
        <w:spacing w:after="0" w:line="248" w:lineRule="auto"/>
        <w:tabs>
          <w:tab w:leader="none" w:pos="2592" w:val="left"/>
        </w:tabs>
        <w:numPr>
          <w:ilvl w:val="0"/>
          <w:numId w:val="342"/>
        </w:numPr>
        <w:rPr>
          <w:rFonts w:ascii="Arial" w:cs="Arial" w:eastAsia="Arial" w:hAnsi="Arial"/>
          <w:sz w:val="22"/>
          <w:szCs w:val="22"/>
          <w:color w:val="auto"/>
        </w:rPr>
      </w:pPr>
      <w:r>
        <w:rPr>
          <w:rFonts w:ascii="Arial" w:cs="Arial" w:eastAsia="Arial" w:hAnsi="Arial"/>
          <w:sz w:val="22"/>
          <w:szCs w:val="22"/>
          <w:u w:val="single" w:color="auto"/>
          <w:color w:val="auto"/>
        </w:rPr>
        <w:t>Solvency</w:t>
      </w:r>
      <w:r>
        <w:rPr>
          <w:rFonts w:ascii="Arial" w:cs="Arial" w:eastAsia="Arial" w:hAnsi="Arial"/>
          <w:sz w:val="22"/>
          <w:szCs w:val="22"/>
          <w:color w:val="auto"/>
        </w:rPr>
        <w:t>. The transactions under this Agreement and any other Transaction Document to which the Borrower is a party do not and will not render the Borrower not Solvent and the Borrower shall deliver to the Deal Agent on the Closing Date a certification in the form of Exhibit D. The Originator has confirmed in writing to the Borrower that, so long as the Borrower is Solvent, the Originator will not cause the Borrower to file a voluntary petition under the Bankruptcy Code or any other Insolvency Laws.</w:t>
      </w:r>
    </w:p>
    <w:p>
      <w:pPr>
        <w:spacing w:after="0" w:line="232" w:lineRule="exact"/>
        <w:rPr>
          <w:rFonts w:ascii="Arial" w:cs="Arial" w:eastAsia="Arial" w:hAnsi="Arial"/>
          <w:sz w:val="22"/>
          <w:szCs w:val="22"/>
          <w:color w:val="auto"/>
        </w:rPr>
      </w:pPr>
    </w:p>
    <w:p>
      <w:pPr>
        <w:jc w:val="both"/>
        <w:ind w:left="120" w:right="40" w:firstLine="1940"/>
        <w:spacing w:after="0" w:line="261" w:lineRule="auto"/>
        <w:tabs>
          <w:tab w:leader="none" w:pos="2593" w:val="left"/>
        </w:tabs>
        <w:numPr>
          <w:ilvl w:val="0"/>
          <w:numId w:val="342"/>
        </w:numPr>
        <w:rPr>
          <w:rFonts w:ascii="Arial" w:cs="Arial" w:eastAsia="Arial" w:hAnsi="Arial"/>
          <w:sz w:val="21"/>
          <w:szCs w:val="21"/>
          <w:color w:val="auto"/>
        </w:rPr>
      </w:pPr>
      <w:r>
        <w:rPr>
          <w:rFonts w:ascii="Arial" w:cs="Arial" w:eastAsia="Arial" w:hAnsi="Arial"/>
          <w:sz w:val="21"/>
          <w:szCs w:val="21"/>
          <w:u w:val="single" w:color="auto"/>
          <w:color w:val="auto"/>
        </w:rPr>
        <w:t>Selection Procedures</w:t>
      </w:r>
      <w:r>
        <w:rPr>
          <w:rFonts w:ascii="Arial" w:cs="Arial" w:eastAsia="Arial" w:hAnsi="Arial"/>
          <w:sz w:val="21"/>
          <w:szCs w:val="21"/>
          <w:color w:val="auto"/>
        </w:rPr>
        <w:t>. No procedures believed by the Borrower to be materially adverse to the interests of the Collateral Agent or the Lenders were utilized by the Borrower in identifying and/or selecting Loans or Dealer Agreements; provided, for the avoidance of doubt, that during the Revolving Period, the Borrower in its sole discretion may elect to pledge Dealer Loans secured by either Open Pools or Closed Pools. In addition, each Loan shall have been underwritten in accordance with and satisfy, in each case in all material respects, the standards of any Credit Guidelines that have been established by the Borrower or the Originator and are then in effect.</w:t>
      </w:r>
    </w:p>
    <w:p>
      <w:pPr>
        <w:spacing w:after="0" w:line="219" w:lineRule="exact"/>
        <w:rPr>
          <w:rFonts w:ascii="Arial" w:cs="Arial" w:eastAsia="Arial" w:hAnsi="Arial"/>
          <w:sz w:val="21"/>
          <w:szCs w:val="21"/>
          <w:color w:val="auto"/>
        </w:rPr>
      </w:pPr>
    </w:p>
    <w:p>
      <w:pPr>
        <w:jc w:val="both"/>
        <w:ind w:left="120" w:right="40" w:firstLine="1940"/>
        <w:spacing w:after="0" w:line="247" w:lineRule="auto"/>
        <w:tabs>
          <w:tab w:leader="none" w:pos="2600" w:val="left"/>
        </w:tabs>
        <w:numPr>
          <w:ilvl w:val="0"/>
          <w:numId w:val="342"/>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Borrower has filed or caused to be filed all tax returns that are required to be filed by it. The Borrower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to the Borrower’s knowledge, no claim is being asserted, with respect to any such Tax, fee or other charge.</w:t>
      </w:r>
    </w:p>
    <w:p>
      <w:pPr>
        <w:spacing w:after="0" w:line="219" w:lineRule="exact"/>
        <w:rPr>
          <w:rFonts w:ascii="Arial" w:cs="Arial" w:eastAsia="Arial" w:hAnsi="Arial"/>
          <w:sz w:val="22"/>
          <w:szCs w:val="22"/>
          <w:color w:val="auto"/>
        </w:rPr>
      </w:pPr>
    </w:p>
    <w:p>
      <w:pPr>
        <w:jc w:val="both"/>
        <w:ind w:left="120" w:right="60" w:firstLine="1940"/>
        <w:spacing w:after="0" w:line="253" w:lineRule="auto"/>
        <w:tabs>
          <w:tab w:leader="none" w:pos="2593" w:val="left"/>
        </w:tabs>
        <w:numPr>
          <w:ilvl w:val="0"/>
          <w:numId w:val="342"/>
        </w:numPr>
        <w:rPr>
          <w:rFonts w:ascii="Arial" w:cs="Arial" w:eastAsia="Arial" w:hAnsi="Arial"/>
          <w:sz w:val="22"/>
          <w:szCs w:val="22"/>
          <w:color w:val="auto"/>
        </w:rPr>
      </w:pPr>
      <w:r>
        <w:rPr>
          <w:rFonts w:ascii="Arial" w:cs="Arial" w:eastAsia="Arial" w:hAnsi="Arial"/>
          <w:sz w:val="22"/>
          <w:szCs w:val="22"/>
          <w:u w:val="single" w:color="auto"/>
          <w:color w:val="auto"/>
        </w:rPr>
        <w:t>Exchange Act Compliance; Regulations T, U and X</w:t>
      </w:r>
      <w:r>
        <w:rPr>
          <w:rFonts w:ascii="Arial" w:cs="Arial" w:eastAsia="Arial" w:hAnsi="Arial"/>
          <w:sz w:val="22"/>
          <w:szCs w:val="22"/>
          <w:color w:val="auto"/>
        </w:rPr>
        <w:t>. None of the transactions contemplated herein (including, without limitation, the use of the proceeds from the pledge of the Collateral) will violate or result in a violation of Section 7 of the United States</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60</w:t>
      </w:r>
    </w:p>
    <w:p>
      <w:pPr>
        <w:sectPr>
          <w:pgSz w:w="11900" w:h="16838" w:orient="portrait"/>
          <w:cols w:equalWidth="0" w:num="1">
            <w:col w:w="11140"/>
          </w:cols>
          <w:pgMar w:left="320" w:top="1428" w:right="439" w:bottom="1440" w:gutter="0" w:footer="0" w:header="0"/>
        </w:sectPr>
      </w:pPr>
    </w:p>
    <w:bookmarkStart w:id="328" w:name="page329"/>
    <w:bookmarkEnd w:id="328"/>
    <w:p>
      <w:pPr>
        <w:jc w:val="both"/>
        <w:ind w:left="120" w:right="40"/>
        <w:spacing w:after="0" w:line="302" w:lineRule="auto"/>
        <w:rPr>
          <w:sz w:val="20"/>
          <w:szCs w:val="20"/>
          <w:color w:val="auto"/>
        </w:rPr>
      </w:pPr>
      <w:r>
        <w:rPr>
          <w:rFonts w:ascii="Arial" w:cs="Arial" w:eastAsia="Arial" w:hAnsi="Arial"/>
          <w:sz w:val="19"/>
          <w:szCs w:val="19"/>
          <w:color w:val="auto"/>
        </w:rPr>
        <w:t>Securities Exchange Act of 1934, as amended, or any regulations issued pursuant thereto, including, without limitation, Regulations T, U and X of the Board of Governors of the Federal Reserve System, 12 C.F.R., Chapter II. The Borrower does not own or intend to carry or purchase, and no proceeds from the pledge of the Collateral will be used to carry or purchase, any “margin stock” within the meaning of Regulation U or to extend “purchase credit” within the meaning of Regulation U.</w:t>
      </w:r>
    </w:p>
    <w:p>
      <w:pPr>
        <w:spacing w:after="0" w:line="183" w:lineRule="exact"/>
        <w:rPr>
          <w:sz w:val="20"/>
          <w:szCs w:val="20"/>
          <w:color w:val="auto"/>
        </w:rPr>
      </w:pPr>
    </w:p>
    <w:p>
      <w:pPr>
        <w:jc w:val="both"/>
        <w:ind w:left="120" w:right="20" w:firstLine="1940"/>
        <w:spacing w:after="0" w:line="246" w:lineRule="auto"/>
        <w:tabs>
          <w:tab w:leader="none" w:pos="2593" w:val="left"/>
        </w:tabs>
        <w:numPr>
          <w:ilvl w:val="1"/>
          <w:numId w:val="343"/>
        </w:numPr>
        <w:rPr>
          <w:rFonts w:ascii="Arial" w:cs="Arial" w:eastAsia="Arial" w:hAnsi="Arial"/>
          <w:sz w:val="22"/>
          <w:szCs w:val="22"/>
          <w:color w:val="auto"/>
        </w:rPr>
      </w:pPr>
      <w:r>
        <w:rPr>
          <w:rFonts w:ascii="Arial" w:cs="Arial" w:eastAsia="Arial" w:hAnsi="Arial"/>
          <w:sz w:val="22"/>
          <w:szCs w:val="22"/>
          <w:u w:val="single" w:color="auto"/>
          <w:color w:val="auto"/>
        </w:rPr>
        <w:t>Quality of Title</w:t>
      </w:r>
      <w:r>
        <w:rPr>
          <w:rFonts w:ascii="Arial" w:cs="Arial" w:eastAsia="Arial" w:hAnsi="Arial"/>
          <w:sz w:val="22"/>
          <w:szCs w:val="22"/>
          <w:color w:val="auto"/>
        </w:rPr>
        <w:t>. Each Loan, together with the Related Security related thereto, shall, at all times, be owned by the Borrower free and clear of any Lien except as provided in Section 4.2(a)(iii), and upon each Funding, the Collateral Agent as agent for the Secured Parties shall acquire a valid and perfected first priority security interest in such Loans, the Related Security related thereto and all Collections then existing or thereafter arising, free and clear of any Lien, except as provided in Section 4.2(a)(iii). No effective financing statement or other instrument similar in effect covering any Loan or Dealer Agreement shall at any time be on file in any recording office except such as may be filed (i) in favor of the Borrower in accordance with the Contribution Agreement or (ii) in favor of the Collateral Agent in accordance with this Agreement.</w:t>
      </w:r>
    </w:p>
    <w:p>
      <w:pPr>
        <w:spacing w:after="0" w:line="220" w:lineRule="exact"/>
        <w:rPr>
          <w:rFonts w:ascii="Arial" w:cs="Arial" w:eastAsia="Arial" w:hAnsi="Arial"/>
          <w:sz w:val="22"/>
          <w:szCs w:val="22"/>
          <w:color w:val="auto"/>
        </w:rPr>
      </w:pPr>
    </w:p>
    <w:p>
      <w:pPr>
        <w:jc w:val="both"/>
        <w:ind w:left="120" w:firstLine="1940"/>
        <w:spacing w:after="0" w:line="290" w:lineRule="auto"/>
        <w:tabs>
          <w:tab w:leader="none" w:pos="2599" w:val="left"/>
        </w:tabs>
        <w:numPr>
          <w:ilvl w:val="1"/>
          <w:numId w:val="343"/>
        </w:numPr>
        <w:rPr>
          <w:rFonts w:ascii="Arial" w:cs="Arial" w:eastAsia="Arial" w:hAnsi="Arial"/>
          <w:sz w:val="19"/>
          <w:szCs w:val="19"/>
          <w:color w:val="auto"/>
        </w:rPr>
      </w:pPr>
      <w:r>
        <w:rPr>
          <w:rFonts w:ascii="Arial" w:cs="Arial" w:eastAsia="Arial" w:hAnsi="Arial"/>
          <w:sz w:val="19"/>
          <w:szCs w:val="19"/>
          <w:u w:val="single" w:color="auto"/>
          <w:color w:val="auto"/>
        </w:rPr>
        <w:t>Security Interest</w:t>
      </w:r>
      <w:r>
        <w:rPr>
          <w:rFonts w:ascii="Arial" w:cs="Arial" w:eastAsia="Arial" w:hAnsi="Arial"/>
          <w:sz w:val="19"/>
          <w:szCs w:val="19"/>
          <w:color w:val="auto"/>
        </w:rPr>
        <w:t>. The Borrower has granted a security interest (as defined in the UCC) to the Collateral Agent, as agent for the Secured Parties, in the Collateral, which is enforceable in accordance with applicable law upon execution and delivery of this Agreement. Upon the filing of UCC-1 financing statements naming the Collateral Agent as secured party and the Borrower as debtor, or upon the Collateral Agent obtaining control, in the case of that portion of the Collateral which constitutes electronic chattel paper, or possession, in the case of that portion of the Collateral which constitutes tangible chattel paper, the Collateral Agent, as agent for the Secured Parties, shall have a first priority perfected security interest in the Collateral. All filings (including, without limitation, such UCC filings) as are necessary in any jurisdiction to perfect the interest of the Collateral Agent, as agent for the Secured Parties, in the Collateral have been made.</w:t>
      </w:r>
    </w:p>
    <w:p>
      <w:pPr>
        <w:spacing w:after="0" w:line="196" w:lineRule="exact"/>
        <w:rPr>
          <w:rFonts w:ascii="Arial" w:cs="Arial" w:eastAsia="Arial" w:hAnsi="Arial"/>
          <w:sz w:val="19"/>
          <w:szCs w:val="19"/>
          <w:color w:val="auto"/>
        </w:rPr>
      </w:pPr>
    </w:p>
    <w:p>
      <w:pPr>
        <w:jc w:val="both"/>
        <w:ind w:left="120" w:right="20" w:firstLine="1940"/>
        <w:spacing w:after="0" w:line="248" w:lineRule="auto"/>
        <w:tabs>
          <w:tab w:leader="none" w:pos="2599" w:val="left"/>
        </w:tabs>
        <w:numPr>
          <w:ilvl w:val="1"/>
          <w:numId w:val="343"/>
        </w:numPr>
        <w:rPr>
          <w:rFonts w:ascii="Arial" w:cs="Arial" w:eastAsia="Arial" w:hAnsi="Arial"/>
          <w:sz w:val="22"/>
          <w:szCs w:val="22"/>
          <w:color w:val="auto"/>
        </w:rPr>
      </w:pPr>
      <w:r>
        <w:rPr>
          <w:rFonts w:ascii="Arial" w:cs="Arial" w:eastAsia="Arial" w:hAnsi="Arial"/>
          <w:sz w:val="22"/>
          <w:szCs w:val="22"/>
          <w:u w:val="single" w:color="auto"/>
          <w:color w:val="auto"/>
        </w:rPr>
        <w:t>Accuracy of Information</w:t>
      </w:r>
      <w:r>
        <w:rPr>
          <w:rFonts w:ascii="Arial" w:cs="Arial" w:eastAsia="Arial" w:hAnsi="Arial"/>
          <w:sz w:val="22"/>
          <w:szCs w:val="22"/>
          <w:color w:val="auto"/>
        </w:rPr>
        <w:t>. All information heretofore furnished by the Borrower (including without limitation, the Monthly Report and Credit Acceptance’s financial statements) to the Deal Agent, the Collateral Agent or any Lender for purposes of or in connection with this Agreement or any other Transaction Document, or any transaction contemplated hereby or thereby, will be true, correct, complete and accurate in every material respect, on the date such information is stated or certified.</w:t>
      </w:r>
    </w:p>
    <w:p>
      <w:pPr>
        <w:spacing w:after="0" w:line="218" w:lineRule="exact"/>
        <w:rPr>
          <w:rFonts w:ascii="Arial" w:cs="Arial" w:eastAsia="Arial" w:hAnsi="Arial"/>
          <w:sz w:val="22"/>
          <w:szCs w:val="22"/>
          <w:color w:val="auto"/>
        </w:rPr>
      </w:pPr>
    </w:p>
    <w:p>
      <w:pPr>
        <w:jc w:val="both"/>
        <w:ind w:left="120" w:right="40" w:firstLine="1940"/>
        <w:spacing w:after="0" w:line="249" w:lineRule="auto"/>
        <w:tabs>
          <w:tab w:leader="none" w:pos="2599" w:val="left"/>
        </w:tabs>
        <w:numPr>
          <w:ilvl w:val="1"/>
          <w:numId w:val="343"/>
        </w:numPr>
        <w:rPr>
          <w:rFonts w:ascii="Arial" w:cs="Arial" w:eastAsia="Arial" w:hAnsi="Arial"/>
          <w:sz w:val="22"/>
          <w:szCs w:val="22"/>
          <w:color w:val="auto"/>
        </w:rPr>
      </w:pPr>
      <w:r>
        <w:rPr>
          <w:rFonts w:ascii="Arial" w:cs="Arial" w:eastAsia="Arial" w:hAnsi="Arial"/>
          <w:sz w:val="22"/>
          <w:szCs w:val="22"/>
          <w:u w:val="single" w:color="auto"/>
          <w:color w:val="auto"/>
        </w:rPr>
        <w:t>Location of Offices</w:t>
      </w:r>
      <w:r>
        <w:rPr>
          <w:rFonts w:ascii="Arial" w:cs="Arial" w:eastAsia="Arial" w:hAnsi="Arial"/>
          <w:sz w:val="22"/>
          <w:szCs w:val="22"/>
          <w:color w:val="auto"/>
        </w:rPr>
        <w:t xml:space="preserve">. The principal place of business and chief executive office of the Borrower and the office where the Borrower keeps all the Records (other than the Certificates of Title) are located at the address of the Borrower referred to in </w:t>
      </w:r>
      <w:r>
        <w:rPr>
          <w:rFonts w:ascii="Arial" w:cs="Arial" w:eastAsia="Arial" w:hAnsi="Arial"/>
          <w:sz w:val="22"/>
          <w:szCs w:val="22"/>
          <w:u w:val="single" w:color="auto"/>
          <w:color w:val="auto"/>
        </w:rPr>
        <w:t>Section</w:t>
      </w:r>
    </w:p>
    <w:p>
      <w:pPr>
        <w:jc w:val="both"/>
        <w:ind w:left="120" w:right="20" w:firstLine="1"/>
        <w:spacing w:after="0" w:line="295" w:lineRule="auto"/>
        <w:rPr>
          <w:rFonts w:ascii="Arial" w:cs="Arial" w:eastAsia="Arial" w:hAnsi="Arial"/>
          <w:sz w:val="22"/>
          <w:szCs w:val="22"/>
          <w:color w:val="auto"/>
        </w:rPr>
      </w:pPr>
      <w:r>
        <w:rPr>
          <w:rFonts w:ascii="Arial" w:cs="Arial" w:eastAsia="Arial" w:hAnsi="Arial"/>
          <w:sz w:val="19"/>
          <w:szCs w:val="19"/>
          <w:u w:val="single" w:color="auto"/>
          <w:color w:val="auto"/>
        </w:rPr>
        <w:t>b.</w:t>
      </w:r>
      <w:r>
        <w:rPr>
          <w:rFonts w:ascii="Arial" w:cs="Arial" w:eastAsia="Arial" w:hAnsi="Arial"/>
          <w:sz w:val="19"/>
          <w:szCs w:val="19"/>
          <w:color w:val="auto"/>
        </w:rPr>
        <w:t xml:space="preserve"> hereof and the office where the Borrower keeps all the Certificates of Title is located at 200 Galleria Officentre, Suite 125, Southfield, Michigan 48034 (or, in each case, at such other locations as to which the notice and other requirements specified in </w:t>
      </w:r>
      <w:r>
        <w:rPr>
          <w:rFonts w:ascii="Arial" w:cs="Arial" w:eastAsia="Arial" w:hAnsi="Arial"/>
          <w:sz w:val="19"/>
          <w:szCs w:val="19"/>
          <w:u w:val="single" w:color="auto"/>
          <w:color w:val="auto"/>
        </w:rPr>
        <w:t>Section 5.2(g)</w:t>
      </w:r>
      <w:r>
        <w:rPr>
          <w:rFonts w:ascii="Arial" w:cs="Arial" w:eastAsia="Arial" w:hAnsi="Arial"/>
          <w:sz w:val="19"/>
          <w:szCs w:val="19"/>
          <w:color w:val="auto"/>
        </w:rPr>
        <w:t xml:space="preserve"> shall have been satisfied); </w:t>
      </w:r>
      <w:r>
        <w:rPr>
          <w:rFonts w:ascii="Arial" w:cs="Arial" w:eastAsia="Arial" w:hAnsi="Arial"/>
          <w:sz w:val="19"/>
          <w:szCs w:val="19"/>
          <w:u w:val="single" w:color="auto"/>
          <w:color w:val="auto"/>
        </w:rPr>
        <w:t>provided</w:t>
      </w:r>
      <w:r>
        <w:rPr>
          <w:rFonts w:ascii="Arial" w:cs="Arial" w:eastAsia="Arial" w:hAnsi="Arial"/>
          <w:sz w:val="19"/>
          <w:szCs w:val="19"/>
          <w:color w:val="auto"/>
        </w:rPr>
        <w:t>, that, Credit Acceptance may temporarily (or permanently, solely in the case of a Contract that is repurchased, liquidated or paid in full) move or transfer individual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61</w:t>
      </w:r>
    </w:p>
    <w:p>
      <w:pPr>
        <w:sectPr>
          <w:pgSz w:w="11900" w:h="16838" w:orient="portrait"/>
          <w:cols w:equalWidth="0" w:num="1">
            <w:col w:w="11140"/>
          </w:cols>
          <w:pgMar w:left="320" w:top="1428" w:right="439" w:bottom="1440" w:gutter="0" w:footer="0" w:header="0"/>
        </w:sectPr>
      </w:pPr>
    </w:p>
    <w:bookmarkStart w:id="329" w:name="page330"/>
    <w:bookmarkEnd w:id="329"/>
    <w:p>
      <w:pPr>
        <w:ind w:left="120"/>
        <w:spacing w:after="0"/>
        <w:rPr>
          <w:sz w:val="20"/>
          <w:szCs w:val="20"/>
          <w:color w:val="auto"/>
        </w:rPr>
      </w:pPr>
      <w:r>
        <w:rPr>
          <w:rFonts w:ascii="Arial" w:cs="Arial" w:eastAsia="Arial" w:hAnsi="Arial"/>
          <w:sz w:val="22"/>
          <w:szCs w:val="22"/>
          <w:color w:val="auto"/>
        </w:rPr>
        <w:t xml:space="preserve">Contract Files or Records, or any portion thereof without notice in accordance with </w:t>
      </w:r>
      <w:r>
        <w:rPr>
          <w:rFonts w:ascii="Arial" w:cs="Arial" w:eastAsia="Arial" w:hAnsi="Arial"/>
          <w:sz w:val="22"/>
          <w:szCs w:val="22"/>
          <w:u w:val="single" w:color="auto"/>
          <w:color w:val="auto"/>
        </w:rPr>
        <w:t>Section 6.2(c)(iii)</w:t>
      </w:r>
      <w:r>
        <w:rPr>
          <w:rFonts w:ascii="Arial" w:cs="Arial" w:eastAsia="Arial" w:hAnsi="Arial"/>
          <w:sz w:val="22"/>
          <w:szCs w:val="22"/>
          <w:color w:val="auto"/>
        </w:rPr>
        <w:t>.</w:t>
      </w:r>
    </w:p>
    <w:p>
      <w:pPr>
        <w:spacing w:after="0" w:line="328" w:lineRule="exact"/>
        <w:rPr>
          <w:sz w:val="20"/>
          <w:szCs w:val="20"/>
          <w:color w:val="auto"/>
        </w:rPr>
      </w:pPr>
    </w:p>
    <w:p>
      <w:pPr>
        <w:jc w:val="both"/>
        <w:ind w:left="120" w:right="20" w:firstLine="1940"/>
        <w:spacing w:after="0" w:line="248" w:lineRule="auto"/>
        <w:tabs>
          <w:tab w:leader="none" w:pos="2599"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None of the Borrower, any Subsidiary or any Affiliate of the Borrower (i) is a Sanctioned Person, (ii) has more than 10% of its assets in Sanctioned Countries or (iii) derives more than 10% of its operating income from investments in, or transactions with Sanctioned Persons or Sanctioned Countries. The proceeds of any Funding will not be used and have not been used to fund any operations in, finance any investments or activities in or make any payments to, a Sanctioned Person or a Sanctioned Country.</w:t>
      </w:r>
    </w:p>
    <w:p>
      <w:pPr>
        <w:spacing w:after="0" w:line="232" w:lineRule="exact"/>
        <w:rPr>
          <w:rFonts w:ascii="Arial" w:cs="Arial" w:eastAsia="Arial" w:hAnsi="Arial"/>
          <w:sz w:val="22"/>
          <w:szCs w:val="22"/>
          <w:color w:val="auto"/>
        </w:rPr>
      </w:pPr>
    </w:p>
    <w:p>
      <w:pPr>
        <w:jc w:val="both"/>
        <w:ind w:left="120" w:right="20" w:firstLine="1940"/>
        <w:spacing w:after="0" w:line="297" w:lineRule="auto"/>
        <w:tabs>
          <w:tab w:leader="none" w:pos="2604"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Tradenames; Place of Business; Correct Legal Name</w:t>
      </w:r>
      <w:r>
        <w:rPr>
          <w:rFonts w:ascii="Arial" w:cs="Arial" w:eastAsia="Arial" w:hAnsi="Arial"/>
          <w:sz w:val="19"/>
          <w:szCs w:val="19"/>
          <w:color w:val="auto"/>
        </w:rPr>
        <w:t xml:space="preserve">. (i) Except as described in </w:t>
      </w:r>
      <w:r>
        <w:rPr>
          <w:rFonts w:ascii="Arial" w:cs="Arial" w:eastAsia="Arial" w:hAnsi="Arial"/>
          <w:sz w:val="19"/>
          <w:szCs w:val="19"/>
          <w:u w:val="single" w:color="auto"/>
          <w:color w:val="auto"/>
        </w:rPr>
        <w:t>Schedule II</w:t>
      </w:r>
      <w:r>
        <w:rPr>
          <w:rFonts w:ascii="Arial" w:cs="Arial" w:eastAsia="Arial" w:hAnsi="Arial"/>
          <w:sz w:val="19"/>
          <w:szCs w:val="19"/>
          <w:color w:val="auto"/>
        </w:rPr>
        <w:t>, the Borrower has no trade names, fictitious names, assumed names or “doing business as” names or other names under which it has done or is doing business; (ii) the principal place of business and chief executive office of the Borrower are located at the address of the Borrower set forth on the signature pages hereto; and (iii) “CAC Warehouse Funding Corporation II” is the correct legal name of the Borrower indicated on the public records of the Borrower’s jurisdiction of organization.</w:t>
      </w:r>
    </w:p>
    <w:p>
      <w:pPr>
        <w:spacing w:after="0" w:line="173" w:lineRule="exact"/>
        <w:rPr>
          <w:rFonts w:ascii="Arial" w:cs="Arial" w:eastAsia="Arial" w:hAnsi="Arial"/>
          <w:sz w:val="19"/>
          <w:szCs w:val="19"/>
          <w:color w:val="auto"/>
        </w:rPr>
      </w:pPr>
    </w:p>
    <w:p>
      <w:pPr>
        <w:ind w:left="120" w:right="20" w:firstLine="1940"/>
        <w:spacing w:after="0" w:line="263" w:lineRule="auto"/>
        <w:tabs>
          <w:tab w:leader="none" w:pos="2602"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t>Contribution Agreement</w:t>
      </w:r>
      <w:r>
        <w:rPr>
          <w:rFonts w:ascii="Arial" w:cs="Arial" w:eastAsia="Arial" w:hAnsi="Arial"/>
          <w:sz w:val="22"/>
          <w:szCs w:val="22"/>
          <w:color w:val="auto"/>
        </w:rPr>
        <w:t>. The Contribution Agreement is the only agreement pursuant to which the Borrower purchases Loans from the Originator.</w:t>
      </w:r>
    </w:p>
    <w:p>
      <w:pPr>
        <w:spacing w:after="0" w:line="215" w:lineRule="exact"/>
        <w:rPr>
          <w:rFonts w:ascii="Arial" w:cs="Arial" w:eastAsia="Arial" w:hAnsi="Arial"/>
          <w:sz w:val="22"/>
          <w:szCs w:val="22"/>
          <w:color w:val="auto"/>
        </w:rPr>
      </w:pPr>
    </w:p>
    <w:p>
      <w:pPr>
        <w:jc w:val="both"/>
        <w:ind w:left="120" w:firstLine="1940"/>
        <w:spacing w:after="0" w:line="265" w:lineRule="auto"/>
        <w:tabs>
          <w:tab w:leader="none" w:pos="2592" w:val="left"/>
        </w:tabs>
        <w:numPr>
          <w:ilvl w:val="0"/>
          <w:numId w:val="344"/>
        </w:numPr>
        <w:rPr>
          <w:rFonts w:ascii="Arial" w:cs="Arial" w:eastAsia="Arial" w:hAnsi="Arial"/>
          <w:sz w:val="21"/>
          <w:szCs w:val="21"/>
          <w:color w:val="auto"/>
        </w:rPr>
      </w:pPr>
      <w:r>
        <w:rPr>
          <w:rFonts w:ascii="Arial" w:cs="Arial" w:eastAsia="Arial" w:hAnsi="Arial"/>
          <w:sz w:val="21"/>
          <w:szCs w:val="21"/>
          <w:u w:val="single" w:color="auto"/>
          <w:color w:val="auto"/>
        </w:rPr>
        <w:t>Value Given</w:t>
      </w:r>
      <w:r>
        <w:rPr>
          <w:rFonts w:ascii="Arial" w:cs="Arial" w:eastAsia="Arial" w:hAnsi="Arial"/>
          <w:sz w:val="21"/>
          <w:szCs w:val="21"/>
          <w:color w:val="auto"/>
        </w:rPr>
        <w:t>. The Borrower shall have given reasonably equivalent value to the Originator in consideration for the transfer to the Borrower of the Loans and Related Security under the Contribution Agreement, no such transfer shall have been made for or on account of an antecedent debt owed by the Originator to the Borrower, and no such transfer is or may be voidable or subject to avoidance under any section of the Bankruptcy Code.</w:t>
      </w:r>
    </w:p>
    <w:p>
      <w:pPr>
        <w:spacing w:after="0" w:line="215" w:lineRule="exact"/>
        <w:rPr>
          <w:rFonts w:ascii="Arial" w:cs="Arial" w:eastAsia="Arial" w:hAnsi="Arial"/>
          <w:sz w:val="21"/>
          <w:szCs w:val="21"/>
          <w:color w:val="auto"/>
        </w:rPr>
      </w:pPr>
    </w:p>
    <w:p>
      <w:pPr>
        <w:jc w:val="both"/>
        <w:ind w:left="120" w:firstLine="1940"/>
        <w:spacing w:after="0" w:line="302" w:lineRule="auto"/>
        <w:tabs>
          <w:tab w:leader="none" w:pos="2599" w:val="left"/>
        </w:tabs>
        <w:numPr>
          <w:ilvl w:val="0"/>
          <w:numId w:val="344"/>
        </w:numPr>
        <w:rPr>
          <w:rFonts w:ascii="Arial" w:cs="Arial" w:eastAsia="Arial" w:hAnsi="Arial"/>
          <w:sz w:val="19"/>
          <w:szCs w:val="19"/>
          <w:color w:val="auto"/>
        </w:rPr>
      </w:pPr>
      <w:r>
        <w:rPr>
          <w:rFonts w:ascii="Arial" w:cs="Arial" w:eastAsia="Arial" w:hAnsi="Arial"/>
          <w:sz w:val="19"/>
          <w:szCs w:val="19"/>
          <w:u w:val="single" w:color="auto"/>
          <w:color w:val="auto"/>
        </w:rPr>
        <w:t>Accounting</w:t>
      </w:r>
      <w:r>
        <w:rPr>
          <w:rFonts w:ascii="Arial" w:cs="Arial" w:eastAsia="Arial" w:hAnsi="Arial"/>
          <w:sz w:val="19"/>
          <w:szCs w:val="19"/>
          <w:color w:val="auto"/>
        </w:rPr>
        <w:t>. The Borrower accounts for the transfers to it from the Originator of Loans and Related Security under the Contribution Agreement as sales or contributions to capital of such Loans and Related Security in its books, records and financial statements, in each case prepared as presented within the audited consolidated financial statements of Credit Acceptance and its subsidiaries and within the requirements set forth herein.</w:t>
      </w:r>
    </w:p>
    <w:p>
      <w:pPr>
        <w:spacing w:after="0" w:line="169" w:lineRule="exact"/>
        <w:rPr>
          <w:rFonts w:ascii="Arial" w:cs="Arial" w:eastAsia="Arial" w:hAnsi="Arial"/>
          <w:sz w:val="19"/>
          <w:szCs w:val="19"/>
          <w:color w:val="auto"/>
        </w:rPr>
      </w:pPr>
    </w:p>
    <w:p>
      <w:pPr>
        <w:ind w:left="2700" w:hanging="640"/>
        <w:spacing w:after="0"/>
        <w:tabs>
          <w:tab w:leader="none" w:pos="2700" w:val="left"/>
        </w:tabs>
        <w:numPr>
          <w:ilvl w:val="0"/>
          <w:numId w:val="344"/>
        </w:numPr>
        <w:rPr>
          <w:rFonts w:ascii="Arial" w:cs="Arial" w:eastAsia="Arial" w:hAnsi="Arial"/>
          <w:sz w:val="22"/>
          <w:szCs w:val="22"/>
          <w:color w:val="auto"/>
        </w:rPr>
      </w:pPr>
      <w:r>
        <w:rPr>
          <w:rFonts w:ascii="Arial" w:cs="Arial" w:eastAsia="Arial" w:hAnsi="Arial"/>
          <w:sz w:val="22"/>
          <w:szCs w:val="22"/>
          <w:u w:val="single" w:color="auto"/>
          <w:color w:val="auto"/>
        </w:rPr>
        <w:t>Special Purpose Entity</w:t>
      </w:r>
      <w:r>
        <w:rPr>
          <w:rFonts w:ascii="Arial" w:cs="Arial" w:eastAsia="Arial" w:hAnsi="Arial"/>
          <w:sz w:val="22"/>
          <w:szCs w:val="22"/>
          <w:color w:val="auto"/>
        </w:rPr>
        <w:t>.  The Borrower is in compliance with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Section 5.2(o) hereof.</w:t>
      </w:r>
    </w:p>
    <w:p>
      <w:pPr>
        <w:spacing w:after="0" w:line="242" w:lineRule="exact"/>
        <w:rPr>
          <w:sz w:val="20"/>
          <w:szCs w:val="20"/>
          <w:color w:val="auto"/>
        </w:rPr>
      </w:pPr>
    </w:p>
    <w:p>
      <w:pPr>
        <w:ind w:left="2700" w:hanging="640"/>
        <w:spacing w:after="0"/>
        <w:tabs>
          <w:tab w:leader="none" w:pos="2700" w:val="left"/>
        </w:tabs>
        <w:numPr>
          <w:ilvl w:val="0"/>
          <w:numId w:val="345"/>
        </w:numPr>
        <w:rPr>
          <w:rFonts w:ascii="Arial" w:cs="Arial" w:eastAsia="Arial" w:hAnsi="Arial"/>
          <w:sz w:val="22"/>
          <w:szCs w:val="22"/>
          <w:color w:val="auto"/>
        </w:rPr>
      </w:pPr>
      <w:r>
        <w:rPr>
          <w:rFonts w:ascii="Arial" w:cs="Arial" w:eastAsia="Arial" w:hAnsi="Arial"/>
          <w:sz w:val="22"/>
          <w:szCs w:val="22"/>
          <w:u w:val="single" w:color="auto"/>
          <w:color w:val="auto"/>
        </w:rPr>
        <w:t>Confirmation from the Originator</w:t>
      </w:r>
      <w:r>
        <w:rPr>
          <w:rFonts w:ascii="Arial" w:cs="Arial" w:eastAsia="Arial" w:hAnsi="Arial"/>
          <w:sz w:val="22"/>
          <w:szCs w:val="22"/>
          <w:color w:val="auto"/>
        </w:rPr>
        <w:t>. The Borrower has received in</w:t>
      </w:r>
    </w:p>
    <w:p>
      <w:pPr>
        <w:spacing w:after="0" w:line="21"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9"/>
          <w:szCs w:val="19"/>
          <w:color w:val="auto"/>
        </w:rPr>
        <w:t>writing from the Originator confirmation that, so long as the Borrower is not “insolvent” within the meaning of the Bankruptcy Code, the Originator will not cause the Borrower to file a voluntary petition under the Bankruptcy Code or any other bankruptcy or insolvency laws. Each of the Borrower and the Originator is aware that in light of the circumstances described in the preceding sentence and other relevant facts, the filing of a voluntary petition under the Bankruptcy Code for the purpose of making any Loan or any other assets of the Borrower available to satisfy claims of the creditors of the Originator would not result in making such assets available to satisfy such creditors under the Bankruptcy Code.</w:t>
      </w:r>
    </w:p>
    <w:p>
      <w:pPr>
        <w:spacing w:after="0" w:line="194" w:lineRule="exact"/>
        <w:rPr>
          <w:sz w:val="20"/>
          <w:szCs w:val="20"/>
          <w:color w:val="auto"/>
        </w:rPr>
      </w:pPr>
    </w:p>
    <w:p>
      <w:pPr>
        <w:ind w:left="120" w:right="540" w:firstLine="1940"/>
        <w:spacing w:after="0" w:line="256" w:lineRule="auto"/>
        <w:tabs>
          <w:tab w:leader="none" w:pos="2599" w:val="left"/>
        </w:tabs>
        <w:numPr>
          <w:ilvl w:val="0"/>
          <w:numId w:val="346"/>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Borrower is not, and will not, as a result of the execution and delivery of this Agreement and the consummation of the transactions</w:t>
      </w:r>
    </w:p>
    <w:p>
      <w:pPr>
        <w:spacing w:after="0"/>
        <w:rPr>
          <w:sz w:val="20"/>
          <w:szCs w:val="20"/>
          <w:color w:val="auto"/>
        </w:rPr>
      </w:pPr>
      <w:r>
        <w:rPr>
          <w:rFonts w:ascii="Arial" w:cs="Arial" w:eastAsia="Arial" w:hAnsi="Arial"/>
          <w:sz w:val="22"/>
          <w:szCs w:val="22"/>
          <w:u w:val="single" w:color="auto"/>
          <w:color w:val="auto"/>
        </w:rPr>
        <w:t>62</w:t>
      </w:r>
    </w:p>
    <w:p>
      <w:pPr>
        <w:sectPr>
          <w:pgSz w:w="11900" w:h="16838" w:orient="portrait"/>
          <w:cols w:equalWidth="0" w:num="1">
            <w:col w:w="11140"/>
          </w:cols>
          <w:pgMar w:left="320" w:top="1428" w:right="439" w:bottom="1440" w:gutter="0" w:footer="0" w:header="0"/>
        </w:sectPr>
      </w:pPr>
    </w:p>
    <w:bookmarkStart w:id="330" w:name="page331"/>
    <w:bookmarkEnd w:id="330"/>
    <w:p>
      <w:pPr>
        <w:jc w:val="both"/>
        <w:ind w:left="120" w:right="20"/>
        <w:spacing w:after="0" w:line="247" w:lineRule="auto"/>
        <w:rPr>
          <w:sz w:val="20"/>
          <w:szCs w:val="20"/>
          <w:color w:val="auto"/>
        </w:rPr>
      </w:pPr>
      <w:r>
        <w:rPr>
          <w:rFonts w:ascii="Arial" w:cs="Arial" w:eastAsia="Arial" w:hAnsi="Arial"/>
          <w:sz w:val="22"/>
          <w:szCs w:val="22"/>
          <w:color w:val="auto"/>
        </w:rPr>
        <w:t>contemplated herein, be required to be registered as an “investment company” as defined in the Investment Company Act. In determining that the Borrower is not an “investment company,” the Borrower is entitled to rely on the exclusion from the definition of “investment company” set forth in Section 3(c)(5) of the Investment Company Act, although there may be additional exclusions or exemptions available to the Borrower. The Borrower is not a “covered fund” for purposes of the regulations adopted to implement Section 619 of the Dodd-Frank Wall Street Reform and Consumer Protection Act, commonly known as the “Volcker Rule.”</w:t>
      </w:r>
    </w:p>
    <w:p>
      <w:pPr>
        <w:spacing w:after="0" w:line="233" w:lineRule="exact"/>
        <w:rPr>
          <w:sz w:val="20"/>
          <w:szCs w:val="20"/>
          <w:color w:val="auto"/>
        </w:rPr>
      </w:pPr>
    </w:p>
    <w:p>
      <w:pPr>
        <w:jc w:val="both"/>
        <w:ind w:left="120" w:right="40" w:firstLine="1940"/>
        <w:spacing w:after="0" w:line="258" w:lineRule="auto"/>
        <w:tabs>
          <w:tab w:leader="none" w:pos="2599" w:val="left"/>
        </w:tabs>
        <w:numPr>
          <w:ilvl w:val="0"/>
          <w:numId w:val="347"/>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The present value of all benefits vested under all “employee pension benefit plans,” as such term is defined in Section 3 of ERISA, maintained by the Borrower, or in which employees of the Borrower are entitled to participate, as from time to time in effect (herein called the “</w:t>
      </w:r>
      <w:r>
        <w:rPr>
          <w:rFonts w:ascii="Arial" w:cs="Arial" w:eastAsia="Arial" w:hAnsi="Arial"/>
          <w:sz w:val="21"/>
          <w:szCs w:val="21"/>
          <w:u w:val="single" w:color="auto"/>
          <w:color w:val="auto"/>
        </w:rPr>
        <w:t>Pension Plans</w:t>
      </w:r>
      <w:r>
        <w:rPr>
          <w:rFonts w:ascii="Arial" w:cs="Arial" w:eastAsia="Arial" w:hAnsi="Arial"/>
          <w:sz w:val="21"/>
          <w:szCs w:val="21"/>
          <w:color w:val="auto"/>
        </w:rPr>
        <w:t>”), does not exceed the value of the assets of the Pension Plan allocable to such vested benefits (based on the value of such assets as of the last annual violation date). No prohibited transactions, failures to satisfy minimum funding standards, accumulated funding deficiencies, withdrawals or “reportable events” as defined in Section 4043 of ERISA have occurred with respect to any Pension Plans that, in the aggregate, could subject the Borrower to any material tax, penalty or other liability. No notice of intent to terminate a Pension Plan has been filed, nor has any Pension Plan been terminated under Section 4041(c) of ERISA, nor has the Pension Benefit Guaranty Corporation instituted proceedings to terminate, or appoint a trustee to administer a Pension Plan and no event has occurred or condition exists that might constitute grounds under Section 4042 of ERISA for the termination of, or the appointment of a trustee to administer, any Pension Plan.</w:t>
      </w:r>
    </w:p>
    <w:p>
      <w:pPr>
        <w:spacing w:after="0" w:line="208" w:lineRule="exact"/>
        <w:rPr>
          <w:rFonts w:ascii="Arial" w:cs="Arial" w:eastAsia="Arial" w:hAnsi="Arial"/>
          <w:sz w:val="21"/>
          <w:szCs w:val="21"/>
          <w:color w:val="auto"/>
        </w:rPr>
      </w:pPr>
    </w:p>
    <w:p>
      <w:pPr>
        <w:jc w:val="both"/>
        <w:ind w:left="120" w:firstLine="1940"/>
        <w:spacing w:after="0" w:line="259" w:lineRule="auto"/>
        <w:tabs>
          <w:tab w:leader="none" w:pos="2601" w:val="left"/>
        </w:tabs>
        <w:numPr>
          <w:ilvl w:val="0"/>
          <w:numId w:val="347"/>
        </w:numPr>
        <w:rPr>
          <w:rFonts w:ascii="Arial" w:cs="Arial" w:eastAsia="Arial" w:hAnsi="Arial"/>
          <w:sz w:val="21"/>
          <w:szCs w:val="21"/>
          <w:color w:val="auto"/>
        </w:rPr>
      </w:pPr>
      <w:r>
        <w:rPr>
          <w:rFonts w:ascii="Arial" w:cs="Arial" w:eastAsia="Arial" w:hAnsi="Arial"/>
          <w:sz w:val="21"/>
          <w:szCs w:val="21"/>
          <w:u w:val="single" w:color="auto"/>
          <w:color w:val="auto"/>
        </w:rPr>
        <w:t>Patriot Act</w:t>
      </w:r>
      <w:r>
        <w:rPr>
          <w:rFonts w:ascii="Arial" w:cs="Arial" w:eastAsia="Arial" w:hAnsi="Arial"/>
          <w:sz w:val="21"/>
          <w:szCs w:val="21"/>
          <w:color w:val="auto"/>
        </w:rPr>
        <w:t>. To the extent applicable, each of the Borrower, the Originator and their Affiliates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(the “</w:t>
      </w:r>
      <w:r>
        <w:rPr>
          <w:rFonts w:ascii="Arial" w:cs="Arial" w:eastAsia="Arial" w:hAnsi="Arial"/>
          <w:sz w:val="21"/>
          <w:szCs w:val="21"/>
          <w:u w:val="single" w:color="auto"/>
          <w:color w:val="auto"/>
        </w:rPr>
        <w:t>Patriot Act</w:t>
      </w:r>
      <w:r>
        <w:rPr>
          <w:rFonts w:ascii="Arial" w:cs="Arial" w:eastAsia="Arial" w:hAnsi="Arial"/>
          <w:sz w:val="21"/>
          <w:szCs w:val="21"/>
          <w:color w:val="auto"/>
        </w:rPr>
        <w:t>”). No part of the proceeds of any funding made hereunder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19" w:lineRule="exact"/>
        <w:rPr>
          <w:rFonts w:ascii="Arial" w:cs="Arial" w:eastAsia="Arial" w:hAnsi="Arial"/>
          <w:sz w:val="21"/>
          <w:szCs w:val="21"/>
          <w:color w:val="auto"/>
        </w:rPr>
      </w:pPr>
    </w:p>
    <w:p>
      <w:pPr>
        <w:jc w:val="both"/>
        <w:ind w:left="120" w:right="60" w:firstLine="1939"/>
        <w:spacing w:after="0" w:line="297" w:lineRule="auto"/>
        <w:tabs>
          <w:tab w:leader="none" w:pos="2494" w:val="left"/>
        </w:tabs>
        <w:numPr>
          <w:ilvl w:val="0"/>
          <w:numId w:val="34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in Contribution Agreement</w:t>
      </w:r>
      <w:r>
        <w:rPr>
          <w:rFonts w:ascii="Arial" w:cs="Arial" w:eastAsia="Arial" w:hAnsi="Arial"/>
          <w:sz w:val="19"/>
          <w:szCs w:val="19"/>
          <w:color w:val="auto"/>
        </w:rPr>
        <w:t xml:space="preserve">. The representations and warranties made by the Originator to the Borrower in the Contribution Agreement are hereby remade by the Borrower on each date to which they speak in the Contribution Agreement as if such representations and warranties were set forth herein. For purposes of this Section 4.1(aa), such representations and warranties are incorporated herein by reference as if made by the Borrower to the Deal Agent, the Collateral Agent and each of the Secured Parties under the terms hereof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jc w:val="both"/>
        <w:ind w:left="120" w:right="40" w:firstLine="1939"/>
        <w:spacing w:after="0" w:line="250" w:lineRule="auto"/>
        <w:tabs>
          <w:tab w:leader="none" w:pos="2478" w:val="left"/>
        </w:tabs>
        <w:numPr>
          <w:ilvl w:val="0"/>
          <w:numId w:val="347"/>
        </w:numPr>
        <w:rPr>
          <w:rFonts w:ascii="Arial" w:cs="Arial" w:eastAsia="Arial" w:hAnsi="Arial"/>
          <w:sz w:val="22"/>
          <w:szCs w:val="22"/>
          <w:color w:val="auto"/>
        </w:rPr>
      </w:pPr>
      <w:r>
        <w:rPr>
          <w:rFonts w:ascii="Arial" w:cs="Arial" w:eastAsia="Arial" w:hAnsi="Arial"/>
          <w:sz w:val="22"/>
          <w:szCs w:val="22"/>
          <w:u w:val="single" w:color="auto"/>
          <w:color w:val="auto"/>
        </w:rPr>
        <w:t>Amount of Loans and Contracts; Computer File</w:t>
      </w:r>
      <w:r>
        <w:rPr>
          <w:rFonts w:ascii="Arial" w:cs="Arial" w:eastAsia="Arial" w:hAnsi="Arial"/>
          <w:sz w:val="22"/>
          <w:szCs w:val="22"/>
          <w:color w:val="auto"/>
        </w:rPr>
        <w:t>. When new Pools or Purchased Loans are pledged to the Collateral Agent, the Borrower shall provide, or cause to be provided to, the Collateral Agent with information regarding (A) the aggregate Outstanding Balance of the Contracts to be pledged to the Collateral Agent on the related Addition Date; (B)</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63</w:t>
      </w:r>
    </w:p>
    <w:p>
      <w:pPr>
        <w:sectPr>
          <w:pgSz w:w="11900" w:h="16838" w:orient="portrait"/>
          <w:cols w:equalWidth="0" w:num="1">
            <w:col w:w="11160"/>
          </w:cols>
          <w:pgMar w:left="320" w:top="1428" w:right="419" w:bottom="1440" w:gutter="0" w:footer="0" w:header="0"/>
        </w:sectPr>
      </w:pPr>
    </w:p>
    <w:bookmarkStart w:id="331" w:name="page332"/>
    <w:bookmarkEnd w:id="331"/>
    <w:p>
      <w:pPr>
        <w:jc w:val="both"/>
        <w:ind w:left="120"/>
        <w:spacing w:after="0" w:line="302" w:lineRule="auto"/>
        <w:rPr>
          <w:sz w:val="20"/>
          <w:szCs w:val="20"/>
          <w:color w:val="auto"/>
        </w:rPr>
      </w:pPr>
      <w:r>
        <w:rPr>
          <w:rFonts w:ascii="Arial" w:cs="Arial" w:eastAsia="Arial" w:hAnsi="Arial"/>
          <w:sz w:val="19"/>
          <w:szCs w:val="19"/>
          <w:color w:val="auto"/>
        </w:rPr>
        <w:t xml:space="preserve">the Aggregate Outstanding Eligible Loan Balance; and (C) the Aggregate Outstanding Eligible Loan Net Balance, each as of the applicable Cut-Off Date and as reported in Credit Acceptance’s loan servicing system or as a product of the Loan Loss Reserve analysis. The computer file delivered pursuant to </w:t>
      </w:r>
      <w:r>
        <w:rPr>
          <w:rFonts w:ascii="Arial" w:cs="Arial" w:eastAsia="Arial" w:hAnsi="Arial"/>
          <w:sz w:val="19"/>
          <w:szCs w:val="19"/>
          <w:u w:val="single" w:color="auto"/>
          <w:color w:val="auto"/>
        </w:rPr>
        <w:t>Section 2.2(a)(iii)</w:t>
      </w:r>
      <w:r>
        <w:rPr>
          <w:rFonts w:ascii="Arial" w:cs="Arial" w:eastAsia="Arial" w:hAnsi="Arial"/>
          <w:sz w:val="19"/>
          <w:szCs w:val="19"/>
          <w:color w:val="auto"/>
        </w:rPr>
        <w:t xml:space="preserve"> hereof is complete and accurately reflects the information regarding the Loans, applicable Dealer Agreements and Contracts in all material respects.</w:t>
      </w:r>
    </w:p>
    <w:p>
      <w:pPr>
        <w:spacing w:after="0" w:line="250" w:lineRule="exact"/>
        <w:rPr>
          <w:sz w:val="20"/>
          <w:szCs w:val="20"/>
          <w:color w:val="auto"/>
        </w:rPr>
      </w:pPr>
    </w:p>
    <w:p>
      <w:pPr>
        <w:jc w:val="both"/>
        <w:ind w:left="120" w:right="60" w:firstLine="1940"/>
        <w:spacing w:after="0" w:line="271" w:lineRule="auto"/>
        <w:tabs>
          <w:tab w:leader="none" w:pos="2454" w:val="left"/>
        </w:tabs>
        <w:numPr>
          <w:ilvl w:val="0"/>
          <w:numId w:val="348"/>
        </w:numPr>
        <w:rPr>
          <w:rFonts w:ascii="Arial" w:cs="Arial" w:eastAsia="Arial" w:hAnsi="Arial"/>
          <w:sz w:val="21"/>
          <w:szCs w:val="21"/>
          <w:color w:val="auto"/>
        </w:rPr>
      </w:pPr>
      <w:r>
        <w:rPr>
          <w:rFonts w:ascii="Arial" w:cs="Arial" w:eastAsia="Arial" w:hAnsi="Arial"/>
          <w:sz w:val="21"/>
          <w:szCs w:val="21"/>
          <w:u w:val="single" w:color="auto"/>
          <w:color w:val="auto"/>
        </w:rPr>
        <w:t>Use of Proceeds</w:t>
      </w:r>
      <w:r>
        <w:rPr>
          <w:rFonts w:ascii="Arial" w:cs="Arial" w:eastAsia="Arial" w:hAnsi="Arial"/>
          <w:sz w:val="21"/>
          <w:szCs w:val="21"/>
          <w:color w:val="auto"/>
        </w:rPr>
        <w:t>. The proceeds of each Funding will be used by the Borrower to purchase the Loans and related Collateral from the Originator pursuant to the Contribution Agreement or, subject to Section 5.2(f), to make distributions to Credit Acceptance in respect of its equity interest in the Borrower.</w:t>
      </w:r>
    </w:p>
    <w:p>
      <w:pPr>
        <w:spacing w:after="0" w:line="207" w:lineRule="exact"/>
        <w:rPr>
          <w:rFonts w:ascii="Arial" w:cs="Arial" w:eastAsia="Arial" w:hAnsi="Arial"/>
          <w:sz w:val="21"/>
          <w:szCs w:val="21"/>
          <w:color w:val="auto"/>
        </w:rPr>
      </w:pPr>
    </w:p>
    <w:p>
      <w:pPr>
        <w:ind w:left="2640" w:hanging="580"/>
        <w:spacing w:after="0"/>
        <w:tabs>
          <w:tab w:leader="none" w:pos="2640" w:val="left"/>
        </w:tabs>
        <w:numPr>
          <w:ilvl w:val="0"/>
          <w:numId w:val="348"/>
        </w:numPr>
        <w:rPr>
          <w:rFonts w:ascii="Arial" w:cs="Arial" w:eastAsia="Arial" w:hAnsi="Arial"/>
          <w:sz w:val="22"/>
          <w:szCs w:val="22"/>
          <w:color w:val="auto"/>
        </w:rPr>
      </w:pPr>
      <w:r>
        <w:rPr>
          <w:rFonts w:ascii="Arial" w:cs="Arial" w:eastAsia="Arial" w:hAnsi="Arial"/>
          <w:sz w:val="22"/>
          <w:szCs w:val="22"/>
          <w:u w:val="single" w:color="auto"/>
          <w:color w:val="auto"/>
        </w:rPr>
        <w:t>Subsidiaries</w:t>
      </w:r>
      <w:r>
        <w:rPr>
          <w:rFonts w:ascii="Arial" w:cs="Arial" w:eastAsia="Arial" w:hAnsi="Arial"/>
          <w:sz w:val="22"/>
          <w:szCs w:val="22"/>
          <w:color w:val="auto"/>
        </w:rPr>
        <w:t>. The Borrower does not have any Subsidiaries.</w:t>
      </w:r>
    </w:p>
    <w:p>
      <w:pPr>
        <w:spacing w:after="0" w:line="246" w:lineRule="exact"/>
        <w:rPr>
          <w:rFonts w:ascii="Arial" w:cs="Arial" w:eastAsia="Arial" w:hAnsi="Arial"/>
          <w:sz w:val="22"/>
          <w:szCs w:val="22"/>
          <w:color w:val="auto"/>
        </w:rPr>
      </w:pPr>
    </w:p>
    <w:p>
      <w:pPr>
        <w:ind w:left="120" w:right="60" w:firstLine="1940"/>
        <w:spacing w:after="0" w:line="263" w:lineRule="auto"/>
        <w:tabs>
          <w:tab w:leader="none" w:pos="2467" w:val="left"/>
        </w:tabs>
        <w:numPr>
          <w:ilvl w:val="0"/>
          <w:numId w:val="348"/>
        </w:numPr>
        <w:rPr>
          <w:rFonts w:ascii="Arial" w:cs="Arial" w:eastAsia="Arial" w:hAnsi="Arial"/>
          <w:sz w:val="22"/>
          <w:szCs w:val="22"/>
          <w:color w:val="auto"/>
        </w:rPr>
      </w:pPr>
      <w:r>
        <w:rPr>
          <w:rFonts w:ascii="Arial" w:cs="Arial" w:eastAsia="Arial" w:hAnsi="Arial"/>
          <w:sz w:val="22"/>
          <w:szCs w:val="22"/>
          <w:u w:val="single" w:color="auto"/>
          <w:color w:val="auto"/>
        </w:rPr>
        <w:t>Capital Stock</w:t>
      </w:r>
      <w:r>
        <w:rPr>
          <w:rFonts w:ascii="Arial" w:cs="Arial" w:eastAsia="Arial" w:hAnsi="Arial"/>
          <w:sz w:val="22"/>
          <w:szCs w:val="22"/>
          <w:color w:val="auto"/>
        </w:rPr>
        <w:t>. The Borrower has neither sold nor pledged any of its common stock to any entity other than Credit Acceptance.</w:t>
      </w:r>
    </w:p>
    <w:p>
      <w:pPr>
        <w:spacing w:after="0" w:line="215" w:lineRule="exact"/>
        <w:rPr>
          <w:rFonts w:ascii="Arial" w:cs="Arial" w:eastAsia="Arial" w:hAnsi="Arial"/>
          <w:sz w:val="22"/>
          <w:szCs w:val="22"/>
          <w:color w:val="auto"/>
        </w:rPr>
      </w:pPr>
    </w:p>
    <w:p>
      <w:pPr>
        <w:ind w:left="2460" w:hanging="401"/>
        <w:spacing w:after="0"/>
        <w:tabs>
          <w:tab w:leader="none" w:pos="2460" w:val="left"/>
        </w:tabs>
        <w:numPr>
          <w:ilvl w:val="0"/>
          <w:numId w:val="348"/>
        </w:numPr>
        <w:rPr>
          <w:rFonts w:ascii="Arial" w:cs="Arial" w:eastAsia="Arial" w:hAnsi="Arial"/>
          <w:sz w:val="21"/>
          <w:szCs w:val="21"/>
          <w:color w:val="auto"/>
        </w:rPr>
      </w:pPr>
      <w:r>
        <w:rPr>
          <w:rFonts w:ascii="Arial" w:cs="Arial" w:eastAsia="Arial" w:hAnsi="Arial"/>
          <w:sz w:val="21"/>
          <w:szCs w:val="21"/>
          <w:u w:val="single" w:color="auto"/>
          <w:color w:val="auto"/>
        </w:rPr>
        <w:t>Sanctions</w:t>
      </w:r>
      <w:r>
        <w:rPr>
          <w:rFonts w:ascii="Arial" w:cs="Arial" w:eastAsia="Arial" w:hAnsi="Arial"/>
          <w:sz w:val="21"/>
          <w:szCs w:val="21"/>
          <w:color w:val="auto"/>
        </w:rPr>
        <w:t>. The Borrower represents and warrants continuously throughout the term of this</w:t>
      </w:r>
    </w:p>
    <w:p>
      <w:pPr>
        <w:spacing w:after="0" w:line="32" w:lineRule="exact"/>
        <w:rPr>
          <w:rFonts w:ascii="Arial" w:cs="Arial" w:eastAsia="Arial" w:hAnsi="Arial"/>
          <w:sz w:val="21"/>
          <w:szCs w:val="21"/>
          <w:color w:val="auto"/>
        </w:rPr>
      </w:pPr>
    </w:p>
    <w:p>
      <w:pPr>
        <w:jc w:val="both"/>
        <w:ind w:left="120" w:right="40"/>
        <w:spacing w:after="0" w:line="243" w:lineRule="auto"/>
        <w:rPr>
          <w:rFonts w:ascii="Arial" w:cs="Arial" w:eastAsia="Arial" w:hAnsi="Arial"/>
          <w:sz w:val="21"/>
          <w:szCs w:val="21"/>
          <w:color w:val="auto"/>
        </w:rPr>
      </w:pPr>
      <w:r>
        <w:rPr>
          <w:rFonts w:ascii="Arial" w:cs="Arial" w:eastAsia="Arial" w:hAnsi="Arial"/>
          <w:sz w:val="22"/>
          <w:szCs w:val="22"/>
          <w:color w:val="auto"/>
        </w:rPr>
        <w:t>Agreement that: (a) no member of the Borrowing Group is a Sanctioned Target; (b) no member of the Borrowing Group is owned or controlled by, or is acting or purporting to act for or on behalf of, directly or indirectly, a Sanctioned Target; (c) each member of the Borrowing Group has instituted, maintains and complies with policies, procedures and controls reasonably designed to assure compliance with Sanctions; and (d) to the best of Borrower’s knowledge, after due care and inquiry, no member of the Borrowing Group is under investigation for an alleged violation of Sanction(s) by a governmental authority that enforces Sanctions. Borrower shall notify Lender in writing not more than one (5) Business Days after first becoming aware of any breach of this section.</w:t>
      </w:r>
    </w:p>
    <w:p>
      <w:pPr>
        <w:spacing w:after="0" w:line="241" w:lineRule="exact"/>
        <w:rPr>
          <w:rFonts w:ascii="Arial" w:cs="Arial" w:eastAsia="Arial" w:hAnsi="Arial"/>
          <w:sz w:val="21"/>
          <w:szCs w:val="21"/>
          <w:color w:val="auto"/>
        </w:rPr>
      </w:pPr>
    </w:p>
    <w:p>
      <w:pPr>
        <w:jc w:val="both"/>
        <w:ind w:left="120" w:right="40" w:firstLine="1939"/>
        <w:spacing w:after="0" w:line="261" w:lineRule="auto"/>
        <w:tabs>
          <w:tab w:leader="none" w:pos="2545" w:val="left"/>
        </w:tabs>
        <w:numPr>
          <w:ilvl w:val="0"/>
          <w:numId w:val="348"/>
        </w:numPr>
        <w:rPr>
          <w:rFonts w:ascii="Arial" w:cs="Arial" w:eastAsia="Arial" w:hAnsi="Arial"/>
          <w:sz w:val="21"/>
          <w:szCs w:val="21"/>
          <w:color w:val="auto"/>
        </w:rPr>
      </w:pPr>
      <w:r>
        <w:rPr>
          <w:rFonts w:ascii="Arial" w:cs="Arial" w:eastAsia="Arial" w:hAnsi="Arial"/>
          <w:sz w:val="21"/>
          <w:szCs w:val="21"/>
          <w:u w:val="single" w:color="auto"/>
          <w:color w:val="auto"/>
        </w:rPr>
        <w:t>Anti-Money Laundering and Anti-Corruption Laws</w:t>
      </w:r>
      <w:r>
        <w:rPr>
          <w:rFonts w:ascii="Arial" w:cs="Arial" w:eastAsia="Arial" w:hAnsi="Arial"/>
          <w:sz w:val="21"/>
          <w:szCs w:val="21"/>
          <w:color w:val="auto"/>
        </w:rPr>
        <w:t>. The Borrower represents and warrants continuously throughout the term of this Agreement that: (a) each member of the Borrowing Group has instituted, maintains and complies with policies, procedures and controls reasonably designed to assure compliance with Anti-Money Laundering Laws and Anti-Corruption Laws; and (b) to the best of Borrower’s knowledge, after due care and inquiry, no member of the Borrowing Group is under investigation for an alleged violation of Anti-Money Laundering Laws or Anti-Corruption Laws by a governmental authority that enforces such laws.</w:t>
      </w:r>
    </w:p>
    <w:p>
      <w:pPr>
        <w:spacing w:after="0" w:line="287" w:lineRule="exact"/>
        <w:rPr>
          <w:rFonts w:ascii="Arial" w:cs="Arial" w:eastAsia="Arial" w:hAnsi="Arial"/>
          <w:sz w:val="21"/>
          <w:szCs w:val="21"/>
          <w:color w:val="auto"/>
        </w:rPr>
      </w:pPr>
    </w:p>
    <w:p>
      <w:pPr>
        <w:ind w:left="120" w:right="60" w:firstLine="1940"/>
        <w:spacing w:after="0" w:line="263" w:lineRule="auto"/>
        <w:tabs>
          <w:tab w:leader="none" w:pos="2478" w:val="left"/>
        </w:tabs>
        <w:numPr>
          <w:ilvl w:val="0"/>
          <w:numId w:val="348"/>
        </w:numPr>
        <w:rPr>
          <w:rFonts w:ascii="Arial" w:cs="Arial" w:eastAsia="Arial" w:hAnsi="Arial"/>
          <w:sz w:val="22"/>
          <w:szCs w:val="22"/>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As of the date hereof and each Funding Date, the information included in the Beneficial Ownership Certification is true and correct in all respects.</w:t>
      </w:r>
    </w:p>
    <w:p>
      <w:pPr>
        <w:spacing w:after="0" w:line="202" w:lineRule="exact"/>
        <w:rPr>
          <w:sz w:val="20"/>
          <w:szCs w:val="20"/>
          <w:color w:val="auto"/>
        </w:rPr>
      </w:pPr>
    </w:p>
    <w:p>
      <w:pPr>
        <w:jc w:val="both"/>
        <w:ind w:left="120" w:firstLine="648"/>
        <w:spacing w:after="0" w:line="265" w:lineRule="auto"/>
        <w:rPr>
          <w:sz w:val="20"/>
          <w:szCs w:val="20"/>
          <w:color w:val="auto"/>
        </w:rPr>
      </w:pPr>
      <w:r>
        <w:rPr>
          <w:rFonts w:ascii="Arial" w:cs="Arial" w:eastAsia="Arial" w:hAnsi="Arial"/>
          <w:sz w:val="21"/>
          <w:szCs w:val="21"/>
          <w:color w:val="auto"/>
        </w:rPr>
        <w:t>The representations and warranties set forth in this Section 4.1 shall survive the Borrower’s pledge of the Collateral to the Collateral Agent and the termination of the rights and obligations of the Servicer. Upon discovery by the Borrower, the Servicer or Credit Acceptance, or upon written notice or actual knowledge by a Responsible Officer of the Collateral Agent, of a breach of any of the representations and warranties set forth herein, the party discovering,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64</w:t>
      </w:r>
    </w:p>
    <w:p>
      <w:pPr>
        <w:sectPr>
          <w:pgSz w:w="11900" w:h="16838" w:orient="portrait"/>
          <w:cols w:equalWidth="0" w:num="1">
            <w:col w:w="11140"/>
          </w:cols>
          <w:pgMar w:left="320" w:top="1428" w:right="439" w:bottom="1440" w:gutter="0" w:footer="0" w:header="0"/>
        </w:sectPr>
      </w:pPr>
    </w:p>
    <w:bookmarkStart w:id="332" w:name="page333"/>
    <w:bookmarkEnd w:id="332"/>
    <w:p>
      <w:pPr>
        <w:ind w:left="120" w:right="480"/>
        <w:spacing w:after="0" w:line="263" w:lineRule="auto"/>
        <w:rPr>
          <w:sz w:val="20"/>
          <w:szCs w:val="20"/>
          <w:color w:val="auto"/>
        </w:rPr>
      </w:pPr>
      <w:r>
        <w:rPr>
          <w:rFonts w:ascii="Arial" w:cs="Arial" w:eastAsia="Arial" w:hAnsi="Arial"/>
          <w:sz w:val="22"/>
          <w:szCs w:val="22"/>
          <w:color w:val="auto"/>
        </w:rPr>
        <w:t>receiving notice of or having actual knowledge, as applicable, of such breach shall give prompt written notice to the other parties of such breach.</w:t>
      </w:r>
    </w:p>
    <w:p>
      <w:pPr>
        <w:spacing w:after="0" w:line="215" w:lineRule="exact"/>
        <w:rPr>
          <w:sz w:val="20"/>
          <w:szCs w:val="20"/>
          <w:color w:val="auto"/>
        </w:rPr>
      </w:pPr>
    </w:p>
    <w:p>
      <w:pPr>
        <w:jc w:val="center"/>
        <w:ind w:right="-39"/>
        <w:spacing w:after="0"/>
        <w:tabs>
          <w:tab w:leader="none" w:pos="1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Representations and Warranties of the Borrower Relating to the Loans and the Related Contracts</w:t>
      </w:r>
      <w:r>
        <w:rPr>
          <w:rFonts w:ascii="Arial" w:cs="Arial" w:eastAsia="Arial" w:hAnsi="Arial"/>
          <w:sz w:val="19"/>
          <w:szCs w:val="19"/>
          <w:color w:val="auto"/>
        </w:rPr>
        <w:t>.</w:t>
      </w:r>
    </w:p>
    <w:p>
      <w:pPr>
        <w:spacing w:after="0" w:line="328" w:lineRule="exact"/>
        <w:rPr>
          <w:sz w:val="20"/>
          <w:szCs w:val="20"/>
          <w:color w:val="auto"/>
        </w:rPr>
      </w:pPr>
    </w:p>
    <w:p>
      <w:pPr>
        <w:jc w:val="both"/>
        <w:ind w:left="120" w:firstLine="1940"/>
        <w:spacing w:after="0" w:line="312" w:lineRule="auto"/>
        <w:tabs>
          <w:tab w:leader="none" w:pos="2601" w:val="left"/>
        </w:tabs>
        <w:numPr>
          <w:ilvl w:val="0"/>
          <w:numId w:val="349"/>
        </w:numPr>
        <w:rPr>
          <w:rFonts w:ascii="Arial" w:cs="Arial" w:eastAsia="Arial" w:hAnsi="Arial"/>
          <w:sz w:val="19"/>
          <w:szCs w:val="19"/>
          <w:color w:val="auto"/>
        </w:rPr>
      </w:pPr>
      <w:r>
        <w:rPr>
          <w:rFonts w:ascii="Arial" w:cs="Arial" w:eastAsia="Arial" w:hAnsi="Arial"/>
          <w:sz w:val="19"/>
          <w:szCs w:val="19"/>
          <w:u w:val="single" w:color="auto"/>
          <w:color w:val="auto"/>
        </w:rPr>
        <w:t>Eligibility of Loans</w:t>
      </w:r>
      <w:r>
        <w:rPr>
          <w:rFonts w:ascii="Arial" w:cs="Arial" w:eastAsia="Arial" w:hAnsi="Arial"/>
          <w:sz w:val="19"/>
          <w:szCs w:val="19"/>
          <w:color w:val="auto"/>
        </w:rPr>
        <w:t>. The Borrower hereby represents and warrants to the Deal Agent, the Collateral Agent, the Backup Servicer and the Secured Parties as of the Effective Date and each Funding Date with respect to the Dealer Agreements, Loans, Contracts and Related Security pledged to the Collateral Agent on such date that:</w:t>
      </w:r>
    </w:p>
    <w:p>
      <w:pPr>
        <w:spacing w:after="0" w:line="160" w:lineRule="exact"/>
        <w:rPr>
          <w:rFonts w:ascii="Arial" w:cs="Arial" w:eastAsia="Arial" w:hAnsi="Arial"/>
          <w:sz w:val="19"/>
          <w:szCs w:val="19"/>
          <w:color w:val="auto"/>
        </w:rPr>
      </w:pPr>
    </w:p>
    <w:p>
      <w:pPr>
        <w:jc w:val="both"/>
        <w:ind w:left="120" w:firstLine="2384"/>
        <w:spacing w:after="0" w:line="290" w:lineRule="auto"/>
        <w:tabs>
          <w:tab w:leader="none" w:pos="3252" w:val="left"/>
        </w:tabs>
        <w:numPr>
          <w:ilvl w:val="1"/>
          <w:numId w:val="349"/>
        </w:numPr>
        <w:rPr>
          <w:rFonts w:ascii="Arial" w:cs="Arial" w:eastAsia="Arial" w:hAnsi="Arial"/>
          <w:sz w:val="19"/>
          <w:szCs w:val="19"/>
          <w:color w:val="auto"/>
        </w:rPr>
      </w:pPr>
      <w:r>
        <w:rPr>
          <w:rFonts w:ascii="Arial" w:cs="Arial" w:eastAsia="Arial" w:hAnsi="Arial"/>
          <w:sz w:val="19"/>
          <w:szCs w:val="19"/>
          <w:color w:val="auto"/>
        </w:rPr>
        <w:t>each Loan classified as an “Eligible Dealer Loan” (or included in any aggregation of balances of “Eligible Dealer Loans”) or as an “Eligible Purchased Loan” (or included in any aggregation of balances of “Eligible Purchased Loans”) by the Borrower or the Servicer in any document or report delivered hereunder satisfied the requirements contained in the definition of Eligible Dealer Loan or Eligible Purchased Loan, as applicable, on the date so delivered; each Contract classified as an “Eligible Dealer Loan Contract” or “Eligible Purchased Loan Contract” (or included in any aggregation of balances of “Eligible Dealer Loan Contracts” or “Eligible Purchased Loan Contracts”) by the Borrower or the Servicer in any document or report delivered hereunder satisfied the requirements contained in the definition of Eligible Dealer Loan Contract or Eligible Purchased Loan Contract on the date so delivered;</w:t>
      </w:r>
    </w:p>
    <w:p>
      <w:pPr>
        <w:spacing w:after="0" w:line="263" w:lineRule="exact"/>
        <w:rPr>
          <w:rFonts w:ascii="Arial" w:cs="Arial" w:eastAsia="Arial" w:hAnsi="Arial"/>
          <w:sz w:val="19"/>
          <w:szCs w:val="19"/>
          <w:color w:val="auto"/>
        </w:rPr>
      </w:pPr>
    </w:p>
    <w:p>
      <w:pPr>
        <w:jc w:val="both"/>
        <w:ind w:left="120" w:right="20" w:firstLine="2324"/>
        <w:spacing w:after="0" w:line="265" w:lineRule="auto"/>
        <w:tabs>
          <w:tab w:leader="none" w:pos="3252" w:val="left"/>
        </w:tabs>
        <w:numPr>
          <w:ilvl w:val="1"/>
          <w:numId w:val="349"/>
        </w:numPr>
        <w:rPr>
          <w:rFonts w:ascii="Arial" w:cs="Arial" w:eastAsia="Arial" w:hAnsi="Arial"/>
          <w:sz w:val="21"/>
          <w:szCs w:val="21"/>
          <w:color w:val="auto"/>
        </w:rPr>
      </w:pPr>
      <w:r>
        <w:rPr>
          <w:rFonts w:ascii="Arial" w:cs="Arial" w:eastAsia="Arial" w:hAnsi="Arial"/>
          <w:sz w:val="21"/>
          <w:szCs w:val="21"/>
          <w:color w:val="auto"/>
        </w:rPr>
        <w:t>all information with respect to the Dealer Agreements, Purchase Agreements and the Loans and the Contracts and the other Collateral provided to the Collateral Agent or the Deal Agent by the Borrower or the Servicer was true and correct in all material respects as of the date such information was provided to the Collateral Agent or the Deal Agent (or such earlier time as specifically set forth in such information), as applicable;</w:t>
      </w:r>
    </w:p>
    <w:p>
      <w:pPr>
        <w:spacing w:after="0" w:line="215" w:lineRule="exact"/>
        <w:rPr>
          <w:rFonts w:ascii="Arial" w:cs="Arial" w:eastAsia="Arial" w:hAnsi="Arial"/>
          <w:sz w:val="21"/>
          <w:szCs w:val="21"/>
          <w:color w:val="auto"/>
        </w:rPr>
      </w:pPr>
    </w:p>
    <w:p>
      <w:pPr>
        <w:jc w:val="both"/>
        <w:ind w:left="120" w:right="40" w:firstLine="2264"/>
        <w:spacing w:after="0" w:line="312" w:lineRule="auto"/>
        <w:tabs>
          <w:tab w:leader="none" w:pos="3252" w:val="left"/>
        </w:tabs>
        <w:numPr>
          <w:ilvl w:val="1"/>
          <w:numId w:val="349"/>
        </w:numPr>
        <w:rPr>
          <w:rFonts w:ascii="Arial" w:cs="Arial" w:eastAsia="Arial" w:hAnsi="Arial"/>
          <w:sz w:val="19"/>
          <w:szCs w:val="19"/>
          <w:color w:val="auto"/>
        </w:rPr>
      </w:pPr>
      <w:r>
        <w:rPr>
          <w:rFonts w:ascii="Arial" w:cs="Arial" w:eastAsia="Arial" w:hAnsi="Arial"/>
          <w:sz w:val="19"/>
          <w:szCs w:val="19"/>
          <w:color w:val="auto"/>
        </w:rPr>
        <w:t>each Loan and all other Collateral has been pledged to the Collateral Agent free and clear of any Lien of any Person (other than, with respect to the Dealer Loan Contracts, the second priority Lien of the related Dealer therein as set forth in the related Dealer Agreement) and in compliance, in all material respects, with all Applicable Laws;</w:t>
      </w:r>
    </w:p>
    <w:p>
      <w:pPr>
        <w:spacing w:after="0" w:line="173" w:lineRule="exact"/>
        <w:rPr>
          <w:rFonts w:ascii="Arial" w:cs="Arial" w:eastAsia="Arial" w:hAnsi="Arial"/>
          <w:sz w:val="19"/>
          <w:szCs w:val="19"/>
          <w:color w:val="auto"/>
        </w:rPr>
      </w:pPr>
    </w:p>
    <w:p>
      <w:pPr>
        <w:jc w:val="both"/>
        <w:ind w:left="120" w:firstLine="2276"/>
        <w:spacing w:after="0" w:line="248" w:lineRule="auto"/>
        <w:tabs>
          <w:tab w:leader="none" w:pos="3253" w:val="left"/>
        </w:tabs>
        <w:numPr>
          <w:ilvl w:val="1"/>
          <w:numId w:val="349"/>
        </w:numPr>
        <w:rPr>
          <w:rFonts w:ascii="Arial" w:cs="Arial" w:eastAsia="Arial" w:hAnsi="Arial"/>
          <w:sz w:val="22"/>
          <w:szCs w:val="22"/>
          <w:color w:val="auto"/>
        </w:rPr>
      </w:pPr>
      <w:r>
        <w:rPr>
          <w:rFonts w:ascii="Arial" w:cs="Arial" w:eastAsia="Arial" w:hAnsi="Arial"/>
          <w:sz w:val="22"/>
          <w:szCs w:val="22"/>
          <w:color w:val="auto"/>
        </w:rPr>
        <w:t>with respect to each Dealer Agreement, Purchase Agreement, Loan, Contract and all other Collateral, all material consents, licenses, approvals or authorizations of or registrations or declarations with any Governmental Authority required to be obtained, effected or given by the Borrower, in connection with the pledge of such Dealer Agreement, Purchase Agreement, Loan, Contract or other Collateral to the Collateral Agent have been duly obtained, effected or given and are in full force and effect;</w:t>
      </w:r>
    </w:p>
    <w:p>
      <w:pPr>
        <w:spacing w:after="0" w:line="218" w:lineRule="exact"/>
        <w:rPr>
          <w:rFonts w:ascii="Arial" w:cs="Arial" w:eastAsia="Arial" w:hAnsi="Arial"/>
          <w:sz w:val="22"/>
          <w:szCs w:val="22"/>
          <w:color w:val="auto"/>
        </w:rPr>
      </w:pPr>
    </w:p>
    <w:p>
      <w:pPr>
        <w:jc w:val="both"/>
        <w:ind w:left="120" w:right="20" w:firstLine="2336"/>
        <w:spacing w:after="0" w:line="265" w:lineRule="auto"/>
        <w:tabs>
          <w:tab w:leader="none" w:pos="3252" w:val="left"/>
        </w:tabs>
        <w:numPr>
          <w:ilvl w:val="1"/>
          <w:numId w:val="349"/>
        </w:numPr>
        <w:rPr>
          <w:rFonts w:ascii="Arial" w:cs="Arial" w:eastAsia="Arial" w:hAnsi="Arial"/>
          <w:sz w:val="21"/>
          <w:szCs w:val="21"/>
          <w:color w:val="auto"/>
        </w:rPr>
      </w:pPr>
      <w:r>
        <w:rPr>
          <w:rFonts w:ascii="Arial" w:cs="Arial" w:eastAsia="Arial" w:hAnsi="Arial"/>
          <w:sz w:val="21"/>
          <w:szCs w:val="21"/>
          <w:color w:val="auto"/>
        </w:rPr>
        <w:t>Schedule IV to this Agreement, which may be supplemented and updated from time to time, is and will be accurate and complete listings of all Loans, Contracts and Dealer Agreements in all material respects on the date each such Loan, Contract or Dealer Agreement was pledged to the Collateral Agent hereunder, and the information contained therein is and will be true and correct in all material respects as of such date;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65</w:t>
      </w:r>
    </w:p>
    <w:p>
      <w:pPr>
        <w:sectPr>
          <w:pgSz w:w="11900" w:h="16838" w:orient="portrait"/>
          <w:cols w:equalWidth="0" w:num="1">
            <w:col w:w="11120"/>
          </w:cols>
          <w:pgMar w:left="320" w:top="1428" w:right="459" w:bottom="1440" w:gutter="0" w:footer="0" w:header="0"/>
        </w:sectPr>
      </w:pPr>
    </w:p>
    <w:bookmarkStart w:id="333" w:name="page334"/>
    <w:bookmarkEnd w:id="333"/>
    <w:p>
      <w:pPr>
        <w:ind w:left="2620" w:hanging="344"/>
        <w:spacing w:after="0"/>
        <w:tabs>
          <w:tab w:leader="none" w:pos="2620" w:val="left"/>
        </w:tabs>
        <w:numPr>
          <w:ilvl w:val="0"/>
          <w:numId w:val="350"/>
        </w:numPr>
        <w:rPr>
          <w:rFonts w:ascii="Arial" w:cs="Arial" w:eastAsia="Arial" w:hAnsi="Arial"/>
          <w:sz w:val="20"/>
          <w:szCs w:val="20"/>
          <w:color w:val="auto"/>
        </w:rPr>
      </w:pPr>
      <w:r>
        <w:rPr>
          <w:rFonts w:ascii="Arial" w:cs="Arial" w:eastAsia="Arial" w:hAnsi="Arial"/>
          <w:sz w:val="22"/>
          <w:szCs w:val="22"/>
          <w:color w:val="auto"/>
        </w:rPr>
        <w:t>each Contract and Purchased Loan constitutes tangible or electronic chattel paper; and</w:t>
      </w:r>
    </w:p>
    <w:p>
      <w:pPr>
        <w:spacing w:after="0" w:line="246" w:lineRule="exact"/>
        <w:rPr>
          <w:rFonts w:ascii="Arial" w:cs="Arial" w:eastAsia="Arial" w:hAnsi="Arial"/>
          <w:sz w:val="20"/>
          <w:szCs w:val="20"/>
          <w:color w:val="auto"/>
        </w:rPr>
      </w:pPr>
    </w:p>
    <w:p>
      <w:pPr>
        <w:ind w:left="2660" w:hanging="384"/>
        <w:spacing w:after="0"/>
        <w:tabs>
          <w:tab w:leader="none" w:pos="2660" w:val="left"/>
        </w:tabs>
        <w:numPr>
          <w:ilvl w:val="0"/>
          <w:numId w:val="350"/>
        </w:numPr>
        <w:rPr>
          <w:rFonts w:ascii="Arial" w:cs="Arial" w:eastAsia="Arial" w:hAnsi="Arial"/>
          <w:sz w:val="20"/>
          <w:szCs w:val="20"/>
          <w:color w:val="auto"/>
        </w:rPr>
      </w:pPr>
      <w:r>
        <w:rPr>
          <w:rFonts w:ascii="Arial" w:cs="Arial" w:eastAsia="Arial" w:hAnsi="Arial"/>
          <w:sz w:val="22"/>
          <w:szCs w:val="22"/>
          <w:color w:val="auto"/>
        </w:rPr>
        <w:t>no selection procedure believed by the Borrower to be</w:t>
      </w:r>
    </w:p>
    <w:p>
      <w:pPr>
        <w:spacing w:after="0" w:line="247"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materially adverse to the interests of the Secured Parties has been or will be used in selecting the Dealer Agreements, Loans or Contracts; provided that for the avoidance of doubt, during the Revolving Period, Credit Acceptance in its sole discretion may elect to sell to the Borrower Dealer Loans secured by either Open Pools or Closed Pools.</w:t>
      </w:r>
    </w:p>
    <w:p>
      <w:pPr>
        <w:spacing w:after="0" w:line="194" w:lineRule="exact"/>
        <w:rPr>
          <w:sz w:val="20"/>
          <w:szCs w:val="20"/>
          <w:color w:val="auto"/>
        </w:rPr>
      </w:pPr>
    </w:p>
    <w:p>
      <w:pPr>
        <w:jc w:val="both"/>
        <w:ind w:left="120" w:right="40" w:firstLine="1940"/>
        <w:spacing w:after="0" w:line="247" w:lineRule="auto"/>
        <w:tabs>
          <w:tab w:leader="none" w:pos="2592" w:val="left"/>
        </w:tabs>
        <w:numPr>
          <w:ilvl w:val="0"/>
          <w:numId w:val="351"/>
        </w:numPr>
        <w:rPr>
          <w:rFonts w:ascii="Arial" w:cs="Arial" w:eastAsia="Arial" w:hAnsi="Arial"/>
          <w:sz w:val="22"/>
          <w:szCs w:val="22"/>
          <w:color w:val="auto"/>
        </w:rPr>
      </w:pPr>
      <w:r>
        <w:rPr>
          <w:rFonts w:ascii="Arial" w:cs="Arial" w:eastAsia="Arial" w:hAnsi="Arial"/>
          <w:sz w:val="22"/>
          <w:szCs w:val="22"/>
          <w:u w:val="single" w:color="auto"/>
          <w:color w:val="auto"/>
        </w:rPr>
        <w:t>Notice of Breach</w:t>
      </w:r>
      <w:r>
        <w:rPr>
          <w:rFonts w:ascii="Arial" w:cs="Arial" w:eastAsia="Arial" w:hAnsi="Arial"/>
          <w:sz w:val="22"/>
          <w:szCs w:val="22"/>
          <w:color w:val="auto"/>
        </w:rPr>
        <w:t>. The representations and warranties set forth in this Section 4.2 shall survive the pledge of the Collateral to the Collateral Agent and the termination of the rights and obligations of the Servicer. Upon discovery by the Borrower, the Servicer or Credit Acceptance, or upon written notice or actual knowledge by a Responsible Officer of the Collateral Agent or the Backup Servicer, of a breach of any of the representations and warranties set forth herein, the party discovering, receiving notice of or having actual knowledge, as applicable, of such breach shall give prompt written notice to the other parties of such breach.</w:t>
      </w:r>
    </w:p>
    <w:p>
      <w:pPr>
        <w:spacing w:after="0" w:line="233"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Representations and Warranties of the Servicer</w:t>
      </w:r>
      <w:r>
        <w:rPr>
          <w:rFonts w:ascii="Arial" w:cs="Arial" w:eastAsia="Arial" w:hAnsi="Arial"/>
          <w:sz w:val="19"/>
          <w:szCs w:val="19"/>
          <w:color w:val="auto"/>
        </w:rPr>
        <w:t>. The Servicer represents and warrants as follows 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Effective Date and each Funding Date:</w:t>
      </w:r>
    </w:p>
    <w:p>
      <w:pPr>
        <w:spacing w:after="0" w:line="242" w:lineRule="exact"/>
        <w:rPr>
          <w:sz w:val="20"/>
          <w:szCs w:val="20"/>
          <w:color w:val="auto"/>
        </w:rPr>
      </w:pPr>
    </w:p>
    <w:p>
      <w:pPr>
        <w:jc w:val="both"/>
        <w:ind w:left="120" w:right="40" w:firstLine="1940"/>
        <w:spacing w:after="0" w:line="302" w:lineRule="auto"/>
        <w:tabs>
          <w:tab w:leader="none" w:pos="2601" w:val="left"/>
        </w:tabs>
        <w:numPr>
          <w:ilvl w:val="0"/>
          <w:numId w:val="352"/>
        </w:numPr>
        <w:rPr>
          <w:rFonts w:ascii="Arial" w:cs="Arial" w:eastAsia="Arial" w:hAnsi="Arial"/>
          <w:sz w:val="19"/>
          <w:szCs w:val="19"/>
          <w:color w:val="auto"/>
        </w:rPr>
      </w:pP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The Servicer has been duly organized and is validly existing as a corporation in good standing under the laws of the State of Michigan, with all requisite corporate power and authority to own or lease its properties and to conduct its business as such business is presently conducted and to enter into and perform its obligations pursuant to this Agreement and the other Transaction Documents to which it is a party.</w:t>
      </w:r>
    </w:p>
    <w:p>
      <w:pPr>
        <w:spacing w:after="0" w:line="250" w:lineRule="exact"/>
        <w:rPr>
          <w:rFonts w:ascii="Arial" w:cs="Arial" w:eastAsia="Arial" w:hAnsi="Arial"/>
          <w:sz w:val="19"/>
          <w:szCs w:val="19"/>
          <w:color w:val="auto"/>
        </w:rPr>
      </w:pPr>
    </w:p>
    <w:p>
      <w:pPr>
        <w:jc w:val="both"/>
        <w:ind w:left="120" w:firstLine="1940"/>
        <w:spacing w:after="0" w:line="271" w:lineRule="auto"/>
        <w:tabs>
          <w:tab w:leader="none" w:pos="2599" w:val="left"/>
        </w:tabs>
        <w:numPr>
          <w:ilvl w:val="0"/>
          <w:numId w:val="352"/>
        </w:numPr>
        <w:rPr>
          <w:rFonts w:ascii="Arial" w:cs="Arial" w:eastAsia="Arial" w:hAnsi="Arial"/>
          <w:sz w:val="21"/>
          <w:szCs w:val="21"/>
          <w:color w:val="auto"/>
        </w:rPr>
      </w:pPr>
      <w:r>
        <w:rPr>
          <w:rFonts w:ascii="Arial" w:cs="Arial" w:eastAsia="Arial" w:hAnsi="Arial"/>
          <w:sz w:val="21"/>
          <w:szCs w:val="21"/>
          <w:u w:val="single" w:color="auto"/>
          <w:color w:val="auto"/>
        </w:rPr>
        <w:t>Due Qualification</w:t>
      </w:r>
      <w:r>
        <w:rPr>
          <w:rFonts w:ascii="Arial" w:cs="Arial" w:eastAsia="Arial" w:hAnsi="Arial"/>
          <w:sz w:val="21"/>
          <w:szCs w:val="21"/>
          <w:color w:val="auto"/>
        </w:rPr>
        <w:t>. The Servicer is duly qualified to do business as a corporation and is in good standing as a corporation, and has obtained all necessary licenses and approvals in all jurisdictions in which the ownership or lease of its property and or the conduct of its business requires such qualification, licenses or approvals.</w:t>
      </w:r>
    </w:p>
    <w:p>
      <w:pPr>
        <w:spacing w:after="0" w:line="194" w:lineRule="exact"/>
        <w:rPr>
          <w:rFonts w:ascii="Arial" w:cs="Arial" w:eastAsia="Arial" w:hAnsi="Arial"/>
          <w:sz w:val="21"/>
          <w:szCs w:val="21"/>
          <w:color w:val="auto"/>
        </w:rPr>
      </w:pPr>
    </w:p>
    <w:p>
      <w:pPr>
        <w:jc w:val="both"/>
        <w:ind w:left="120" w:firstLine="1940"/>
        <w:spacing w:after="0" w:line="247" w:lineRule="auto"/>
        <w:tabs>
          <w:tab w:leader="none" w:pos="2601" w:val="left"/>
        </w:tabs>
        <w:numPr>
          <w:ilvl w:val="0"/>
          <w:numId w:val="352"/>
        </w:numPr>
        <w:rPr>
          <w:rFonts w:ascii="Arial" w:cs="Arial" w:eastAsia="Arial" w:hAnsi="Arial"/>
          <w:sz w:val="22"/>
          <w:szCs w:val="22"/>
          <w:color w:val="auto"/>
        </w:rPr>
      </w:pPr>
      <w:r>
        <w:rPr>
          <w:rFonts w:ascii="Arial" w:cs="Arial" w:eastAsia="Arial" w:hAnsi="Arial"/>
          <w:sz w:val="22"/>
          <w:szCs w:val="22"/>
          <w:u w:val="single" w:color="auto"/>
          <w:color w:val="auto"/>
        </w:rPr>
        <w:t>Power and Authority; Due Authorization</w:t>
      </w:r>
      <w:r>
        <w:rPr>
          <w:rFonts w:ascii="Arial" w:cs="Arial" w:eastAsia="Arial" w:hAnsi="Arial"/>
          <w:sz w:val="22"/>
          <w:szCs w:val="22"/>
          <w:color w:val="auto"/>
        </w:rPr>
        <w:t>. The Servicer (i) has all necessary power, authority and legal right to (A) execute and deliver this Agreement and the other Transaction Documents to which it is a party and (B) carry out the terms of this Agreement and the other Transaction Documents to which it is a party, and (ii) has duly authorized by all necessary corporate action the execution, delivery and performance of this Agreement and the other Transaction Documents to which it is a party. This Agreement and each other Transaction Document to which it is a party have been duly executed and delivered by the Servicer.</w:t>
      </w:r>
    </w:p>
    <w:p>
      <w:pPr>
        <w:spacing w:after="0" w:line="233" w:lineRule="exact"/>
        <w:rPr>
          <w:rFonts w:ascii="Arial" w:cs="Arial" w:eastAsia="Arial" w:hAnsi="Arial"/>
          <w:sz w:val="22"/>
          <w:szCs w:val="22"/>
          <w:color w:val="auto"/>
        </w:rPr>
      </w:pPr>
    </w:p>
    <w:p>
      <w:pPr>
        <w:jc w:val="both"/>
        <w:ind w:left="120" w:right="20" w:firstLine="1940"/>
        <w:spacing w:after="0" w:line="250" w:lineRule="auto"/>
        <w:tabs>
          <w:tab w:leader="none" w:pos="2599" w:val="left"/>
        </w:tabs>
        <w:numPr>
          <w:ilvl w:val="0"/>
          <w:numId w:val="352"/>
        </w:numPr>
        <w:rPr>
          <w:rFonts w:ascii="Arial" w:cs="Arial" w:eastAsia="Arial" w:hAnsi="Arial"/>
          <w:sz w:val="22"/>
          <w:szCs w:val="22"/>
          <w:color w:val="auto"/>
        </w:rPr>
      </w:pPr>
      <w:r>
        <w:rPr>
          <w:rFonts w:ascii="Arial" w:cs="Arial" w:eastAsia="Arial" w:hAnsi="Arial"/>
          <w:sz w:val="22"/>
          <w:szCs w:val="22"/>
          <w:u w:val="single" w:color="auto"/>
          <w:color w:val="auto"/>
        </w:rPr>
        <w:t>Binding Obligation</w:t>
      </w:r>
      <w:r>
        <w:rPr>
          <w:rFonts w:ascii="Arial" w:cs="Arial" w:eastAsia="Arial" w:hAnsi="Arial"/>
          <w:sz w:val="22"/>
          <w:szCs w:val="22"/>
          <w:color w:val="auto"/>
        </w:rPr>
        <w:t>. This Agreement and each other Transaction Document to which the Servicer is a party constitutes a legal, valid and binding obligation of the Servicer, each enforceable against the Servicer in accordance with its terms, subject to the effect of bankruptcy, insolvency, reorganization, or other similar laws affecting the enforcement of creditors’ rights generally and to general principles of equity.</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66</w:t>
      </w:r>
    </w:p>
    <w:p>
      <w:pPr>
        <w:sectPr>
          <w:pgSz w:w="11900" w:h="16838" w:orient="portrait"/>
          <w:cols w:equalWidth="0" w:num="1">
            <w:col w:w="11140"/>
          </w:cols>
          <w:pgMar w:left="320" w:top="712" w:right="439" w:bottom="1440" w:gutter="0" w:footer="0" w:header="0"/>
        </w:sectPr>
      </w:pPr>
    </w:p>
    <w:bookmarkStart w:id="334" w:name="page335"/>
    <w:bookmarkEnd w:id="334"/>
    <w:p>
      <w:pPr>
        <w:jc w:val="both"/>
        <w:ind w:left="120" w:firstLine="1940"/>
        <w:spacing w:after="0" w:line="286" w:lineRule="auto"/>
        <w:tabs>
          <w:tab w:leader="none" w:pos="2601" w:val="left"/>
        </w:tabs>
        <w:numPr>
          <w:ilvl w:val="1"/>
          <w:numId w:val="353"/>
        </w:numPr>
        <w:rPr>
          <w:rFonts w:ascii="Arial" w:cs="Arial" w:eastAsia="Arial" w:hAnsi="Arial"/>
          <w:sz w:val="19"/>
          <w:szCs w:val="19"/>
          <w:color w:val="auto"/>
        </w:rPr>
      </w:pPr>
      <w:r>
        <w:rPr>
          <w:rFonts w:ascii="Arial" w:cs="Arial" w:eastAsia="Arial" w:hAnsi="Arial"/>
          <w:sz w:val="19"/>
          <w:szCs w:val="19"/>
          <w:u w:val="single" w:color="auto"/>
          <w:color w:val="auto"/>
        </w:rPr>
        <w:t>No Violation</w:t>
      </w:r>
      <w:r>
        <w:rPr>
          <w:rFonts w:ascii="Arial" w:cs="Arial" w:eastAsia="Arial" w:hAnsi="Arial"/>
          <w:sz w:val="19"/>
          <w:szCs w:val="19"/>
          <w:color w:val="auto"/>
        </w:rPr>
        <w:t>. The consummation of the transactions contemplated by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Servicer’s articles of incorporation, bylaws or any Contractual Obligation of the Servicer,</w:t>
      </w:r>
    </w:p>
    <w:p>
      <w:pPr>
        <w:spacing w:after="0" w:line="2" w:lineRule="exact"/>
        <w:rPr>
          <w:rFonts w:ascii="Arial" w:cs="Arial" w:eastAsia="Arial" w:hAnsi="Arial"/>
          <w:sz w:val="19"/>
          <w:szCs w:val="19"/>
          <w:color w:val="auto"/>
        </w:rPr>
      </w:pPr>
    </w:p>
    <w:p>
      <w:pPr>
        <w:ind w:left="120" w:right="300" w:hanging="4"/>
        <w:spacing w:after="0" w:line="246" w:lineRule="auto"/>
        <w:tabs>
          <w:tab w:leader="none" w:pos="652" w:val="left"/>
        </w:tabs>
        <w:numPr>
          <w:ilvl w:val="0"/>
          <w:numId w:val="354"/>
        </w:numPr>
        <w:rPr>
          <w:rFonts w:ascii="Arial" w:cs="Arial" w:eastAsia="Arial" w:hAnsi="Arial"/>
          <w:sz w:val="22"/>
          <w:szCs w:val="22"/>
          <w:color w:val="auto"/>
        </w:rPr>
      </w:pPr>
      <w:r>
        <w:rPr>
          <w:rFonts w:ascii="Arial" w:cs="Arial" w:eastAsia="Arial" w:hAnsi="Arial"/>
          <w:sz w:val="22"/>
          <w:szCs w:val="22"/>
          <w:color w:val="auto"/>
        </w:rPr>
        <w:t>result in the creation or imposition of any Lien upon any of the Servicer’s properties pursuant to the terms of any such Contractual Obligation, or (iii) violate any Applicable Law.</w:t>
      </w:r>
    </w:p>
    <w:p>
      <w:pPr>
        <w:spacing w:after="0" w:line="232" w:lineRule="exact"/>
        <w:rPr>
          <w:rFonts w:ascii="Arial" w:cs="Arial" w:eastAsia="Arial" w:hAnsi="Arial"/>
          <w:sz w:val="22"/>
          <w:szCs w:val="22"/>
          <w:color w:val="auto"/>
        </w:rPr>
      </w:pPr>
    </w:p>
    <w:p>
      <w:pPr>
        <w:jc w:val="both"/>
        <w:ind w:left="120" w:firstLine="1940"/>
        <w:spacing w:after="0" w:line="297" w:lineRule="auto"/>
        <w:tabs>
          <w:tab w:leader="none" w:pos="2605" w:val="left"/>
        </w:tabs>
        <w:numPr>
          <w:ilvl w:val="1"/>
          <w:numId w:val="354"/>
        </w:numPr>
        <w:rPr>
          <w:rFonts w:ascii="Arial" w:cs="Arial" w:eastAsia="Arial" w:hAnsi="Arial"/>
          <w:sz w:val="19"/>
          <w:szCs w:val="19"/>
          <w:color w:val="auto"/>
        </w:rPr>
      </w:pPr>
      <w:r>
        <w:rPr>
          <w:rFonts w:ascii="Arial" w:cs="Arial" w:eastAsia="Arial" w:hAnsi="Arial"/>
          <w:sz w:val="19"/>
          <w:szCs w:val="19"/>
          <w:u w:val="single" w:color="auto"/>
          <w:color w:val="auto"/>
        </w:rPr>
        <w:t>No Proceedings</w:t>
      </w:r>
      <w:r>
        <w:rPr>
          <w:rFonts w:ascii="Arial" w:cs="Arial" w:eastAsia="Arial" w:hAnsi="Arial"/>
          <w:sz w:val="19"/>
          <w:szCs w:val="19"/>
          <w:color w:val="auto"/>
        </w:rPr>
        <w:t>. There is no litigation, proceeding or investigation pending or, to the best knowledge of the Servicer, threatened against the Servicer, before any Governmental Authority (i) asserting the invalidity of this Agreement or any other Transaction Document to which the Servicer is a party, (ii) seeking to prevent the consummation of any of the transactions contemplated by this Agreement or any other Transaction Document to which the Servicer is a party or (iii) seeking any determination or ruling that could reasonably be expected to have a Material Adverse Effect.</w:t>
      </w:r>
    </w:p>
    <w:p>
      <w:pPr>
        <w:spacing w:after="0" w:line="173" w:lineRule="exact"/>
        <w:rPr>
          <w:rFonts w:ascii="Arial" w:cs="Arial" w:eastAsia="Arial" w:hAnsi="Arial"/>
          <w:sz w:val="19"/>
          <w:szCs w:val="19"/>
          <w:color w:val="auto"/>
        </w:rPr>
      </w:pPr>
    </w:p>
    <w:p>
      <w:pPr>
        <w:jc w:val="both"/>
        <w:ind w:left="120" w:right="40" w:firstLine="1940"/>
        <w:spacing w:after="0" w:line="265" w:lineRule="auto"/>
        <w:tabs>
          <w:tab w:leader="none" w:pos="2599" w:val="left"/>
        </w:tabs>
        <w:numPr>
          <w:ilvl w:val="1"/>
          <w:numId w:val="354"/>
        </w:numPr>
        <w:rPr>
          <w:rFonts w:ascii="Arial" w:cs="Arial" w:eastAsia="Arial" w:hAnsi="Arial"/>
          <w:sz w:val="21"/>
          <w:szCs w:val="21"/>
          <w:color w:val="auto"/>
        </w:rPr>
      </w:pPr>
      <w:r>
        <w:rPr>
          <w:rFonts w:ascii="Arial" w:cs="Arial" w:eastAsia="Arial" w:hAnsi="Arial"/>
          <w:sz w:val="21"/>
          <w:szCs w:val="21"/>
          <w:u w:val="single" w:color="auto"/>
          <w:color w:val="auto"/>
        </w:rPr>
        <w:t>All Consents Required</w:t>
      </w:r>
      <w:r>
        <w:rPr>
          <w:rFonts w:ascii="Arial" w:cs="Arial" w:eastAsia="Arial" w:hAnsi="Arial"/>
          <w:sz w:val="21"/>
          <w:szCs w:val="21"/>
          <w:color w:val="auto"/>
        </w:rPr>
        <w:t>. All approvals, authorizations, consents, orders or other actions of any Person or of any Governmental Authority (if any) required for the due execution, delivery and performance by the Servicer of this Agreement and any other Transaction Document to which the Servicer is a party have been obtained except where the failure to so obtain is not reasonably expected to result in a Material Adverse Effect.</w:t>
      </w:r>
    </w:p>
    <w:p>
      <w:pPr>
        <w:spacing w:after="0" w:line="215" w:lineRule="exact"/>
        <w:rPr>
          <w:rFonts w:ascii="Arial" w:cs="Arial" w:eastAsia="Arial" w:hAnsi="Arial"/>
          <w:sz w:val="21"/>
          <w:szCs w:val="21"/>
          <w:color w:val="auto"/>
        </w:rPr>
      </w:pPr>
    </w:p>
    <w:p>
      <w:pPr>
        <w:jc w:val="both"/>
        <w:ind w:left="120" w:right="40" w:firstLine="1940"/>
        <w:spacing w:after="0" w:line="250" w:lineRule="auto"/>
        <w:tabs>
          <w:tab w:leader="none" w:pos="2599" w:val="left"/>
        </w:tabs>
        <w:numPr>
          <w:ilvl w:val="1"/>
          <w:numId w:val="354"/>
        </w:numPr>
        <w:rPr>
          <w:rFonts w:ascii="Arial" w:cs="Arial" w:eastAsia="Arial" w:hAnsi="Arial"/>
          <w:sz w:val="22"/>
          <w:szCs w:val="22"/>
          <w:color w:val="auto"/>
        </w:rPr>
      </w:pPr>
      <w:r>
        <w:rPr>
          <w:rFonts w:ascii="Arial" w:cs="Arial" w:eastAsia="Arial" w:hAnsi="Arial"/>
          <w:sz w:val="22"/>
          <w:szCs w:val="22"/>
          <w:u w:val="single" w:color="auto"/>
          <w:color w:val="auto"/>
        </w:rPr>
        <w:t>Reports Accurate</w:t>
      </w:r>
      <w:r>
        <w:rPr>
          <w:rFonts w:ascii="Arial" w:cs="Arial" w:eastAsia="Arial" w:hAnsi="Arial"/>
          <w:sz w:val="22"/>
          <w:szCs w:val="22"/>
          <w:color w:val="auto"/>
        </w:rPr>
        <w:t>. All Monthly Reports and other written and electronic information, exhibits, financial statements, documents, books, records or reports furnished by the Servicer to the Deal Agent, the Backup Servicer, the Collateral Agent or any Lender in connection with this Agreement are accurate, true, complete and correct in all material respects as of the date delivered.</w:t>
      </w:r>
    </w:p>
    <w:p>
      <w:pPr>
        <w:spacing w:after="0" w:line="228" w:lineRule="exact"/>
        <w:rPr>
          <w:rFonts w:ascii="Arial" w:cs="Arial" w:eastAsia="Arial" w:hAnsi="Arial"/>
          <w:sz w:val="22"/>
          <w:szCs w:val="22"/>
          <w:color w:val="auto"/>
        </w:rPr>
      </w:pPr>
    </w:p>
    <w:p>
      <w:pPr>
        <w:jc w:val="both"/>
        <w:ind w:left="120" w:right="60" w:firstLine="1940"/>
        <w:spacing w:after="0" w:line="253" w:lineRule="auto"/>
        <w:tabs>
          <w:tab w:leader="none" w:pos="2592" w:val="left"/>
        </w:tabs>
        <w:numPr>
          <w:ilvl w:val="1"/>
          <w:numId w:val="354"/>
        </w:numPr>
        <w:rPr>
          <w:rFonts w:ascii="Arial" w:cs="Arial" w:eastAsia="Arial" w:hAnsi="Arial"/>
          <w:sz w:val="22"/>
          <w:szCs w:val="22"/>
          <w:color w:val="auto"/>
        </w:rPr>
      </w:pPr>
      <w:r>
        <w:rPr>
          <w:rFonts w:ascii="Arial" w:cs="Arial" w:eastAsia="Arial" w:hAnsi="Arial"/>
          <w:sz w:val="22"/>
          <w:szCs w:val="22"/>
          <w:u w:val="single" w:color="auto"/>
          <w:color w:val="auto"/>
        </w:rPr>
        <w:t>Servicer’s Performance</w:t>
      </w:r>
      <w:r>
        <w:rPr>
          <w:rFonts w:ascii="Arial" w:cs="Arial" w:eastAsia="Arial" w:hAnsi="Arial"/>
          <w:sz w:val="22"/>
          <w:szCs w:val="22"/>
          <w:color w:val="auto"/>
        </w:rPr>
        <w:t>. The Servicer has the knowledge, the experience and the systems, financial and operational capacity available to timely perform each of its obligations hereunder and under each other Transaction Document to which it is a party.</w:t>
      </w:r>
    </w:p>
    <w:p>
      <w:pPr>
        <w:spacing w:after="0" w:line="212" w:lineRule="exact"/>
        <w:rPr>
          <w:rFonts w:ascii="Arial" w:cs="Arial" w:eastAsia="Arial" w:hAnsi="Arial"/>
          <w:sz w:val="22"/>
          <w:szCs w:val="22"/>
          <w:color w:val="auto"/>
        </w:rPr>
      </w:pPr>
    </w:p>
    <w:p>
      <w:pPr>
        <w:ind w:left="120" w:right="200" w:firstLine="1940"/>
        <w:spacing w:after="0" w:line="253" w:lineRule="auto"/>
        <w:tabs>
          <w:tab w:leader="none" w:pos="2592" w:val="left"/>
        </w:tabs>
        <w:numPr>
          <w:ilvl w:val="1"/>
          <w:numId w:val="354"/>
        </w:numPr>
        <w:rPr>
          <w:rFonts w:ascii="Arial" w:cs="Arial" w:eastAsia="Arial" w:hAnsi="Arial"/>
          <w:sz w:val="22"/>
          <w:szCs w:val="22"/>
          <w:color w:val="auto"/>
        </w:rPr>
      </w:pPr>
      <w:r>
        <w:rPr>
          <w:rFonts w:ascii="Arial" w:cs="Arial" w:eastAsia="Arial" w:hAnsi="Arial"/>
          <w:sz w:val="22"/>
          <w:szCs w:val="22"/>
          <w:u w:val="single" w:color="auto"/>
          <w:color w:val="auto"/>
        </w:rPr>
        <w:t>Compliance With Credit Guidelines and Collection Guidelines</w:t>
      </w:r>
      <w:r>
        <w:rPr>
          <w:rFonts w:ascii="Arial" w:cs="Arial" w:eastAsia="Arial" w:hAnsi="Arial"/>
          <w:sz w:val="22"/>
          <w:szCs w:val="22"/>
          <w:color w:val="auto"/>
        </w:rPr>
        <w:t>. The Servicer has, with respect to the Loans and Contracts, complied in all material respects with the Credit Guidelines and the Collection Guidelines or otherwise as required by Applicable Law.</w:t>
      </w:r>
    </w:p>
    <w:p>
      <w:pPr>
        <w:spacing w:after="0" w:line="226" w:lineRule="exact"/>
        <w:rPr>
          <w:sz w:val="20"/>
          <w:szCs w:val="20"/>
          <w:color w:val="auto"/>
        </w:rPr>
      </w:pPr>
    </w:p>
    <w:p>
      <w:pPr>
        <w:ind w:left="120" w:right="180" w:firstLine="648"/>
        <w:spacing w:after="0" w:line="263"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Representations and Warranties of the Backup Servicer</w:t>
      </w:r>
      <w:r>
        <w:rPr>
          <w:rFonts w:ascii="Arial" w:cs="Arial" w:eastAsia="Arial" w:hAnsi="Arial"/>
          <w:sz w:val="22"/>
          <w:szCs w:val="22"/>
          <w:color w:val="auto"/>
        </w:rPr>
        <w:t>. The Backup Servicer represents and warrants as follows:</w:t>
      </w:r>
    </w:p>
    <w:p>
      <w:pPr>
        <w:spacing w:after="0" w:line="202" w:lineRule="exact"/>
        <w:rPr>
          <w:sz w:val="20"/>
          <w:szCs w:val="20"/>
          <w:color w:val="auto"/>
        </w:rPr>
      </w:pPr>
    </w:p>
    <w:p>
      <w:pPr>
        <w:jc w:val="both"/>
        <w:ind w:left="120" w:right="40" w:firstLine="1940"/>
        <w:spacing w:after="0" w:line="248" w:lineRule="auto"/>
        <w:tabs>
          <w:tab w:leader="none" w:pos="2601" w:val="left"/>
        </w:tabs>
        <w:numPr>
          <w:ilvl w:val="0"/>
          <w:numId w:val="355"/>
        </w:numPr>
        <w:rPr>
          <w:rFonts w:ascii="Arial" w:cs="Arial" w:eastAsia="Arial" w:hAnsi="Arial"/>
          <w:sz w:val="22"/>
          <w:szCs w:val="22"/>
          <w:color w:val="auto"/>
        </w:rPr>
      </w:pP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The Backup Servicer has been duly organized, and is validly existing as a national banking association and in good standing under the laws of the United States of America, with all requisite power and authority to own or lease its properties and to conduct its business as such business is presently conducted and to enter into and perform its obligations pursuant to this Agreement and each other Transaction Document to which it is a party.</w:t>
      </w:r>
    </w:p>
    <w:p>
      <w:pPr>
        <w:spacing w:after="0" w:line="232" w:lineRule="exact"/>
        <w:rPr>
          <w:rFonts w:ascii="Arial" w:cs="Arial" w:eastAsia="Arial" w:hAnsi="Arial"/>
          <w:sz w:val="22"/>
          <w:szCs w:val="22"/>
          <w:color w:val="auto"/>
        </w:rPr>
      </w:pPr>
    </w:p>
    <w:p>
      <w:pPr>
        <w:ind w:left="120" w:right="40" w:firstLine="1940"/>
        <w:spacing w:after="0" w:line="256" w:lineRule="auto"/>
        <w:tabs>
          <w:tab w:leader="none" w:pos="2599" w:val="left"/>
        </w:tabs>
        <w:numPr>
          <w:ilvl w:val="0"/>
          <w:numId w:val="355"/>
        </w:numPr>
        <w:rPr>
          <w:rFonts w:ascii="Arial" w:cs="Arial" w:eastAsia="Arial" w:hAnsi="Arial"/>
          <w:sz w:val="22"/>
          <w:szCs w:val="22"/>
          <w:color w:val="auto"/>
        </w:rPr>
      </w:pPr>
      <w:r>
        <w:rPr>
          <w:rFonts w:ascii="Arial" w:cs="Arial" w:eastAsia="Arial" w:hAnsi="Arial"/>
          <w:sz w:val="22"/>
          <w:szCs w:val="22"/>
          <w:u w:val="single" w:color="auto"/>
          <w:color w:val="auto"/>
        </w:rPr>
        <w:t>Binding Obligation</w:t>
      </w:r>
      <w:r>
        <w:rPr>
          <w:rFonts w:ascii="Arial" w:cs="Arial" w:eastAsia="Arial" w:hAnsi="Arial"/>
          <w:sz w:val="22"/>
          <w:szCs w:val="22"/>
          <w:color w:val="auto"/>
        </w:rPr>
        <w:t>. This Agreement and each other Transaction Document to which it is a party constitutes a legal, valid and binding obligation of the Backup</w:t>
      </w:r>
    </w:p>
    <w:p>
      <w:pPr>
        <w:spacing w:after="0"/>
        <w:rPr>
          <w:sz w:val="20"/>
          <w:szCs w:val="20"/>
          <w:color w:val="auto"/>
        </w:rPr>
      </w:pPr>
      <w:r>
        <w:rPr>
          <w:rFonts w:ascii="Arial" w:cs="Arial" w:eastAsia="Arial" w:hAnsi="Arial"/>
          <w:sz w:val="22"/>
          <w:szCs w:val="22"/>
          <w:u w:val="single" w:color="auto"/>
          <w:color w:val="auto"/>
        </w:rPr>
        <w:t>67</w:t>
      </w:r>
    </w:p>
    <w:p>
      <w:pPr>
        <w:sectPr>
          <w:pgSz w:w="11900" w:h="16838" w:orient="portrait"/>
          <w:cols w:equalWidth="0" w:num="1">
            <w:col w:w="11140"/>
          </w:cols>
          <w:pgMar w:left="320" w:top="1428" w:right="439" w:bottom="1440" w:gutter="0" w:footer="0" w:header="0"/>
        </w:sectPr>
      </w:pPr>
    </w:p>
    <w:bookmarkStart w:id="335" w:name="page336"/>
    <w:bookmarkEnd w:id="335"/>
    <w:p>
      <w:pPr>
        <w:jc w:val="both"/>
        <w:ind w:left="120" w:right="40"/>
        <w:spacing w:after="0" w:line="250" w:lineRule="auto"/>
        <w:rPr>
          <w:sz w:val="20"/>
          <w:szCs w:val="20"/>
          <w:color w:val="auto"/>
        </w:rPr>
      </w:pPr>
      <w:r>
        <w:rPr>
          <w:rFonts w:ascii="Arial" w:cs="Arial" w:eastAsia="Arial" w:hAnsi="Arial"/>
          <w:sz w:val="22"/>
          <w:szCs w:val="22"/>
          <w:color w:val="auto"/>
        </w:rPr>
        <w:t>Servicer, each enforceable against the Backup Servicer in accordance with its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spacing w:after="0" w:line="228" w:lineRule="exact"/>
        <w:rPr>
          <w:sz w:val="20"/>
          <w:szCs w:val="20"/>
          <w:color w:val="auto"/>
        </w:rPr>
      </w:pPr>
    </w:p>
    <w:p>
      <w:pPr>
        <w:ind w:left="120" w:right="20" w:firstLine="1940"/>
        <w:spacing w:after="0" w:line="263" w:lineRule="auto"/>
        <w:tabs>
          <w:tab w:leader="none" w:pos="2601" w:val="left"/>
        </w:tabs>
        <w:numPr>
          <w:ilvl w:val="0"/>
          <w:numId w:val="356"/>
        </w:numPr>
        <w:rPr>
          <w:rFonts w:ascii="Arial" w:cs="Arial" w:eastAsia="Arial" w:hAnsi="Arial"/>
          <w:sz w:val="22"/>
          <w:szCs w:val="22"/>
          <w:color w:val="auto"/>
        </w:rPr>
      </w:pPr>
      <w:r>
        <w:rPr>
          <w:rFonts w:ascii="Arial" w:cs="Arial" w:eastAsia="Arial" w:hAnsi="Arial"/>
          <w:sz w:val="22"/>
          <w:szCs w:val="22"/>
          <w:u w:val="single" w:color="auto"/>
          <w:color w:val="auto"/>
        </w:rPr>
        <w:t>Backup Servicing Agreement</w:t>
      </w:r>
      <w:r>
        <w:rPr>
          <w:rFonts w:ascii="Arial" w:cs="Arial" w:eastAsia="Arial" w:hAnsi="Arial"/>
          <w:sz w:val="22"/>
          <w:szCs w:val="22"/>
          <w:color w:val="auto"/>
        </w:rPr>
        <w:t>. The Backup Servicer hereby remakes the representations and warranties made by it under the Backup Servicing Agreement.</w:t>
      </w:r>
    </w:p>
    <w:p>
      <w:pPr>
        <w:spacing w:after="0" w:line="202"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Breach of Representations and Warranties</w:t>
      </w:r>
      <w:r>
        <w:rPr>
          <w:rFonts w:ascii="Arial" w:cs="Arial" w:eastAsia="Arial" w:hAnsi="Arial"/>
          <w:sz w:val="19"/>
          <w:szCs w:val="19"/>
          <w:color w:val="auto"/>
        </w:rPr>
        <w:t>.</w:t>
      </w:r>
    </w:p>
    <w:p>
      <w:pPr>
        <w:spacing w:after="0" w:line="260" w:lineRule="exact"/>
        <w:rPr>
          <w:sz w:val="20"/>
          <w:szCs w:val="20"/>
          <w:color w:val="auto"/>
        </w:rPr>
      </w:pPr>
    </w:p>
    <w:p>
      <w:pPr>
        <w:jc w:val="both"/>
        <w:ind w:left="120" w:firstLine="1940"/>
        <w:spacing w:after="0" w:line="284" w:lineRule="auto"/>
        <w:tabs>
          <w:tab w:leader="none" w:pos="2601" w:val="left"/>
        </w:tabs>
        <w:numPr>
          <w:ilvl w:val="0"/>
          <w:numId w:val="357"/>
        </w:numPr>
        <w:rPr>
          <w:rFonts w:ascii="Arial" w:cs="Arial" w:eastAsia="Arial" w:hAnsi="Arial"/>
          <w:sz w:val="19"/>
          <w:szCs w:val="19"/>
          <w:color w:val="auto"/>
        </w:rPr>
      </w:pPr>
      <w:r>
        <w:rPr>
          <w:rFonts w:ascii="Arial" w:cs="Arial" w:eastAsia="Arial" w:hAnsi="Arial"/>
          <w:sz w:val="19"/>
          <w:szCs w:val="19"/>
          <w:u w:val="single" w:color="auto"/>
          <w:color w:val="auto"/>
        </w:rPr>
        <w:t>Payment in respect of an Ineligible Loan or an Ineligible Contract</w:t>
      </w:r>
      <w:r>
        <w:rPr>
          <w:rFonts w:ascii="Arial" w:cs="Arial" w:eastAsia="Arial" w:hAnsi="Arial"/>
          <w:sz w:val="19"/>
          <w:szCs w:val="19"/>
          <w:color w:val="auto"/>
        </w:rPr>
        <w:t xml:space="preserve">. If a Loan or a Contract is an Ineligible Loan or Ineligible Contract, no later than the earlier of (i) knowledge by the Borrower of such Loan or Contract being an Ineligible Loan or Ineligible Contract and (ii) receipt by the Borrower from the Deal Agent, the Collateral Agent or the Servicer of written notice thereof the Borrower shall, by the last day of the first full Collection Period following the discovery or notice thereof, make a payment to the Collection Account in respect of each such Loan or Contract in an amount equal to the related Release Price. Any such Loan or Contract shall for all purposes of this Agreement be deemed to be an Ineligible Loan or Ineligible Contract. The Borrower shall make a deposit to the Collection Account (for allocation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in immediately available funds of an amount (the “</w:t>
      </w:r>
      <w:r>
        <w:rPr>
          <w:rFonts w:ascii="Arial" w:cs="Arial" w:eastAsia="Arial" w:hAnsi="Arial"/>
          <w:sz w:val="19"/>
          <w:szCs w:val="19"/>
          <w:u w:val="single" w:color="auto"/>
          <w:color w:val="auto"/>
        </w:rPr>
        <w:t>Release Price</w:t>
      </w:r>
      <w:r>
        <w:rPr>
          <w:rFonts w:ascii="Arial" w:cs="Arial" w:eastAsia="Arial" w:hAnsi="Arial"/>
          <w:sz w:val="19"/>
          <w:szCs w:val="19"/>
          <w:color w:val="auto"/>
        </w:rPr>
        <w:t xml:space="preserve">”) equal to: (A) in the case of an Ineligible Loan, the product of (x) the Net Loan Balance related to such Loan as of the last day of the related Collection Period and (y) the Net Advance Rate in effect on the date of such payment; and (B) in the case of an Ineligible Contract, the product of (x) the Outstanding Balance related to such Contract as of the last day of the related Collection Period and (y) a ratio the numerator of which is the outstanding Capital as of the date of such payment and the denominator of which is the Outstanding Balance of all Contracts as of the last day of the related Collection Period. Notwithstanding the foregoing, with respect to any Ineligible Contracts, the Borrower may repurchase the Loans related thereto in lieu of such Ineligible Contracts and deposit into the Collection Account the Release Price of such Loans (as if such Loans were Ineligible Loans). Each Loan or Contract which is subject to a payment in accordance with this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shall, upon payment in full of the related Release Price, be released from the lien created pursuant to this Agreement and shall no longer constitute Collateral.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 or Contract subject to a payment in accordance with this </w:t>
      </w:r>
      <w:r>
        <w:rPr>
          <w:rFonts w:ascii="Arial" w:cs="Arial" w:eastAsia="Arial" w:hAnsi="Arial"/>
          <w:sz w:val="19"/>
          <w:szCs w:val="19"/>
          <w:u w:val="single" w:color="auto"/>
          <w:color w:val="auto"/>
        </w:rPr>
        <w:t>Section 4.5(a)</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left="120" w:right="20" w:firstLine="1940"/>
        <w:spacing w:after="0" w:line="247" w:lineRule="auto"/>
        <w:tabs>
          <w:tab w:leader="none" w:pos="2599" w:val="left"/>
        </w:tabs>
        <w:numPr>
          <w:ilvl w:val="0"/>
          <w:numId w:val="357"/>
        </w:numPr>
        <w:rPr>
          <w:rFonts w:ascii="Arial" w:cs="Arial" w:eastAsia="Arial" w:hAnsi="Arial"/>
          <w:sz w:val="22"/>
          <w:szCs w:val="22"/>
          <w:color w:val="auto"/>
        </w:rPr>
      </w:pPr>
      <w:r>
        <w:rPr>
          <w:rFonts w:ascii="Arial" w:cs="Arial" w:eastAsia="Arial" w:hAnsi="Arial"/>
          <w:sz w:val="22"/>
          <w:szCs w:val="22"/>
          <w:u w:val="single" w:color="auto"/>
          <w:color w:val="auto"/>
        </w:rPr>
        <w:t>Retransfer of All of the Loans</w:t>
      </w:r>
      <w:r>
        <w:rPr>
          <w:rFonts w:ascii="Arial" w:cs="Arial" w:eastAsia="Arial" w:hAnsi="Arial"/>
          <w:sz w:val="22"/>
          <w:szCs w:val="22"/>
          <w:color w:val="auto"/>
        </w:rPr>
        <w:t xml:space="preserve">. In the event of a breach of any representation or warranty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hereof which breach could reasonably be expected to have a Material Adverse Effect, by notice then given in writing to the Borrower, the Deal Agent may direct the Borrower to accept the release by the Collateral Agent of all of the Loans (as directed in writing by the Deal Agent), in which case the Borrower shall be obligated to accept the release of such Loans on a Payment Date specified by the Deal Agent (such date, the “</w:t>
      </w:r>
      <w:r>
        <w:rPr>
          <w:rFonts w:ascii="Arial" w:cs="Arial" w:eastAsia="Arial" w:hAnsi="Arial"/>
          <w:sz w:val="22"/>
          <w:szCs w:val="22"/>
          <w:u w:val="single" w:color="auto"/>
          <w:color w:val="auto"/>
        </w:rPr>
        <w:t>Release Date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release shall be given effect unless the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68</w:t>
      </w:r>
    </w:p>
    <w:p>
      <w:pPr>
        <w:sectPr>
          <w:pgSz w:w="11900" w:h="16838" w:orient="portrait"/>
          <w:cols w:equalWidth="0" w:num="1">
            <w:col w:w="11140"/>
          </w:cols>
          <w:pgMar w:left="320" w:top="1428" w:right="439" w:bottom="1440" w:gutter="0" w:footer="0" w:header="0"/>
        </w:sectPr>
      </w:pPr>
    </w:p>
    <w:bookmarkStart w:id="336" w:name="page337"/>
    <w:bookmarkEnd w:id="336"/>
    <w:p>
      <w:pPr>
        <w:ind w:left="120" w:right="20"/>
        <w:spacing w:after="0" w:line="288" w:lineRule="auto"/>
        <w:rPr>
          <w:sz w:val="20"/>
          <w:szCs w:val="20"/>
          <w:color w:val="auto"/>
        </w:rPr>
      </w:pPr>
      <w:r>
        <w:rPr>
          <w:rFonts w:ascii="Arial" w:cs="Arial" w:eastAsia="Arial" w:hAnsi="Arial"/>
          <w:sz w:val="19"/>
          <w:szCs w:val="19"/>
          <w:color w:val="auto"/>
        </w:rPr>
        <w:t>Borrower has complied with the terms of any Hedging Agreement requiring that any derivative transaction related thereto be terminated in whole or in part and the Borrower has paid all Hedge Costs due with respect to such termination. The Borrower shall deposit in the Collection Account on the Release Date an amount equal to: (A) the Aggregate Unpaids minus (B) the amount, if any, available in the Collection Account and the Reserve Account on such Payment Date (the “</w:t>
      </w:r>
      <w:r>
        <w:rPr>
          <w:rFonts w:ascii="Arial" w:cs="Arial" w:eastAsia="Arial" w:hAnsi="Arial"/>
          <w:sz w:val="19"/>
          <w:szCs w:val="19"/>
          <w:u w:val="single" w:color="auto"/>
          <w:color w:val="auto"/>
        </w:rPr>
        <w:t>Retransfer Amount</w:t>
      </w:r>
      <w:r>
        <w:rPr>
          <w:rFonts w:ascii="Arial" w:cs="Arial" w:eastAsia="Arial" w:hAnsi="Arial"/>
          <w:sz w:val="19"/>
          <w:szCs w:val="19"/>
          <w:color w:val="auto"/>
        </w:rPr>
        <w:t xml:space="preserve">”) for allocation and distribution in accordance with </w:t>
      </w:r>
      <w:r>
        <w:rPr>
          <w:rFonts w:ascii="Arial" w:cs="Arial" w:eastAsia="Arial" w:hAnsi="Arial"/>
          <w:sz w:val="19"/>
          <w:szCs w:val="19"/>
          <w:u w:val="single" w:color="auto"/>
          <w:color w:val="auto"/>
        </w:rPr>
        <w:t>Section 2.7</w:t>
      </w:r>
      <w:r>
        <w:rPr>
          <w:rFonts w:ascii="Arial" w:cs="Arial" w:eastAsia="Arial" w:hAnsi="Arial"/>
          <w:sz w:val="19"/>
          <w:szCs w:val="19"/>
          <w:color w:val="auto"/>
        </w:rPr>
        <w:t>. On the Release Date, provided that the full Retransfer Amount has been deposited into the Collection Account, the Loans and Related Security related thereto shall be transferred to the Borrower; and the Collateral Agent as agent for the Secured Parties shall, at the sole expense of the Servicer, execute and deliver such instruments of transfer, in each case without recourse, representation or warranty, as shall be prepared and reasonably requested by the Servicer on behalf of the Borrower to vest in the Borrower, or its designee or assignee, all right, title and interest of the Collateral Agent as agent for the Secured Parties in, to and under the Loans.</w:t>
      </w:r>
    </w:p>
    <w:p>
      <w:pPr>
        <w:spacing w:after="0" w:line="200" w:lineRule="exact"/>
        <w:rPr>
          <w:sz w:val="20"/>
          <w:szCs w:val="20"/>
          <w:color w:val="auto"/>
        </w:rPr>
      </w:pPr>
    </w:p>
    <w:p>
      <w:pPr>
        <w:ind w:left="1400" w:hanging="636"/>
        <w:spacing w:after="0"/>
        <w:tabs>
          <w:tab w:leader="none" w:pos="1400" w:val="left"/>
        </w:tabs>
        <w:numPr>
          <w:ilvl w:val="0"/>
          <w:numId w:val="358"/>
        </w:numPr>
        <w:rPr>
          <w:rFonts w:ascii="Arial" w:cs="Arial" w:eastAsia="Arial" w:hAnsi="Arial"/>
          <w:sz w:val="22"/>
          <w:szCs w:val="22"/>
          <w:color w:val="auto"/>
        </w:rPr>
      </w:pPr>
      <w:r>
        <w:rPr>
          <w:rFonts w:ascii="Arial" w:cs="Arial" w:eastAsia="Arial" w:hAnsi="Arial"/>
          <w:sz w:val="22"/>
          <w:szCs w:val="22"/>
          <w:color w:val="auto"/>
        </w:rPr>
        <w:t>[Reserved.]</w:t>
      </w:r>
    </w:p>
    <w:p>
      <w:pPr>
        <w:spacing w:after="0" w:line="246" w:lineRule="exact"/>
        <w:rPr>
          <w:rFonts w:ascii="Arial" w:cs="Arial" w:eastAsia="Arial" w:hAnsi="Arial"/>
          <w:sz w:val="22"/>
          <w:szCs w:val="22"/>
          <w:color w:val="auto"/>
        </w:rPr>
      </w:pPr>
    </w:p>
    <w:p>
      <w:pPr>
        <w:jc w:val="both"/>
        <w:ind w:left="120" w:right="20" w:firstLine="644"/>
        <w:spacing w:after="0" w:line="312" w:lineRule="auto"/>
        <w:tabs>
          <w:tab w:leader="none" w:pos="1308" w:val="left"/>
        </w:tabs>
        <w:numPr>
          <w:ilvl w:val="0"/>
          <w:numId w:val="358"/>
        </w:numPr>
        <w:rPr>
          <w:rFonts w:ascii="Arial" w:cs="Arial" w:eastAsia="Arial" w:hAnsi="Arial"/>
          <w:sz w:val="19"/>
          <w:szCs w:val="19"/>
          <w:color w:val="auto"/>
        </w:rPr>
      </w:pPr>
      <w:r>
        <w:rPr>
          <w:rFonts w:ascii="Arial" w:cs="Arial" w:eastAsia="Arial" w:hAnsi="Arial"/>
          <w:sz w:val="19"/>
          <w:szCs w:val="19"/>
          <w:u w:val="single" w:color="auto"/>
          <w:color w:val="auto"/>
        </w:rPr>
        <w:t>Remedy for Breach</w:t>
      </w:r>
      <w:r>
        <w:rPr>
          <w:rFonts w:ascii="Arial" w:cs="Arial" w:eastAsia="Arial" w:hAnsi="Arial"/>
          <w:sz w:val="19"/>
          <w:szCs w:val="19"/>
          <w:color w:val="auto"/>
        </w:rPr>
        <w:t xml:space="preserve">. Notwithstanding anything to the contrary contained in </w:t>
      </w:r>
      <w:r>
        <w:rPr>
          <w:rFonts w:ascii="Arial" w:cs="Arial" w:eastAsia="Arial" w:hAnsi="Arial"/>
          <w:sz w:val="19"/>
          <w:szCs w:val="19"/>
          <w:u w:val="single" w:color="auto"/>
          <w:color w:val="auto"/>
        </w:rPr>
        <w:t>Sections 10.1(e)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10.2</w:t>
      </w:r>
      <w:r>
        <w:rPr>
          <w:rFonts w:ascii="Arial" w:cs="Arial" w:eastAsia="Arial" w:hAnsi="Arial"/>
          <w:sz w:val="19"/>
          <w:szCs w:val="19"/>
          <w:color w:val="auto"/>
        </w:rPr>
        <w:t xml:space="preserve">, the parties hereto agree that the sole remedy for the breach by the Borrower of the representations and warranties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hereof with respect to the eligibility of a Loan or Contract shall be set forth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6.2(c)(ii)</w:t>
      </w:r>
      <w:r>
        <w:rPr>
          <w:rFonts w:ascii="Arial" w:cs="Arial" w:eastAsia="Arial" w:hAnsi="Arial"/>
          <w:sz w:val="19"/>
          <w:szCs w:val="19"/>
          <w:color w:val="auto"/>
        </w:rPr>
        <w:t>.</w:t>
      </w:r>
    </w:p>
    <w:p>
      <w:pPr>
        <w:spacing w:after="0" w:line="173" w:lineRule="exact"/>
        <w:rPr>
          <w:rFonts w:ascii="Arial" w:cs="Arial" w:eastAsia="Arial" w:hAnsi="Arial"/>
          <w:sz w:val="19"/>
          <w:szCs w:val="19"/>
          <w:color w:val="auto"/>
        </w:rPr>
      </w:pPr>
    </w:p>
    <w:p>
      <w:pPr>
        <w:ind w:left="120" w:right="20" w:firstLine="644"/>
        <w:spacing w:after="0" w:line="263" w:lineRule="auto"/>
        <w:tabs>
          <w:tab w:leader="none" w:pos="1296" w:val="left"/>
        </w:tabs>
        <w:numPr>
          <w:ilvl w:val="0"/>
          <w:numId w:val="358"/>
        </w:numPr>
        <w:rPr>
          <w:rFonts w:ascii="Arial" w:cs="Arial" w:eastAsia="Arial" w:hAnsi="Arial"/>
          <w:sz w:val="22"/>
          <w:szCs w:val="22"/>
          <w:color w:val="auto"/>
        </w:rPr>
      </w:pP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Amounts paid in accordance with </w:t>
      </w:r>
      <w:r>
        <w:rPr>
          <w:rFonts w:ascii="Arial" w:cs="Arial" w:eastAsia="Arial" w:hAnsi="Arial"/>
          <w:sz w:val="22"/>
          <w:szCs w:val="22"/>
          <w:u w:val="single" w:color="auto"/>
          <w:color w:val="auto"/>
        </w:rPr>
        <w:t>Section 4.5(a)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be distributed on the next succeeding Payment Date in accordance with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120" w:right="20" w:firstLine="644"/>
        <w:spacing w:after="0" w:line="263" w:lineRule="auto"/>
        <w:tabs>
          <w:tab w:leader="none" w:pos="1309" w:val="left"/>
        </w:tabs>
        <w:numPr>
          <w:ilvl w:val="0"/>
          <w:numId w:val="358"/>
        </w:numPr>
        <w:rPr>
          <w:rFonts w:ascii="Arial" w:cs="Arial" w:eastAsia="Arial" w:hAnsi="Arial"/>
          <w:sz w:val="22"/>
          <w:szCs w:val="22"/>
          <w:color w:val="auto"/>
        </w:rPr>
      </w:pPr>
      <w:r>
        <w:rPr>
          <w:rFonts w:ascii="Arial" w:cs="Arial" w:eastAsia="Arial" w:hAnsi="Arial"/>
          <w:sz w:val="22"/>
          <w:szCs w:val="22"/>
          <w:color w:val="auto"/>
        </w:rPr>
        <w:t xml:space="preserve">Notwithstanding anything herein to the contrary, during the Revolving Period, payments required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4.5(a)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not be required if the Capital is equal to or less than the Borrowing Base.</w:t>
      </w:r>
    </w:p>
    <w:p>
      <w:pPr>
        <w:spacing w:after="0" w:line="28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ARTICLE V GENERAL COVENANTS</w:t>
      </w:r>
    </w:p>
    <w:p>
      <w:pPr>
        <w:spacing w:after="0" w:line="260"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Affirmative Covenants of the Borrower</w:t>
      </w:r>
      <w:r>
        <w:rPr>
          <w:rFonts w:ascii="Arial" w:cs="Arial" w:eastAsia="Arial" w:hAnsi="Arial"/>
          <w:sz w:val="19"/>
          <w:szCs w:val="19"/>
          <w:color w:val="auto"/>
        </w:rPr>
        <w:t>. From the date hereof until the Collection Date:</w:t>
      </w:r>
    </w:p>
    <w:p>
      <w:pPr>
        <w:spacing w:after="0" w:line="328" w:lineRule="exact"/>
        <w:rPr>
          <w:sz w:val="20"/>
          <w:szCs w:val="20"/>
          <w:color w:val="auto"/>
        </w:rPr>
      </w:pPr>
    </w:p>
    <w:p>
      <w:pPr>
        <w:ind w:left="120" w:right="20" w:firstLine="1940"/>
        <w:spacing w:after="0" w:line="263" w:lineRule="auto"/>
        <w:tabs>
          <w:tab w:leader="none" w:pos="2601"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Borrower will comply in all material respects with all Applicable Laws, including those with respect to the Loans and Dealer Agreements.</w:t>
      </w:r>
    </w:p>
    <w:p>
      <w:pPr>
        <w:spacing w:after="0" w:line="282" w:lineRule="exact"/>
        <w:rPr>
          <w:rFonts w:ascii="Arial" w:cs="Arial" w:eastAsia="Arial" w:hAnsi="Arial"/>
          <w:sz w:val="22"/>
          <w:szCs w:val="22"/>
          <w:color w:val="auto"/>
        </w:rPr>
      </w:pPr>
    </w:p>
    <w:p>
      <w:pPr>
        <w:jc w:val="both"/>
        <w:ind w:left="120" w:firstLine="1940"/>
        <w:spacing w:after="0" w:line="246" w:lineRule="auto"/>
        <w:tabs>
          <w:tab w:leader="none" w:pos="2600" w:val="left"/>
        </w:tabs>
        <w:numPr>
          <w:ilvl w:val="0"/>
          <w:numId w:val="359"/>
        </w:numPr>
        <w:rPr>
          <w:rFonts w:ascii="Arial" w:cs="Arial" w:eastAsia="Arial" w:hAnsi="Arial"/>
          <w:sz w:val="22"/>
          <w:szCs w:val="22"/>
          <w:color w:val="auto"/>
        </w:rPr>
      </w:pPr>
      <w:r>
        <w:rPr>
          <w:rFonts w:ascii="Arial" w:cs="Arial" w:eastAsia="Arial" w:hAnsi="Arial"/>
          <w:sz w:val="22"/>
          <w:szCs w:val="22"/>
          <w:u w:val="single" w:color="auto"/>
          <w:color w:val="auto"/>
        </w:rPr>
        <w:t>Preservation of Corporate Existence; Conduct of Business</w:t>
      </w:r>
      <w:r>
        <w:rPr>
          <w:rFonts w:ascii="Arial" w:cs="Arial" w:eastAsia="Arial" w:hAnsi="Arial"/>
          <w:sz w:val="22"/>
          <w:szCs w:val="22"/>
          <w:color w:val="auto"/>
        </w:rPr>
        <w:t>. The Borrower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 The Borrower will carry on and conduct its business in substantially the same manner and in substantially the same fields of enterprise as it is presently conducted and do all things necessary to remain duly incorporated, validly existing and in good standing as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69</w:t>
      </w:r>
    </w:p>
    <w:p>
      <w:pPr>
        <w:sectPr>
          <w:pgSz w:w="11900" w:h="16838" w:orient="portrait"/>
          <w:cols w:equalWidth="0" w:num="1">
            <w:col w:w="11140"/>
          </w:cols>
          <w:pgMar w:left="320" w:top="1428" w:right="439" w:bottom="1440" w:gutter="0" w:footer="0" w:header="0"/>
        </w:sectPr>
      </w:pPr>
    </w:p>
    <w:bookmarkStart w:id="337" w:name="page338"/>
    <w:bookmarkEnd w:id="337"/>
    <w:p>
      <w:pPr>
        <w:ind w:left="100" w:right="340"/>
        <w:spacing w:after="0" w:line="263" w:lineRule="auto"/>
        <w:rPr>
          <w:sz w:val="20"/>
          <w:szCs w:val="20"/>
          <w:color w:val="auto"/>
        </w:rPr>
      </w:pPr>
      <w:r>
        <w:rPr>
          <w:rFonts w:ascii="Arial" w:cs="Arial" w:eastAsia="Arial" w:hAnsi="Arial"/>
          <w:sz w:val="22"/>
          <w:szCs w:val="22"/>
          <w:color w:val="auto"/>
        </w:rPr>
        <w:t>a domestic corporation in its jurisdiction of incorporation and maintain all requisite authority to conduct its business in each jurisdiction in which its business is conducted.</w:t>
      </w:r>
    </w:p>
    <w:p>
      <w:pPr>
        <w:spacing w:after="0" w:line="215" w:lineRule="exact"/>
        <w:rPr>
          <w:sz w:val="20"/>
          <w:szCs w:val="20"/>
          <w:color w:val="auto"/>
        </w:rPr>
      </w:pPr>
    </w:p>
    <w:p>
      <w:pPr>
        <w:jc w:val="both"/>
        <w:ind w:left="100" w:right="60" w:firstLine="1942"/>
        <w:spacing w:after="0" w:line="265" w:lineRule="auto"/>
        <w:tabs>
          <w:tab w:leader="none" w:pos="2594" w:val="left"/>
        </w:tabs>
        <w:numPr>
          <w:ilvl w:val="0"/>
          <w:numId w:val="360"/>
        </w:numPr>
        <w:rPr>
          <w:rFonts w:ascii="Arial" w:cs="Arial" w:eastAsia="Arial" w:hAnsi="Arial"/>
          <w:sz w:val="21"/>
          <w:szCs w:val="21"/>
          <w:color w:val="auto"/>
        </w:rPr>
      </w:pPr>
      <w:r>
        <w:rPr>
          <w:rFonts w:ascii="Arial" w:cs="Arial" w:eastAsia="Arial" w:hAnsi="Arial"/>
          <w:sz w:val="21"/>
          <w:szCs w:val="21"/>
          <w:u w:val="single" w:color="auto"/>
          <w:color w:val="auto"/>
        </w:rPr>
        <w:t>Performance and Compliance with Loans, Dealer Agreements and Contracts</w:t>
      </w:r>
      <w:r>
        <w:rPr>
          <w:rFonts w:ascii="Arial" w:cs="Arial" w:eastAsia="Arial" w:hAnsi="Arial"/>
          <w:sz w:val="21"/>
          <w:szCs w:val="21"/>
          <w:color w:val="auto"/>
        </w:rPr>
        <w:t>. The Borrower will, at its expense, timely and fully perform and comply (or cause the Originator to perform and comply pursuant to the Contribution Agreement) with all provisions, covenants and other promises required to be observed by it under the Loans, Dealer Agreements and Contracts and all other agreements related thereto in all material respects.</w:t>
      </w:r>
    </w:p>
    <w:p>
      <w:pPr>
        <w:spacing w:after="0" w:line="202" w:lineRule="exact"/>
        <w:rPr>
          <w:rFonts w:ascii="Arial" w:cs="Arial" w:eastAsia="Arial" w:hAnsi="Arial"/>
          <w:sz w:val="21"/>
          <w:szCs w:val="21"/>
          <w:color w:val="auto"/>
        </w:rPr>
      </w:pPr>
    </w:p>
    <w:p>
      <w:pPr>
        <w:jc w:val="both"/>
        <w:ind w:left="100" w:right="60" w:firstLine="1942"/>
        <w:spacing w:after="0" w:line="248" w:lineRule="auto"/>
        <w:tabs>
          <w:tab w:leader="none" w:pos="2593"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The Borrower will maintain or cause to be maintained and implement administrative and operating procedures (including, without limitation, an ability to recreate records evidencing Loans in the event of the destruction of the originals thereof), and keep and maintain or cause to be kept and maintained all documents, books, records and other information reasonably necessary or advisable for the collection of all Loans.</w:t>
      </w:r>
    </w:p>
    <w:p>
      <w:pPr>
        <w:spacing w:after="0" w:line="232" w:lineRule="exact"/>
        <w:rPr>
          <w:rFonts w:ascii="Arial" w:cs="Arial" w:eastAsia="Arial" w:hAnsi="Arial"/>
          <w:sz w:val="22"/>
          <w:szCs w:val="22"/>
          <w:color w:val="auto"/>
        </w:rPr>
      </w:pPr>
    </w:p>
    <w:p>
      <w:pPr>
        <w:jc w:val="both"/>
        <w:ind w:left="100" w:firstLine="1942"/>
        <w:spacing w:after="0" w:line="290" w:lineRule="auto"/>
        <w:tabs>
          <w:tab w:leader="none" w:pos="2594" w:val="left"/>
        </w:tabs>
        <w:numPr>
          <w:ilvl w:val="0"/>
          <w:numId w:val="360"/>
        </w:numPr>
        <w:rPr>
          <w:rFonts w:ascii="Arial" w:cs="Arial" w:eastAsia="Arial" w:hAnsi="Arial"/>
          <w:sz w:val="19"/>
          <w:szCs w:val="19"/>
          <w:color w:val="auto"/>
        </w:rPr>
      </w:pPr>
      <w:r>
        <w:rPr>
          <w:rFonts w:ascii="Arial" w:cs="Arial" w:eastAsia="Arial" w:hAnsi="Arial"/>
          <w:sz w:val="19"/>
          <w:szCs w:val="19"/>
          <w:u w:val="single" w:color="auto"/>
          <w:color w:val="auto"/>
        </w:rPr>
        <w:t>Originator Assets</w:t>
      </w:r>
      <w:r>
        <w:rPr>
          <w:rFonts w:ascii="Arial" w:cs="Arial" w:eastAsia="Arial" w:hAnsi="Arial"/>
          <w:sz w:val="19"/>
          <w:szCs w:val="19"/>
          <w:color w:val="auto"/>
        </w:rPr>
        <w:t>. With respect to each Loan acquired by the Borrower, the Borrower will: (i) acquire such Loan pursuant to and in accordance with the terms of the Contribution Agreement; (ii) take all action necessary to perfect, protect and more fully evidence the Borrower’s ownership of such Loan, including, without limitation, (A) filing and maintaining, effective financing statements (Form UCC-1) against the Originator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Deal Agent or the Collateral Agent may reasonably request to perfect, protect and more fully evidence the respective interests of the parties to this Agreement in the Collateral.</w:t>
      </w:r>
    </w:p>
    <w:p>
      <w:pPr>
        <w:spacing w:after="0" w:line="182" w:lineRule="exact"/>
        <w:rPr>
          <w:rFonts w:ascii="Arial" w:cs="Arial" w:eastAsia="Arial" w:hAnsi="Arial"/>
          <w:sz w:val="19"/>
          <w:szCs w:val="19"/>
          <w:color w:val="auto"/>
        </w:rPr>
      </w:pPr>
    </w:p>
    <w:p>
      <w:pPr>
        <w:jc w:val="both"/>
        <w:ind w:left="100" w:right="40" w:firstLine="1942"/>
        <w:spacing w:after="0" w:line="253" w:lineRule="auto"/>
        <w:tabs>
          <w:tab w:leader="none" w:pos="2597"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Delivery of Collections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2.9(d)</w:t>
      </w:r>
      <w:r>
        <w:rPr>
          <w:rFonts w:ascii="Arial" w:cs="Arial" w:eastAsia="Arial" w:hAnsi="Arial"/>
          <w:sz w:val="22"/>
          <w:szCs w:val="22"/>
          <w:color w:val="auto"/>
        </w:rPr>
        <w:t xml:space="preserve"> hereof, the Borrower will deposit or cause to be deposited to the Collection Account promptly (but in no event later than two (2) Business Days after receipt) all Collections received by the Borrower in respect of the Loans or the Contracts.</w:t>
      </w:r>
    </w:p>
    <w:p>
      <w:pPr>
        <w:spacing w:after="0" w:line="225" w:lineRule="exact"/>
        <w:rPr>
          <w:rFonts w:ascii="Arial" w:cs="Arial" w:eastAsia="Arial" w:hAnsi="Arial"/>
          <w:sz w:val="22"/>
          <w:szCs w:val="22"/>
          <w:color w:val="auto"/>
        </w:rPr>
      </w:pPr>
    </w:p>
    <w:p>
      <w:pPr>
        <w:ind w:left="2600" w:hanging="558"/>
        <w:spacing w:after="0"/>
        <w:tabs>
          <w:tab w:leader="none" w:pos="2600" w:val="left"/>
        </w:tabs>
        <w:numPr>
          <w:ilvl w:val="0"/>
          <w:numId w:val="360"/>
        </w:numPr>
        <w:rPr>
          <w:rFonts w:ascii="Arial" w:cs="Arial" w:eastAsia="Arial" w:hAnsi="Arial"/>
          <w:sz w:val="19"/>
          <w:szCs w:val="19"/>
          <w:color w:val="auto"/>
        </w:rPr>
      </w:pPr>
      <w:r>
        <w:rPr>
          <w:rFonts w:ascii="Arial" w:cs="Arial" w:eastAsia="Arial" w:hAnsi="Arial"/>
          <w:sz w:val="19"/>
          <w:szCs w:val="19"/>
          <w:u w:val="single" w:color="auto"/>
          <w:color w:val="auto"/>
        </w:rPr>
        <w:t>Separate Corporate Existence</w:t>
      </w:r>
      <w:r>
        <w:rPr>
          <w:rFonts w:ascii="Arial" w:cs="Arial" w:eastAsia="Arial" w:hAnsi="Arial"/>
          <w:sz w:val="19"/>
          <w:szCs w:val="19"/>
          <w:color w:val="auto"/>
        </w:rPr>
        <w:t>. The Borrower shall be in compliance with the requirements set</w:t>
      </w:r>
    </w:p>
    <w:p>
      <w:pPr>
        <w:spacing w:after="0" w:line="55"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 xml:space="preserve">forth in </w:t>
      </w:r>
      <w:r>
        <w:rPr>
          <w:rFonts w:ascii="Arial" w:cs="Arial" w:eastAsia="Arial" w:hAnsi="Arial"/>
          <w:sz w:val="22"/>
          <w:szCs w:val="22"/>
          <w:u w:val="single" w:color="auto"/>
          <w:color w:val="auto"/>
        </w:rPr>
        <w:t>Section 5.2(o)</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jc w:val="both"/>
        <w:ind w:left="100" w:right="60" w:firstLine="1942"/>
        <w:spacing w:after="0" w:line="253" w:lineRule="auto"/>
        <w:tabs>
          <w:tab w:leader="none" w:pos="2593"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Credit Guidelines and Collection Guidelines</w:t>
      </w:r>
      <w:r>
        <w:rPr>
          <w:rFonts w:ascii="Arial" w:cs="Arial" w:eastAsia="Arial" w:hAnsi="Arial"/>
          <w:sz w:val="22"/>
          <w:szCs w:val="22"/>
          <w:color w:val="auto"/>
        </w:rPr>
        <w:t>. The Borrower will comply in all material respects with the Credit Guidelines and the Collection Guidelines with respect to each Loan and Contract unless otherwise required by Applicable Law.</w:t>
      </w:r>
    </w:p>
    <w:p>
      <w:pPr>
        <w:spacing w:after="0" w:line="212" w:lineRule="exact"/>
        <w:rPr>
          <w:rFonts w:ascii="Arial" w:cs="Arial" w:eastAsia="Arial" w:hAnsi="Arial"/>
          <w:sz w:val="22"/>
          <w:szCs w:val="22"/>
          <w:color w:val="auto"/>
        </w:rPr>
      </w:pPr>
    </w:p>
    <w:p>
      <w:pPr>
        <w:jc w:val="both"/>
        <w:ind w:left="100" w:right="60" w:firstLine="1942"/>
        <w:spacing w:after="0" w:line="312" w:lineRule="auto"/>
        <w:tabs>
          <w:tab w:leader="none" w:pos="2599" w:val="left"/>
        </w:tabs>
        <w:numPr>
          <w:ilvl w:val="0"/>
          <w:numId w:val="360"/>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Borrower will file and pay any and all Taxes imposed upon it or any of its property, income or assets (other than any amount of Tax the validity of which is being contested in good faith by appropriate proceedings and with respect to which reserves in accordance with GAAP have been provided on the books of the Borrower).</w:t>
      </w:r>
    </w:p>
    <w:p>
      <w:pPr>
        <w:spacing w:after="0" w:line="173" w:lineRule="exact"/>
        <w:rPr>
          <w:rFonts w:ascii="Arial" w:cs="Arial" w:eastAsia="Arial" w:hAnsi="Arial"/>
          <w:sz w:val="19"/>
          <w:szCs w:val="19"/>
          <w:color w:val="auto"/>
        </w:rPr>
      </w:pPr>
    </w:p>
    <w:p>
      <w:pPr>
        <w:ind w:left="100" w:right="60" w:firstLine="1942"/>
        <w:spacing w:after="0" w:line="263" w:lineRule="auto"/>
        <w:tabs>
          <w:tab w:leader="none" w:pos="2599" w:val="left"/>
        </w:tabs>
        <w:numPr>
          <w:ilvl w:val="0"/>
          <w:numId w:val="360"/>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Borrower will use the proceeds of the Funding only to acquire Loans pursuant to the Contribution Agreement or to make distributions to Credit Acceptance.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70</w:t>
      </w:r>
    </w:p>
    <w:p>
      <w:pPr>
        <w:sectPr>
          <w:pgSz w:w="11900" w:h="16838" w:orient="portrait"/>
          <w:cols w:equalWidth="0" w:num="1">
            <w:col w:w="11140"/>
          </w:cols>
          <w:pgMar w:left="320" w:top="1428" w:right="439" w:bottom="1440" w:gutter="0" w:footer="0" w:header="0"/>
        </w:sectPr>
      </w:pPr>
    </w:p>
    <w:bookmarkStart w:id="338" w:name="page339"/>
    <w:bookmarkEnd w:id="338"/>
    <w:p>
      <w:pPr>
        <w:jc w:val="both"/>
        <w:ind w:left="700" w:right="160" w:firstLine="1936"/>
        <w:spacing w:after="0" w:line="271" w:lineRule="auto"/>
        <w:tabs>
          <w:tab w:leader="none" w:pos="3247" w:val="left"/>
        </w:tabs>
        <w:numPr>
          <w:ilvl w:val="0"/>
          <w:numId w:val="361"/>
        </w:numPr>
        <w:rPr>
          <w:rFonts w:ascii="Arial" w:cs="Arial" w:eastAsia="Arial" w:hAnsi="Arial"/>
          <w:sz w:val="21"/>
          <w:szCs w:val="21"/>
          <w:color w:val="auto"/>
        </w:rPr>
      </w:pPr>
      <w:r>
        <w:rPr>
          <w:rFonts w:ascii="Arial" w:cs="Arial" w:eastAsia="Arial" w:hAnsi="Arial"/>
          <w:sz w:val="21"/>
          <w:szCs w:val="21"/>
          <w:u w:val="single" w:color="auto"/>
          <w:color w:val="auto"/>
        </w:rPr>
        <w:t>Reporting</w:t>
      </w:r>
      <w:r>
        <w:rPr>
          <w:rFonts w:ascii="Arial" w:cs="Arial" w:eastAsia="Arial" w:hAnsi="Arial"/>
          <w:sz w:val="21"/>
          <w:szCs w:val="21"/>
          <w:color w:val="auto"/>
        </w:rPr>
        <w:t>. The Borrower will maintain for itself a system of accounting established and administered as presented within the audited consolidated financial statements of Credit Acceptance and its subsidiaries and furnish or cause to be furnished to the Deal Agent the following information:</w:t>
      </w:r>
    </w:p>
    <w:p>
      <w:pPr>
        <w:spacing w:after="0" w:line="207" w:lineRule="exact"/>
        <w:rPr>
          <w:rFonts w:ascii="Arial" w:cs="Arial" w:eastAsia="Arial" w:hAnsi="Arial"/>
          <w:sz w:val="21"/>
          <w:szCs w:val="21"/>
          <w:color w:val="auto"/>
        </w:rPr>
      </w:pPr>
    </w:p>
    <w:p>
      <w:pPr>
        <w:ind w:left="3900" w:hanging="616"/>
        <w:spacing w:after="0"/>
        <w:tabs>
          <w:tab w:leader="none" w:pos="3900" w:val="left"/>
        </w:tabs>
        <w:numPr>
          <w:ilvl w:val="1"/>
          <w:numId w:val="3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46" w:lineRule="exact"/>
        <w:rPr>
          <w:rFonts w:ascii="Arial" w:cs="Arial" w:eastAsia="Arial" w:hAnsi="Arial"/>
          <w:sz w:val="22"/>
          <w:szCs w:val="22"/>
          <w:color w:val="auto"/>
        </w:rPr>
      </w:pPr>
    </w:p>
    <w:p>
      <w:pPr>
        <w:jc w:val="both"/>
        <w:ind w:left="700" w:firstLine="2584"/>
        <w:spacing w:after="0" w:line="246" w:lineRule="auto"/>
        <w:tabs>
          <w:tab w:leader="none" w:pos="3899" w:val="left"/>
        </w:tabs>
        <w:numPr>
          <w:ilvl w:val="1"/>
          <w:numId w:val="361"/>
        </w:numPr>
        <w:rPr>
          <w:rFonts w:ascii="Arial" w:cs="Arial" w:eastAsia="Arial" w:hAnsi="Arial"/>
          <w:sz w:val="20"/>
          <w:szCs w:val="20"/>
          <w:color w:val="auto"/>
        </w:rPr>
      </w:pPr>
      <w:r>
        <w:rPr>
          <w:rFonts w:ascii="Arial" w:cs="Arial" w:eastAsia="Arial" w:hAnsi="Arial"/>
          <w:sz w:val="22"/>
          <w:szCs w:val="22"/>
          <w:u w:val="single" w:color="auto"/>
          <w:color w:val="auto"/>
        </w:rPr>
        <w:t>Annual Reporting</w:t>
      </w:r>
      <w:r>
        <w:rPr>
          <w:rFonts w:ascii="Arial" w:cs="Arial" w:eastAsia="Arial" w:hAnsi="Arial"/>
          <w:sz w:val="22"/>
          <w:szCs w:val="22"/>
          <w:color w:val="auto"/>
        </w:rPr>
        <w:t xml:space="preserve">. Within </w:t>
      </w:r>
      <w:r>
        <w:rPr>
          <w:rFonts w:ascii="Arial" w:cs="Arial" w:eastAsia="Arial" w:hAnsi="Arial"/>
          <w:sz w:val="22"/>
          <w:szCs w:val="22"/>
          <w:u w:val="single" w:color="auto"/>
          <w:color w:val="0000FF"/>
        </w:rPr>
        <w:t>the later of (x)</w:t>
      </w:r>
      <w:r>
        <w:rPr>
          <w:rFonts w:ascii="Arial" w:cs="Arial" w:eastAsia="Arial" w:hAnsi="Arial"/>
          <w:sz w:val="22"/>
          <w:szCs w:val="22"/>
          <w:color w:val="auto"/>
        </w:rPr>
        <w:t xml:space="preserve"> 120 days after the close of the Borrower’s and Credit Acceptance’s fiscal years </w:t>
      </w:r>
      <w:r>
        <w:rPr>
          <w:rFonts w:ascii="Arial" w:cs="Arial" w:eastAsia="Arial" w:hAnsi="Arial"/>
          <w:sz w:val="22"/>
          <w:szCs w:val="22"/>
          <w:u w:val="single" w:color="auto"/>
          <w:color w:val="0000FF"/>
        </w:rPr>
        <w:t>or (y) the date any such reports or financial statements are required to be publicly</w:t>
      </w:r>
      <w:r>
        <w:rPr>
          <w:rFonts w:ascii="Arial" w:cs="Arial" w:eastAsia="Arial" w:hAnsi="Arial"/>
          <w:sz w:val="22"/>
          <w:szCs w:val="22"/>
          <w:color w:val="auto"/>
        </w:rPr>
        <w:t xml:space="preserve"> </w:t>
      </w:r>
      <w:r>
        <w:rPr>
          <w:rFonts w:ascii="Arial" w:cs="Arial" w:eastAsia="Arial" w:hAnsi="Arial"/>
          <w:sz w:val="22"/>
          <w:szCs w:val="22"/>
          <w:u w:val="single" w:color="auto"/>
          <w:color w:val="0000FF"/>
        </w:rPr>
        <w:t>filed with the SEC</w:t>
      </w:r>
      <w:r>
        <w:rPr>
          <w:rFonts w:ascii="Arial" w:cs="Arial" w:eastAsia="Arial" w:hAnsi="Arial"/>
          <w:sz w:val="22"/>
          <w:szCs w:val="22"/>
          <w:color w:val="000000"/>
        </w:rPr>
        <w:t>, (A) audited financial statements for Credit Acceptance and all of its Subsidiaries, accompanied by an</w:t>
      </w:r>
      <w:r>
        <w:rPr>
          <w:rFonts w:ascii="Arial" w:cs="Arial" w:eastAsia="Arial" w:hAnsi="Arial"/>
          <w:sz w:val="22"/>
          <w:szCs w:val="22"/>
          <w:color w:val="0000FF"/>
        </w:rPr>
        <w:t xml:space="preserve"> </w:t>
      </w:r>
      <w:r>
        <w:rPr>
          <w:rFonts w:ascii="Arial" w:cs="Arial" w:eastAsia="Arial" w:hAnsi="Arial"/>
          <w:sz w:val="22"/>
          <w:szCs w:val="22"/>
          <w:color w:val="000000"/>
        </w:rPr>
        <w:t>unqualified audit report certified by independent certified public accountants, prepared in accordance with GAAP on a consolidated basis and any management letter prepared by said accountants, and acceptable to the Deal Agent, and (B) unaudited financial statements for the Borrower, including balance sheets as of the end of such period and related statements of operations;</w:t>
      </w:r>
    </w:p>
    <w:p>
      <w:pPr>
        <w:spacing w:after="0" w:line="223" w:lineRule="exact"/>
        <w:rPr>
          <w:rFonts w:ascii="Arial" w:cs="Arial" w:eastAsia="Arial" w:hAnsi="Arial"/>
          <w:sz w:val="20"/>
          <w:szCs w:val="20"/>
          <w:color w:val="auto"/>
        </w:rPr>
      </w:pPr>
    </w:p>
    <w:p>
      <w:pPr>
        <w:jc w:val="both"/>
        <w:ind w:left="700" w:firstLine="2584"/>
        <w:spacing w:after="0" w:line="245" w:lineRule="auto"/>
        <w:tabs>
          <w:tab w:leader="none" w:pos="3900" w:val="left"/>
        </w:tabs>
        <w:numPr>
          <w:ilvl w:val="1"/>
          <w:numId w:val="361"/>
        </w:numPr>
        <w:rPr>
          <w:rFonts w:ascii="Arial" w:cs="Arial" w:eastAsia="Arial" w:hAnsi="Arial"/>
          <w:sz w:val="20"/>
          <w:szCs w:val="20"/>
          <w:color w:val="auto"/>
        </w:rPr>
      </w:pPr>
      <w:r>
        <w:rPr>
          <w:rFonts w:ascii="Arial" w:cs="Arial" w:eastAsia="Arial" w:hAnsi="Arial"/>
          <w:sz w:val="22"/>
          <w:szCs w:val="22"/>
          <w:u w:val="single" w:color="auto"/>
          <w:color w:val="auto"/>
        </w:rPr>
        <w:t>Quarterly Reporting</w:t>
      </w:r>
      <w:r>
        <w:rPr>
          <w:rFonts w:ascii="Arial" w:cs="Arial" w:eastAsia="Arial" w:hAnsi="Arial"/>
          <w:sz w:val="22"/>
          <w:szCs w:val="22"/>
          <w:color w:val="auto"/>
        </w:rPr>
        <w:t xml:space="preserve">. Within </w:t>
      </w:r>
      <w:r>
        <w:rPr>
          <w:rFonts w:ascii="Arial" w:cs="Arial" w:eastAsia="Arial" w:hAnsi="Arial"/>
          <w:sz w:val="22"/>
          <w:szCs w:val="22"/>
          <w:u w:val="single" w:color="auto"/>
          <w:color w:val="0000FF"/>
        </w:rPr>
        <w:t>the later of (x)</w:t>
      </w:r>
      <w:r>
        <w:rPr>
          <w:rFonts w:ascii="Arial" w:cs="Arial" w:eastAsia="Arial" w:hAnsi="Arial"/>
          <w:sz w:val="22"/>
          <w:szCs w:val="22"/>
          <w:color w:val="auto"/>
        </w:rPr>
        <w:t xml:space="preserve"> sixty (60) days after the close of the first three quarterly periods of each of the Borrower’s and Credit Acceptance’s fiscal years </w:t>
      </w:r>
      <w:r>
        <w:rPr>
          <w:rFonts w:ascii="Arial" w:cs="Arial" w:eastAsia="Arial" w:hAnsi="Arial"/>
          <w:sz w:val="22"/>
          <w:szCs w:val="22"/>
          <w:u w:val="single" w:color="auto"/>
          <w:color w:val="0000FF"/>
        </w:rPr>
        <w:t>or (y) the date any such reports or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financial statements are required to be publicly filed with the SEC</w:t>
      </w:r>
      <w:r>
        <w:rPr>
          <w:rFonts w:ascii="Arial" w:cs="Arial" w:eastAsia="Arial" w:hAnsi="Arial"/>
          <w:sz w:val="22"/>
          <w:szCs w:val="22"/>
          <w:color w:val="000000"/>
        </w:rPr>
        <w:t>, (</w:t>
      </w:r>
      <w:r>
        <w:rPr>
          <w:rFonts w:ascii="Arial" w:cs="Arial" w:eastAsia="Arial" w:hAnsi="Arial"/>
          <w:sz w:val="22"/>
          <w:szCs w:val="22"/>
          <w:color w:val="FF0000"/>
          <w:strike w:val="1"/>
        </w:rPr>
        <w:t>x</w:t>
      </w:r>
      <w:r>
        <w:rPr>
          <w:rFonts w:ascii="Arial" w:cs="Arial" w:eastAsia="Arial" w:hAnsi="Arial"/>
          <w:sz w:val="22"/>
          <w:szCs w:val="22"/>
          <w:u w:val="single" w:color="auto"/>
          <w:color w:val="0000FF"/>
        </w:rPr>
        <w:t>A</w:t>
      </w:r>
      <w:r>
        <w:rPr>
          <w:rFonts w:ascii="Arial" w:cs="Arial" w:eastAsia="Arial" w:hAnsi="Arial"/>
          <w:sz w:val="22"/>
          <w:szCs w:val="22"/>
          <w:color w:val="000000"/>
        </w:rPr>
        <w:t>) for Credit Acceptance and its Subsidiaries,</w:t>
      </w:r>
      <w:r>
        <w:rPr>
          <w:rFonts w:ascii="Arial" w:cs="Arial" w:eastAsia="Arial" w:hAnsi="Arial"/>
          <w:sz w:val="22"/>
          <w:szCs w:val="22"/>
          <w:color w:val="0000FF"/>
        </w:rPr>
        <w:t xml:space="preserve"> </w:t>
      </w:r>
      <w:r>
        <w:rPr>
          <w:rFonts w:ascii="Arial" w:cs="Arial" w:eastAsia="Arial" w:hAnsi="Arial"/>
          <w:sz w:val="22"/>
          <w:szCs w:val="22"/>
          <w:color w:val="000000"/>
        </w:rPr>
        <w:t>consolidated unaudited balance sheets as at the close of each such period and consolidated related statements of operations, shareholder’s equity and cash flows for the period from the beginning of such fiscal year to the end of such quarter, and (</w:t>
      </w:r>
      <w:r>
        <w:rPr>
          <w:rFonts w:ascii="Arial" w:cs="Arial" w:eastAsia="Arial" w:hAnsi="Arial"/>
          <w:sz w:val="22"/>
          <w:szCs w:val="22"/>
          <w:color w:val="FF0000"/>
          <w:strike w:val="1"/>
        </w:rPr>
        <w:t>y</w:t>
      </w:r>
      <w:r>
        <w:rPr>
          <w:rFonts w:ascii="Arial" w:cs="Arial" w:eastAsia="Arial" w:hAnsi="Arial"/>
          <w:sz w:val="22"/>
          <w:szCs w:val="22"/>
          <w:u w:val="single" w:color="auto"/>
          <w:color w:val="0000FF"/>
        </w:rPr>
        <w:t>B</w:t>
      </w:r>
      <w:r>
        <w:rPr>
          <w:rFonts w:ascii="Arial" w:cs="Arial" w:eastAsia="Arial" w:hAnsi="Arial"/>
          <w:sz w:val="22"/>
          <w:szCs w:val="22"/>
          <w:color w:val="000000"/>
        </w:rPr>
        <w:t>) for the Borrower, consolidated unaudited balance sheets as at the close of each such period and consolidated related statements of operations for the period from the beginning of such fiscal year to the end of such quarter, in each case, all certified by its chief financial officer or treasurer as true, accurate and complete in all material respects;</w:t>
      </w:r>
    </w:p>
    <w:p>
      <w:pPr>
        <w:spacing w:after="0" w:line="308" w:lineRule="exact"/>
        <w:rPr>
          <w:rFonts w:ascii="Arial" w:cs="Arial" w:eastAsia="Arial" w:hAnsi="Arial"/>
          <w:sz w:val="20"/>
          <w:szCs w:val="20"/>
          <w:color w:val="auto"/>
        </w:rPr>
      </w:pPr>
    </w:p>
    <w:p>
      <w:pPr>
        <w:jc w:val="both"/>
        <w:ind w:left="700" w:right="140" w:firstLine="2584"/>
        <w:spacing w:after="0" w:line="297" w:lineRule="auto"/>
        <w:tabs>
          <w:tab w:leader="none" w:pos="3901" w:val="left"/>
        </w:tabs>
        <w:numPr>
          <w:ilvl w:val="1"/>
          <w:numId w:val="361"/>
        </w:numPr>
        <w:rPr>
          <w:rFonts w:ascii="Arial" w:cs="Arial" w:eastAsia="Arial" w:hAnsi="Arial"/>
          <w:sz w:val="19"/>
          <w:szCs w:val="19"/>
          <w:color w:val="auto"/>
        </w:rPr>
      </w:pPr>
      <w:r>
        <w:rPr>
          <w:rFonts w:ascii="Arial" w:cs="Arial" w:eastAsia="Arial" w:hAnsi="Arial"/>
          <w:sz w:val="19"/>
          <w:szCs w:val="19"/>
          <w:u w:val="single" w:color="auto"/>
          <w:color w:val="auto"/>
        </w:rPr>
        <w:t>Compliance Certificate</w:t>
      </w:r>
      <w:r>
        <w:rPr>
          <w:rFonts w:ascii="Arial" w:cs="Arial" w:eastAsia="Arial" w:hAnsi="Arial"/>
          <w:sz w:val="19"/>
          <w:szCs w:val="19"/>
          <w:color w:val="auto"/>
        </w:rPr>
        <w:t>. Together with the financial statements required hereunder, a compliance certificate signed by Credit Acceptance’s chief financial officer or treasurer stating that (x) the attached financial statements have been prepared in accordance with GAAP and accurately reflect the financial condition of Credit Acceptance and (y) to the best of such Person’s knowledge, no Termination Event or Unmatured Termination Event exists, or if any Termination Event or Unmatured Termination Event exists, stating the nature and status thereof;</w:t>
      </w:r>
    </w:p>
    <w:p>
      <w:pPr>
        <w:spacing w:after="0" w:line="173" w:lineRule="exact"/>
        <w:rPr>
          <w:rFonts w:ascii="Arial" w:cs="Arial" w:eastAsia="Arial" w:hAnsi="Arial"/>
          <w:sz w:val="19"/>
          <w:szCs w:val="19"/>
          <w:color w:val="auto"/>
        </w:rPr>
      </w:pPr>
    </w:p>
    <w:p>
      <w:pPr>
        <w:jc w:val="both"/>
        <w:ind w:left="700" w:right="140" w:firstLine="2584"/>
        <w:spacing w:after="0" w:line="312" w:lineRule="auto"/>
        <w:tabs>
          <w:tab w:leader="none" w:pos="3895" w:val="left"/>
        </w:tabs>
        <w:numPr>
          <w:ilvl w:val="1"/>
          <w:numId w:val="361"/>
        </w:numPr>
        <w:rPr>
          <w:rFonts w:ascii="Arial" w:cs="Arial" w:eastAsia="Arial" w:hAnsi="Arial"/>
          <w:sz w:val="19"/>
          <w:szCs w:val="19"/>
          <w:color w:val="auto"/>
        </w:rPr>
      </w:pPr>
      <w:r>
        <w:rPr>
          <w:rFonts w:ascii="Arial" w:cs="Arial" w:eastAsia="Arial" w:hAnsi="Arial"/>
          <w:sz w:val="19"/>
          <w:szCs w:val="19"/>
          <w:u w:val="single" w:color="auto"/>
          <w:color w:val="auto"/>
        </w:rPr>
        <w:t>Shareholders Statements and Reports</w:t>
      </w:r>
      <w:r>
        <w:rPr>
          <w:rFonts w:ascii="Arial" w:cs="Arial" w:eastAsia="Arial" w:hAnsi="Arial"/>
          <w:sz w:val="19"/>
          <w:szCs w:val="19"/>
          <w:color w:val="auto"/>
        </w:rPr>
        <w:t>. Promptly upon the furnishing thereof to the shareholders of the Borrower or Credit Acceptance, copies of all financial statements, reports and proxy statements so furnished, to the extent such information has not been provided pursuant to another clause of this Section 5.1(k);</w:t>
      </w:r>
    </w:p>
    <w:p>
      <w:pPr>
        <w:spacing w:after="0" w:line="173" w:lineRule="exact"/>
        <w:rPr>
          <w:rFonts w:ascii="Arial" w:cs="Arial" w:eastAsia="Arial" w:hAnsi="Arial"/>
          <w:sz w:val="19"/>
          <w:szCs w:val="19"/>
          <w:color w:val="auto"/>
        </w:rPr>
      </w:pPr>
    </w:p>
    <w:p>
      <w:pPr>
        <w:jc w:val="both"/>
        <w:ind w:left="700" w:right="100" w:firstLine="2584"/>
        <w:spacing w:after="0" w:line="253" w:lineRule="auto"/>
        <w:tabs>
          <w:tab w:leader="none" w:pos="3901" w:val="left"/>
        </w:tabs>
        <w:numPr>
          <w:ilvl w:val="1"/>
          <w:numId w:val="361"/>
        </w:numPr>
        <w:rPr>
          <w:rFonts w:ascii="Arial" w:cs="Arial" w:eastAsia="Arial" w:hAnsi="Arial"/>
          <w:sz w:val="22"/>
          <w:szCs w:val="22"/>
          <w:color w:val="auto"/>
        </w:rPr>
      </w:pPr>
      <w:r>
        <w:rPr>
          <w:rFonts w:ascii="Arial" w:cs="Arial" w:eastAsia="Arial" w:hAnsi="Arial"/>
          <w:sz w:val="22"/>
          <w:szCs w:val="22"/>
          <w:color w:val="FF0000"/>
          <w:strike w:val="1"/>
        </w:rPr>
        <w:t>S.E.C.</w:t>
      </w:r>
      <w:r>
        <w:rPr>
          <w:rFonts w:ascii="Arial" w:cs="Arial" w:eastAsia="Arial" w:hAnsi="Arial"/>
          <w:sz w:val="22"/>
          <w:szCs w:val="22"/>
          <w:color w:val="0000FF"/>
        </w:rPr>
        <w:t>SEC</w:t>
      </w:r>
      <w:r>
        <w:rPr>
          <w:rFonts w:ascii="Arial" w:cs="Arial" w:eastAsia="Arial" w:hAnsi="Arial"/>
          <w:sz w:val="22"/>
          <w:szCs w:val="22"/>
          <w:color w:val="FF0000"/>
        </w:rPr>
        <w:t xml:space="preserve"> </w:t>
      </w:r>
      <w:r>
        <w:rPr>
          <w:rFonts w:ascii="Arial" w:cs="Arial" w:eastAsia="Arial" w:hAnsi="Arial"/>
          <w:sz w:val="22"/>
          <w:szCs w:val="22"/>
          <w:color w:val="000000"/>
        </w:rPr>
        <w:t>Filings. Promptly upon the filing thereof, copies of all registration</w:t>
      </w:r>
      <w:r>
        <w:rPr>
          <w:rFonts w:ascii="Arial" w:cs="Arial" w:eastAsia="Arial" w:hAnsi="Arial"/>
          <w:sz w:val="22"/>
          <w:szCs w:val="22"/>
          <w:color w:val="FF0000"/>
        </w:rPr>
        <w:t xml:space="preserve"> </w:t>
      </w:r>
      <w:r>
        <w:rPr>
          <w:rFonts w:ascii="Arial" w:cs="Arial" w:eastAsia="Arial" w:hAnsi="Arial"/>
          <w:sz w:val="22"/>
          <w:szCs w:val="22"/>
          <w:color w:val="000000"/>
        </w:rPr>
        <w:t xml:space="preserve">statements and annual, quarterly, monthly or other regular reports which Credit Acceptance or any subsidiary files with the </w:t>
      </w:r>
      <w:r>
        <w:rPr>
          <w:rFonts w:ascii="Arial" w:cs="Arial" w:eastAsia="Arial" w:hAnsi="Arial"/>
          <w:sz w:val="22"/>
          <w:szCs w:val="22"/>
          <w:color w:val="FF0000"/>
          <w:strike w:val="1"/>
        </w:rPr>
        <w:t>Securities and Exchange Commission</w:t>
      </w:r>
      <w:r>
        <w:rPr>
          <w:rFonts w:ascii="Arial" w:cs="Arial" w:eastAsia="Arial" w:hAnsi="Arial"/>
          <w:sz w:val="22"/>
          <w:szCs w:val="22"/>
          <w:u w:val="single" w:color="auto"/>
          <w:color w:val="0000FF"/>
        </w:rPr>
        <w:t>SEC</w:t>
      </w:r>
      <w:r>
        <w:rPr>
          <w:rFonts w:ascii="Arial" w:cs="Arial" w:eastAsia="Arial" w:hAnsi="Arial"/>
          <w:sz w:val="22"/>
          <w:szCs w:val="22"/>
          <w:color w:val="000000"/>
        </w:rPr>
        <w:t>;</w:t>
      </w:r>
    </w:p>
    <w:p>
      <w:pPr>
        <w:spacing w:after="0" w:line="225" w:lineRule="exact"/>
        <w:rPr>
          <w:rFonts w:ascii="Arial" w:cs="Arial" w:eastAsia="Arial" w:hAnsi="Arial"/>
          <w:sz w:val="22"/>
          <w:szCs w:val="22"/>
          <w:color w:val="auto"/>
        </w:rPr>
      </w:pPr>
    </w:p>
    <w:p>
      <w:pPr>
        <w:ind w:left="700" w:right="160" w:firstLine="2584"/>
        <w:spacing w:after="0" w:line="263" w:lineRule="auto"/>
        <w:tabs>
          <w:tab w:leader="none" w:pos="3893" w:val="left"/>
        </w:tabs>
        <w:numPr>
          <w:ilvl w:val="1"/>
          <w:numId w:val="361"/>
        </w:numPr>
        <w:rPr>
          <w:rFonts w:ascii="Arial" w:cs="Arial" w:eastAsia="Arial" w:hAnsi="Arial"/>
          <w:sz w:val="22"/>
          <w:szCs w:val="22"/>
          <w:color w:val="auto"/>
        </w:rPr>
      </w:pPr>
      <w:r>
        <w:rPr>
          <w:rFonts w:ascii="Arial" w:cs="Arial" w:eastAsia="Arial" w:hAnsi="Arial"/>
          <w:sz w:val="22"/>
          <w:szCs w:val="22"/>
          <w:u w:val="single" w:color="auto"/>
          <w:color w:val="auto"/>
        </w:rPr>
        <w:t>Notice of Termination Events or Unmatured Termination Events</w:t>
      </w:r>
      <w:r>
        <w:rPr>
          <w:rFonts w:ascii="Arial" w:cs="Arial" w:eastAsia="Arial" w:hAnsi="Arial"/>
          <w:sz w:val="22"/>
          <w:szCs w:val="22"/>
          <w:color w:val="auto"/>
        </w:rPr>
        <w:t>. As soon as possible and in any event within two (2) days after the occurrence of each</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71</w:t>
      </w:r>
    </w:p>
    <w:p>
      <w:pPr>
        <w:sectPr>
          <w:pgSz w:w="11900" w:h="16838" w:orient="portrait"/>
          <w:cols w:equalWidth="0" w:num="1">
            <w:col w:w="11240"/>
          </w:cols>
          <w:pgMar w:left="320" w:top="1428" w:right="339" w:bottom="1440" w:gutter="0" w:footer="0" w:header="0"/>
        </w:sectPr>
      </w:pPr>
    </w:p>
    <w:bookmarkStart w:id="339" w:name="page340"/>
    <w:bookmarkEnd w:id="339"/>
    <w:p>
      <w:pPr>
        <w:jc w:val="both"/>
        <w:ind w:left="120"/>
        <w:spacing w:after="0" w:line="253" w:lineRule="auto"/>
        <w:rPr>
          <w:sz w:val="20"/>
          <w:szCs w:val="20"/>
          <w:color w:val="auto"/>
        </w:rPr>
      </w:pPr>
      <w:r>
        <w:rPr>
          <w:rFonts w:ascii="Arial" w:cs="Arial" w:eastAsia="Arial" w:hAnsi="Arial"/>
          <w:sz w:val="22"/>
          <w:szCs w:val="22"/>
          <w:color w:val="auto"/>
        </w:rPr>
        <w:t>Termination Event or each Unmatured Termination Event, a statement of the chief financial officer or treasurer of the Borrower setting forth details of such Termination Event or Unmatured Termination Event and the action which the Borrower proposes to take with respect thereto;</w:t>
      </w:r>
    </w:p>
    <w:p>
      <w:pPr>
        <w:spacing w:after="0" w:line="226" w:lineRule="exact"/>
        <w:rPr>
          <w:sz w:val="20"/>
          <w:szCs w:val="20"/>
          <w:color w:val="auto"/>
        </w:rPr>
      </w:pPr>
    </w:p>
    <w:p>
      <w:pPr>
        <w:jc w:val="both"/>
        <w:ind w:left="120" w:right="40" w:firstLine="2588"/>
        <w:spacing w:after="0" w:line="253" w:lineRule="auto"/>
        <w:tabs>
          <w:tab w:leader="none" w:pos="3253" w:val="left"/>
        </w:tabs>
        <w:numPr>
          <w:ilvl w:val="1"/>
          <w:numId w:val="362"/>
        </w:numPr>
        <w:rPr>
          <w:rFonts w:ascii="Arial" w:cs="Arial" w:eastAsia="Arial" w:hAnsi="Arial"/>
          <w:sz w:val="22"/>
          <w:szCs w:val="22"/>
          <w:color w:val="auto"/>
        </w:rPr>
      </w:pPr>
      <w:r>
        <w:rPr>
          <w:rFonts w:ascii="Arial" w:cs="Arial" w:eastAsia="Arial" w:hAnsi="Arial"/>
          <w:sz w:val="22"/>
          <w:szCs w:val="22"/>
          <w:u w:val="single" w:color="auto"/>
          <w:color w:val="auto"/>
        </w:rPr>
        <w:t>Change in Collection Guidelines</w:t>
      </w:r>
      <w:r>
        <w:rPr>
          <w:rFonts w:ascii="Arial" w:cs="Arial" w:eastAsia="Arial" w:hAnsi="Arial"/>
          <w:sz w:val="22"/>
          <w:szCs w:val="22"/>
          <w:color w:val="auto"/>
        </w:rPr>
        <w:t>. Prior to the date of the effectiveness of any material change in or amendment to the Collection Guidelines (which shall be in accordance with the terms of this Agreement), a notice describing such change or amendment, other than if required by Applicable Law;</w:t>
      </w:r>
    </w:p>
    <w:p>
      <w:pPr>
        <w:spacing w:after="0" w:line="212" w:lineRule="exact"/>
        <w:rPr>
          <w:rFonts w:ascii="Arial" w:cs="Arial" w:eastAsia="Arial" w:hAnsi="Arial"/>
          <w:sz w:val="22"/>
          <w:szCs w:val="22"/>
          <w:color w:val="auto"/>
        </w:rPr>
      </w:pPr>
    </w:p>
    <w:p>
      <w:pPr>
        <w:ind w:left="3240" w:hanging="532"/>
        <w:spacing w:after="0"/>
        <w:tabs>
          <w:tab w:leader="none" w:pos="3240" w:val="left"/>
        </w:tabs>
        <w:numPr>
          <w:ilvl w:val="1"/>
          <w:numId w:val="362"/>
        </w:numPr>
        <w:rPr>
          <w:rFonts w:ascii="Arial" w:cs="Arial" w:eastAsia="Arial" w:hAnsi="Arial"/>
          <w:sz w:val="19"/>
          <w:szCs w:val="19"/>
          <w:color w:val="auto"/>
        </w:rPr>
      </w:pPr>
      <w:r>
        <w:rPr>
          <w:rFonts w:ascii="Arial" w:cs="Arial" w:eastAsia="Arial" w:hAnsi="Arial"/>
          <w:sz w:val="19"/>
          <w:szCs w:val="19"/>
          <w:u w:val="single" w:color="auto"/>
          <w:color w:val="auto"/>
        </w:rPr>
        <w:t>Collection Guidelines</w:t>
      </w:r>
      <w:r>
        <w:rPr>
          <w:rFonts w:ascii="Arial" w:cs="Arial" w:eastAsia="Arial" w:hAnsi="Arial"/>
          <w:sz w:val="19"/>
          <w:szCs w:val="19"/>
          <w:color w:val="auto"/>
        </w:rPr>
        <w:t>. On the Closing Date, a complete copy of the Collection Guidelines</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then in effect;</w:t>
      </w:r>
    </w:p>
    <w:p>
      <w:pPr>
        <w:spacing w:after="0" w:line="242" w:lineRule="exact"/>
        <w:rPr>
          <w:rFonts w:ascii="Arial" w:cs="Arial" w:eastAsia="Arial" w:hAnsi="Arial"/>
          <w:sz w:val="19"/>
          <w:szCs w:val="19"/>
          <w:color w:val="auto"/>
        </w:rPr>
      </w:pPr>
    </w:p>
    <w:p>
      <w:pPr>
        <w:jc w:val="both"/>
        <w:ind w:left="120" w:firstLine="2588"/>
        <w:spacing w:after="0" w:line="261" w:lineRule="auto"/>
        <w:tabs>
          <w:tab w:leader="none" w:pos="3247" w:val="left"/>
        </w:tabs>
        <w:numPr>
          <w:ilvl w:val="1"/>
          <w:numId w:val="362"/>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Promptly after the filing or receiving thereof, copies of all reports and notices with respect to any “reportable event” (as defined in Section 4043 of ERISA) which the Borrower, Credit Acceptance or any ERISA Affiliate of the Borrower or Credit Acceptance files under ERISA with the United States Internal Revenue Service, the Pension Benefit Guaranty Corporation or the United States Department of Labor or which the Borrower, Credit Acceptance or any ERISA Affiliates of the Borrower or Credit Acceptance receives from the Internal Revenue Service, the Pension Benefit Guaranty Corporation or the United States Department of Labor;</w:t>
      </w:r>
    </w:p>
    <w:p>
      <w:pPr>
        <w:spacing w:after="0" w:line="206" w:lineRule="exact"/>
        <w:rPr>
          <w:rFonts w:ascii="Arial" w:cs="Arial" w:eastAsia="Arial" w:hAnsi="Arial"/>
          <w:sz w:val="21"/>
          <w:szCs w:val="21"/>
          <w:color w:val="auto"/>
        </w:rPr>
      </w:pPr>
    </w:p>
    <w:p>
      <w:pPr>
        <w:jc w:val="both"/>
        <w:ind w:left="120" w:right="40" w:firstLine="2588"/>
        <w:spacing w:after="0" w:line="247" w:lineRule="auto"/>
        <w:tabs>
          <w:tab w:leader="none" w:pos="3240" w:val="left"/>
        </w:tabs>
        <w:numPr>
          <w:ilvl w:val="1"/>
          <w:numId w:val="362"/>
        </w:numPr>
        <w:rPr>
          <w:rFonts w:ascii="Arial" w:cs="Arial" w:eastAsia="Arial" w:hAnsi="Arial"/>
          <w:sz w:val="22"/>
          <w:szCs w:val="22"/>
          <w:color w:val="auto"/>
        </w:rPr>
      </w:pPr>
      <w:r>
        <w:rPr>
          <w:rFonts w:ascii="Arial" w:cs="Arial" w:eastAsia="Arial" w:hAnsi="Arial"/>
          <w:sz w:val="22"/>
          <w:szCs w:val="22"/>
          <w:u w:val="single" w:color="auto"/>
          <w:color w:val="auto"/>
        </w:rPr>
        <w:t>Proceedings</w:t>
      </w:r>
      <w:r>
        <w:rPr>
          <w:rFonts w:ascii="Arial" w:cs="Arial" w:eastAsia="Arial" w:hAnsi="Arial"/>
          <w:sz w:val="22"/>
          <w:szCs w:val="22"/>
          <w:color w:val="auto"/>
        </w:rPr>
        <w:t>. As soon as possible and in any event within two (2) Business Days after any executive officer of the Borrower receives notice or obtains knowledge thereof, any settlement of, material judgment (including a material judgment with respect to the liability phase of a bifurcated trial) in or commencement of any labor controversy litigation, action, suit or proceeding (in each case, of a material nature), before any court or governmental department, commission, board, bureau, agency or instrumentality, domestic or foreign, affecting the Borrower or any of its Affiliates;</w:t>
      </w:r>
    </w:p>
    <w:p>
      <w:pPr>
        <w:spacing w:after="0" w:line="233" w:lineRule="exact"/>
        <w:rPr>
          <w:rFonts w:ascii="Arial" w:cs="Arial" w:eastAsia="Arial" w:hAnsi="Arial"/>
          <w:sz w:val="22"/>
          <w:szCs w:val="22"/>
          <w:color w:val="auto"/>
        </w:rPr>
      </w:pPr>
    </w:p>
    <w:p>
      <w:pPr>
        <w:ind w:left="120" w:right="20" w:firstLine="2588"/>
        <w:spacing w:after="0" w:line="343" w:lineRule="auto"/>
        <w:tabs>
          <w:tab w:leader="none" w:pos="3246" w:val="left"/>
        </w:tabs>
        <w:numPr>
          <w:ilvl w:val="1"/>
          <w:numId w:val="362"/>
        </w:numPr>
        <w:rPr>
          <w:rFonts w:ascii="Arial" w:cs="Arial" w:eastAsia="Arial" w:hAnsi="Arial"/>
          <w:sz w:val="19"/>
          <w:szCs w:val="19"/>
          <w:color w:val="auto"/>
        </w:rPr>
      </w:pPr>
      <w:r>
        <w:rPr>
          <w:rFonts w:ascii="Arial" w:cs="Arial" w:eastAsia="Arial" w:hAnsi="Arial"/>
          <w:sz w:val="19"/>
          <w:szCs w:val="19"/>
          <w:u w:val="single" w:color="auto"/>
          <w:color w:val="auto"/>
        </w:rPr>
        <w:t>Notice of Material Events</w:t>
      </w:r>
      <w:r>
        <w:rPr>
          <w:rFonts w:ascii="Arial" w:cs="Arial" w:eastAsia="Arial" w:hAnsi="Arial"/>
          <w:sz w:val="19"/>
          <w:szCs w:val="19"/>
          <w:color w:val="auto"/>
        </w:rPr>
        <w:t>. Promptly upon becoming aware thereof, notice of any other event or circumstances that, in the reasonable judgment of the Borrower, is likely to have a Material Adverse Effect; and</w:t>
      </w:r>
    </w:p>
    <w:p>
      <w:pPr>
        <w:spacing w:after="0" w:line="144" w:lineRule="exact"/>
        <w:rPr>
          <w:rFonts w:ascii="Arial" w:cs="Arial" w:eastAsia="Arial" w:hAnsi="Arial"/>
          <w:sz w:val="19"/>
          <w:szCs w:val="19"/>
          <w:color w:val="auto"/>
        </w:rPr>
      </w:pPr>
    </w:p>
    <w:p>
      <w:pPr>
        <w:jc w:val="both"/>
        <w:ind w:left="120" w:right="60" w:firstLine="2588"/>
        <w:spacing w:after="0" w:line="271" w:lineRule="auto"/>
        <w:tabs>
          <w:tab w:leader="none" w:pos="3252" w:val="left"/>
        </w:tabs>
        <w:numPr>
          <w:ilvl w:val="1"/>
          <w:numId w:val="362"/>
        </w:numPr>
        <w:rPr>
          <w:rFonts w:ascii="Arial" w:cs="Arial" w:eastAsia="Arial" w:hAnsi="Arial"/>
          <w:sz w:val="21"/>
          <w:szCs w:val="21"/>
          <w:color w:val="auto"/>
        </w:rPr>
      </w:pPr>
      <w:r>
        <w:rPr>
          <w:rFonts w:ascii="Arial" w:cs="Arial" w:eastAsia="Arial" w:hAnsi="Arial"/>
          <w:sz w:val="21"/>
          <w:szCs w:val="21"/>
          <w:u w:val="single" w:color="auto"/>
          <w:color w:val="auto"/>
        </w:rPr>
        <w:t>Other Information</w:t>
      </w:r>
      <w:r>
        <w:rPr>
          <w:rFonts w:ascii="Arial" w:cs="Arial" w:eastAsia="Arial" w:hAnsi="Arial"/>
          <w:sz w:val="21"/>
          <w:szCs w:val="21"/>
          <w:color w:val="auto"/>
        </w:rPr>
        <w:t>. Such other information, documents, records or reports (including non-financial information) as the Deal Agent, each Lender or the Collateral Agent may from time to time reasonably request with respect to Credit Acceptance, the Borrower, the Servicer or any Subsidiary of any of the foregoing.</w:t>
      </w:r>
    </w:p>
    <w:p>
      <w:pPr>
        <w:spacing w:after="0" w:line="194" w:lineRule="exact"/>
        <w:rPr>
          <w:rFonts w:ascii="Arial" w:cs="Arial" w:eastAsia="Arial" w:hAnsi="Arial"/>
          <w:sz w:val="21"/>
          <w:szCs w:val="21"/>
          <w:color w:val="auto"/>
        </w:rPr>
      </w:pPr>
    </w:p>
    <w:p>
      <w:pPr>
        <w:jc w:val="both"/>
        <w:ind w:left="120" w:firstLine="1940"/>
        <w:spacing w:after="0" w:line="248" w:lineRule="auto"/>
        <w:tabs>
          <w:tab w:leader="none" w:pos="2592" w:val="left"/>
        </w:tabs>
        <w:numPr>
          <w:ilvl w:val="0"/>
          <w:numId w:val="363"/>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w:t>
      </w:r>
      <w:r>
        <w:rPr>
          <w:rFonts w:ascii="Arial" w:cs="Arial" w:eastAsia="Arial" w:hAnsi="Arial"/>
          <w:sz w:val="22"/>
          <w:szCs w:val="22"/>
          <w:color w:val="auto"/>
        </w:rPr>
        <w:t>. The Borrower shall duly satisfy in all material respects its obligations under or in connection with each Loan and Contract, will maintain in effect all material qualifications required under all Applicable Law, and will comply in all material respects with all other Applicable Law in connection with each Loan and Contract the failure to comply with which would have a material adverse effect on the interests of the Secured Parties in the Collateral.</w:t>
      </w:r>
    </w:p>
    <w:p>
      <w:pPr>
        <w:spacing w:after="0" w:line="232" w:lineRule="exact"/>
        <w:rPr>
          <w:rFonts w:ascii="Arial" w:cs="Arial" w:eastAsia="Arial" w:hAnsi="Arial"/>
          <w:sz w:val="22"/>
          <w:szCs w:val="22"/>
          <w:color w:val="auto"/>
        </w:rPr>
      </w:pPr>
    </w:p>
    <w:p>
      <w:pPr>
        <w:jc w:val="both"/>
        <w:ind w:left="120" w:right="40" w:firstLine="1940"/>
        <w:spacing w:after="0" w:line="253" w:lineRule="auto"/>
        <w:tabs>
          <w:tab w:leader="none" w:pos="2592" w:val="left"/>
        </w:tabs>
        <w:numPr>
          <w:ilvl w:val="0"/>
          <w:numId w:val="363"/>
        </w:numPr>
        <w:rPr>
          <w:rFonts w:ascii="Arial" w:cs="Arial" w:eastAsia="Arial" w:hAnsi="Arial"/>
          <w:sz w:val="22"/>
          <w:szCs w:val="22"/>
          <w:color w:val="auto"/>
        </w:rPr>
      </w:pPr>
      <w:r>
        <w:rPr>
          <w:rFonts w:ascii="Arial" w:cs="Arial" w:eastAsia="Arial" w:hAnsi="Arial"/>
          <w:sz w:val="22"/>
          <w:szCs w:val="22"/>
          <w:u w:val="single" w:color="auto"/>
          <w:color w:val="auto"/>
        </w:rPr>
        <w:t>Furnishing of Information and Inspection of Records</w:t>
      </w:r>
      <w:r>
        <w:rPr>
          <w:rFonts w:ascii="Arial" w:cs="Arial" w:eastAsia="Arial" w:hAnsi="Arial"/>
          <w:sz w:val="22"/>
          <w:szCs w:val="22"/>
          <w:color w:val="auto"/>
        </w:rPr>
        <w:t>. The Borrower will furnish to the Deal Agent, each Lender, the Backup Servicer and the Collateral Agent, from time to time, such information with respect to the Loans and Contracts as may be</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72</w:t>
      </w:r>
    </w:p>
    <w:p>
      <w:pPr>
        <w:sectPr>
          <w:pgSz w:w="11900" w:h="16838" w:orient="portrait"/>
          <w:cols w:equalWidth="0" w:num="1">
            <w:col w:w="11140"/>
          </w:cols>
          <w:pgMar w:left="320" w:top="1428" w:right="439" w:bottom="1440" w:gutter="0" w:footer="0" w:header="0"/>
        </w:sectPr>
      </w:pPr>
    </w:p>
    <w:bookmarkStart w:id="340" w:name="page341"/>
    <w:bookmarkEnd w:id="340"/>
    <w:p>
      <w:pPr>
        <w:jc w:val="both"/>
        <w:ind w:left="120"/>
        <w:spacing w:after="0" w:line="282" w:lineRule="auto"/>
        <w:rPr>
          <w:sz w:val="20"/>
          <w:szCs w:val="20"/>
          <w:color w:val="auto"/>
        </w:rPr>
      </w:pPr>
      <w:r>
        <w:rPr>
          <w:rFonts w:ascii="Arial" w:cs="Arial" w:eastAsia="Arial" w:hAnsi="Arial"/>
          <w:sz w:val="19"/>
          <w:szCs w:val="19"/>
          <w:color w:val="auto"/>
        </w:rPr>
        <w:t>reasonably requested, including, without limitation, a computer file or other list identifying each Loan and Contract by pool number, account number and dealer number and by the Outstanding Balance and identifying the Obligor on such Loan or Contract. The Borrower will, at any time and from time to time during regular business hours, upon reasonable notice, permit the Deal Agent, each Lender, the Backup Servicer and the Collateral Agent, or its agents or representatives, to examine and make copies of and abstracts from all Records, to visit the offices and properties of the Borrower for the purpose of examining such Records, and to discuss matters relating to the Loans or Contracts or the Borrower’s performance hereunder and under the other Transaction Documents with any of the officers, directors, employees or independent public accountants of the Borrower having knowledge of such matters; provided, however, that the Deal Agent, each Lender and the Collateral Agent each acknowledges that in exercising the rights and privileges conferred in this Section 5.1(m) it or its agents and representatives may, from time to time, obtain knowledge of information, practices, books, correspondence and records of a confidential nature and in which the Borrower has a proprietary interest. The Deal Agent, each Lender and the Collateral Agent each agrees that all such information, practices, books, correspondence and records are to be regarded as confidential information and agrees that it shall retain in strict confidence and shall use its reasonable efforts to ensure that its agents and representatives retain in strict confidence, and will not disclose without the prior written consent of the Borrower, any such information, practices, books, correspondence and records furnished to them except that it may disclose such information: (i) to its officers, directors, employees, agents, counsel, accountants, auditors, affiliates, advisors or representatives (provided that such Persons are informed of the confidential nature of such information); (ii) to the extent such information has become available to the public other than as a result of a disclosure by or through the Deal Agent, any Lender, the Collateral Agent or its officers, directors, employees, agents, counsel, accountants, auditors, affiliates, advisors or representatives; (iii) to the extent such information was available to the Deal Agent, any Lender or the Collateral Agent on a non- confidential basis prior to its disclosure hereunder;</w:t>
      </w:r>
    </w:p>
    <w:p>
      <w:pPr>
        <w:spacing w:after="0" w:line="14" w:lineRule="exact"/>
        <w:rPr>
          <w:sz w:val="20"/>
          <w:szCs w:val="20"/>
          <w:color w:val="auto"/>
        </w:rPr>
      </w:pPr>
    </w:p>
    <w:p>
      <w:pPr>
        <w:jc w:val="both"/>
        <w:ind w:left="120" w:hanging="5"/>
        <w:spacing w:after="0" w:line="259" w:lineRule="auto"/>
        <w:tabs>
          <w:tab w:leader="none" w:pos="492" w:val="left"/>
        </w:tabs>
        <w:numPr>
          <w:ilvl w:val="0"/>
          <w:numId w:val="364"/>
        </w:numPr>
        <w:rPr>
          <w:rFonts w:ascii="Arial" w:cs="Arial" w:eastAsia="Arial" w:hAnsi="Arial"/>
          <w:sz w:val="21"/>
          <w:szCs w:val="21"/>
          <w:color w:val="auto"/>
        </w:rPr>
      </w:pPr>
      <w:r>
        <w:rPr>
          <w:rFonts w:ascii="Arial" w:cs="Arial" w:eastAsia="Arial" w:hAnsi="Arial"/>
          <w:sz w:val="21"/>
          <w:szCs w:val="21"/>
          <w:color w:val="auto"/>
        </w:rPr>
        <w:t xml:space="preserve">to the extent the Deal Agent, any Lender or the Collateral Agent should be (A) required under the Transaction Documents or in connection with any legal or regulatory proceeding or (B) requested by any bank regulatory authority to disclose such information; or (v) to any Lender or prospective assignee or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relevant Lender shall notify such prospective assignee or Lender of the confidentiality provisions of this </w:t>
      </w:r>
      <w:r>
        <w:rPr>
          <w:rFonts w:ascii="Arial" w:cs="Arial" w:eastAsia="Arial" w:hAnsi="Arial"/>
          <w:sz w:val="21"/>
          <w:szCs w:val="21"/>
          <w:u w:val="single" w:color="auto"/>
          <w:color w:val="auto"/>
        </w:rPr>
        <w:t>Section 5.1(m)</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left="120" w:right="60" w:firstLine="1940"/>
        <w:spacing w:after="0" w:line="246" w:lineRule="auto"/>
        <w:tabs>
          <w:tab w:leader="none" w:pos="2599" w:val="left"/>
        </w:tabs>
        <w:numPr>
          <w:ilvl w:val="1"/>
          <w:numId w:val="364"/>
        </w:numPr>
        <w:rPr>
          <w:rFonts w:ascii="Arial" w:cs="Arial" w:eastAsia="Arial" w:hAnsi="Arial"/>
          <w:sz w:val="22"/>
          <w:szCs w:val="22"/>
          <w:color w:val="auto"/>
        </w:rPr>
      </w:pPr>
      <w:r>
        <w:rPr>
          <w:rFonts w:ascii="Arial" w:cs="Arial" w:eastAsia="Arial" w:hAnsi="Arial"/>
          <w:sz w:val="22"/>
          <w:szCs w:val="22"/>
          <w:u w:val="single" w:color="auto"/>
          <w:color w:val="auto"/>
        </w:rPr>
        <w:t>Keeping of Records and Books of Account</w:t>
      </w:r>
      <w:r>
        <w:rPr>
          <w:rFonts w:ascii="Arial" w:cs="Arial" w:eastAsia="Arial" w:hAnsi="Arial"/>
          <w:sz w:val="22"/>
          <w:szCs w:val="22"/>
          <w:color w:val="auto"/>
        </w:rPr>
        <w:t>. The Borrower will maintain and implement or cause to be maintained and implemented administrative and operating procedures (including, without limitation, an ability to recreate records evidencing the Loans and Contracts in the event of the destruction of the originals thereof), and keep and maintain, or obtain, as and when required, all documents, books, records and other information reasonably necessary or advisable for the collection of all amounts due under the Loans and Contracts (including, without limitation, records adequate to permit adjustments to amounts due under each existing Loan and Contract). The Borrower will give the Deal Agent and each Lender notice of any material change in the administrative and operating procedures of the Borrower referred to in the previous sentence.</w:t>
      </w:r>
    </w:p>
    <w:p>
      <w:pPr>
        <w:spacing w:after="0" w:line="220" w:lineRule="exact"/>
        <w:rPr>
          <w:rFonts w:ascii="Arial" w:cs="Arial" w:eastAsia="Arial" w:hAnsi="Arial"/>
          <w:sz w:val="22"/>
          <w:szCs w:val="22"/>
          <w:color w:val="auto"/>
        </w:rPr>
      </w:pPr>
    </w:p>
    <w:p>
      <w:pPr>
        <w:ind w:left="2600" w:hanging="540"/>
        <w:spacing w:after="0"/>
        <w:tabs>
          <w:tab w:leader="none" w:pos="2600" w:val="left"/>
        </w:tabs>
        <w:numPr>
          <w:ilvl w:val="1"/>
          <w:numId w:val="364"/>
        </w:numPr>
        <w:rPr>
          <w:rFonts w:ascii="Arial" w:cs="Arial" w:eastAsia="Arial" w:hAnsi="Arial"/>
          <w:sz w:val="19"/>
          <w:szCs w:val="19"/>
          <w:color w:val="auto"/>
        </w:rPr>
      </w:pPr>
      <w:r>
        <w:rPr>
          <w:rFonts w:ascii="Arial" w:cs="Arial" w:eastAsia="Arial" w:hAnsi="Arial"/>
          <w:sz w:val="19"/>
          <w:szCs w:val="19"/>
          <w:u w:val="single" w:color="auto"/>
          <w:color w:val="auto"/>
        </w:rPr>
        <w:t>Notice of Liens</w:t>
      </w:r>
      <w:r>
        <w:rPr>
          <w:rFonts w:ascii="Arial" w:cs="Arial" w:eastAsia="Arial" w:hAnsi="Arial"/>
          <w:sz w:val="19"/>
          <w:szCs w:val="19"/>
          <w:color w:val="auto"/>
        </w:rPr>
        <w:t>. The Borrower will advise the Deal Agent and the Collateral Agent promptly, in</w:t>
      </w:r>
    </w:p>
    <w:p>
      <w:pPr>
        <w:spacing w:after="0" w:line="55" w:lineRule="exact"/>
        <w:rPr>
          <w:rFonts w:ascii="Arial" w:cs="Arial" w:eastAsia="Arial" w:hAnsi="Arial"/>
          <w:sz w:val="19"/>
          <w:szCs w:val="19"/>
          <w:color w:val="auto"/>
        </w:rPr>
      </w:pPr>
    </w:p>
    <w:p>
      <w:pPr>
        <w:ind w:left="120" w:right="60"/>
        <w:spacing w:after="0" w:line="246" w:lineRule="auto"/>
        <w:rPr>
          <w:rFonts w:ascii="Arial" w:cs="Arial" w:eastAsia="Arial" w:hAnsi="Arial"/>
          <w:sz w:val="19"/>
          <w:szCs w:val="19"/>
          <w:color w:val="auto"/>
        </w:rPr>
      </w:pPr>
      <w:r>
        <w:rPr>
          <w:rFonts w:ascii="Arial" w:cs="Arial" w:eastAsia="Arial" w:hAnsi="Arial"/>
          <w:sz w:val="22"/>
          <w:szCs w:val="22"/>
          <w:color w:val="auto"/>
        </w:rPr>
        <w:t>reasonable detail of: (i) any Lien asserted by a Person against any of the Loans or Contracts or other Collateral; (ii) any breach by the Borrower, the Originator or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73</w:t>
      </w:r>
    </w:p>
    <w:p>
      <w:pPr>
        <w:sectPr>
          <w:pgSz w:w="11900" w:h="16838" w:orient="portrait"/>
          <w:cols w:equalWidth="0" w:num="1">
            <w:col w:w="11140"/>
          </w:cols>
          <w:pgMar w:left="320" w:top="1428" w:right="439" w:bottom="1440" w:gutter="0" w:footer="0" w:header="0"/>
        </w:sectPr>
      </w:pPr>
    </w:p>
    <w:bookmarkStart w:id="341" w:name="page342"/>
    <w:bookmarkEnd w:id="341"/>
    <w:p>
      <w:pPr>
        <w:ind w:left="700" w:right="60"/>
        <w:spacing w:after="0" w:line="287" w:lineRule="auto"/>
        <w:rPr>
          <w:sz w:val="20"/>
          <w:szCs w:val="20"/>
          <w:color w:val="auto"/>
        </w:rPr>
      </w:pPr>
      <w:r>
        <w:rPr>
          <w:rFonts w:ascii="Arial" w:cs="Arial" w:eastAsia="Arial" w:hAnsi="Arial"/>
          <w:sz w:val="21"/>
          <w:szCs w:val="21"/>
          <w:color w:val="auto"/>
        </w:rPr>
        <w:t>the Servicer of any of its representations, warranties and covenants contained herein or in any other Transaction Document; and (iii) the occurrence of any other event which would have a Material Adverse Effect.</w:t>
      </w:r>
    </w:p>
    <w:p>
      <w:pPr>
        <w:spacing w:after="0" w:line="192" w:lineRule="exact"/>
        <w:rPr>
          <w:sz w:val="20"/>
          <w:szCs w:val="20"/>
          <w:color w:val="auto"/>
        </w:rPr>
      </w:pPr>
    </w:p>
    <w:p>
      <w:pPr>
        <w:jc w:val="both"/>
        <w:ind w:left="700" w:right="40" w:firstLine="1936"/>
        <w:spacing w:after="0" w:line="250" w:lineRule="auto"/>
        <w:tabs>
          <w:tab w:leader="none" w:pos="3248"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Protection of Interest in Collateral</w:t>
      </w:r>
      <w:r>
        <w:rPr>
          <w:rFonts w:ascii="Arial" w:cs="Arial" w:eastAsia="Arial" w:hAnsi="Arial"/>
          <w:sz w:val="22"/>
          <w:szCs w:val="22"/>
          <w:color w:val="auto"/>
        </w:rPr>
        <w:t>. The Borrower shall file or cause to be filed such continuation statements and any other documents reasonably requested by the Collateral Agent, the Deal Agent or any Lender or which may be required by law to fully preserve and protect the interest of the Collateral Agent and the Secured Parties in and to the Loans, the Contracts and the other Collateral.</w:t>
      </w:r>
    </w:p>
    <w:p>
      <w:pPr>
        <w:spacing w:after="0" w:line="214" w:lineRule="exact"/>
        <w:rPr>
          <w:rFonts w:ascii="Arial" w:cs="Arial" w:eastAsia="Arial" w:hAnsi="Arial"/>
          <w:sz w:val="22"/>
          <w:szCs w:val="22"/>
          <w:color w:val="auto"/>
        </w:rPr>
      </w:pPr>
    </w:p>
    <w:p>
      <w:pPr>
        <w:jc w:val="both"/>
        <w:ind w:left="700" w:right="40" w:firstLine="1936"/>
        <w:spacing w:after="0" w:line="253" w:lineRule="auto"/>
        <w:tabs>
          <w:tab w:leader="none" w:pos="3247"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Contribution Agreement</w:t>
      </w:r>
      <w:r>
        <w:rPr>
          <w:rFonts w:ascii="Arial" w:cs="Arial" w:eastAsia="Arial" w:hAnsi="Arial"/>
          <w:sz w:val="22"/>
          <w:szCs w:val="22"/>
          <w:color w:val="auto"/>
        </w:rPr>
        <w:t>. The Borrower will at all times enforce the covenants and agreements of Credit Acceptance in the Contribution Agreement (including, without limitation, the rights and remedies against the Dealers).</w:t>
      </w:r>
    </w:p>
    <w:p>
      <w:pPr>
        <w:spacing w:after="0" w:line="225" w:lineRule="exact"/>
        <w:rPr>
          <w:rFonts w:ascii="Arial" w:cs="Arial" w:eastAsia="Arial" w:hAnsi="Arial"/>
          <w:sz w:val="22"/>
          <w:szCs w:val="22"/>
          <w:color w:val="auto"/>
        </w:rPr>
      </w:pPr>
    </w:p>
    <w:p>
      <w:pPr>
        <w:jc w:val="both"/>
        <w:ind w:left="700" w:firstLine="1936"/>
        <w:spacing w:after="0" w:line="253" w:lineRule="auto"/>
        <w:tabs>
          <w:tab w:leader="none" w:pos="3251"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Notice of Delegation of Servicer’s Duties</w:t>
      </w:r>
      <w:r>
        <w:rPr>
          <w:rFonts w:ascii="Arial" w:cs="Arial" w:eastAsia="Arial" w:hAnsi="Arial"/>
          <w:sz w:val="22"/>
          <w:szCs w:val="22"/>
          <w:color w:val="auto"/>
        </w:rPr>
        <w:t>. The Borrower promptly shall notify the Collateral Agent of any delegation by the Servicer of any of the Servicer’s duties under this Agreement which is not in the ordinary course of business of the Servicer.</w:t>
      </w:r>
    </w:p>
    <w:p>
      <w:pPr>
        <w:spacing w:after="0" w:line="212" w:lineRule="exact"/>
        <w:rPr>
          <w:rFonts w:ascii="Arial" w:cs="Arial" w:eastAsia="Arial" w:hAnsi="Arial"/>
          <w:sz w:val="22"/>
          <w:szCs w:val="22"/>
          <w:color w:val="auto"/>
        </w:rPr>
      </w:pPr>
    </w:p>
    <w:p>
      <w:pPr>
        <w:ind w:left="700" w:right="40" w:firstLine="1936"/>
        <w:spacing w:after="0" w:line="263" w:lineRule="auto"/>
        <w:tabs>
          <w:tab w:leader="none" w:pos="3250"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The Borrower shall only amend, alter, change or repeal its articles of incorporation with the prior written consent of the Deal Agent.</w:t>
      </w:r>
    </w:p>
    <w:p>
      <w:pPr>
        <w:spacing w:after="0" w:line="215" w:lineRule="exact"/>
        <w:rPr>
          <w:rFonts w:ascii="Arial" w:cs="Arial" w:eastAsia="Arial" w:hAnsi="Arial"/>
          <w:sz w:val="22"/>
          <w:szCs w:val="22"/>
          <w:color w:val="auto"/>
        </w:rPr>
      </w:pPr>
    </w:p>
    <w:p>
      <w:pPr>
        <w:ind w:left="700" w:right="60" w:firstLine="1936"/>
        <w:spacing w:after="0" w:line="263" w:lineRule="auto"/>
        <w:tabs>
          <w:tab w:leader="none" w:pos="3253"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Compliance</w:t>
      </w:r>
      <w:r>
        <w:rPr>
          <w:rFonts w:ascii="Arial" w:cs="Arial" w:eastAsia="Arial" w:hAnsi="Arial"/>
          <w:sz w:val="22"/>
          <w:szCs w:val="22"/>
          <w:color w:val="auto"/>
        </w:rPr>
        <w:t>. Borrower shall, and Borrower shall ensure that each member of the Borrowing Group will, comply with Sanctions, Anti-Money Laundering Laws, and Anti-Corruption Laws.</w:t>
      </w:r>
    </w:p>
    <w:p>
      <w:pPr>
        <w:spacing w:after="0" w:line="215" w:lineRule="exact"/>
        <w:rPr>
          <w:rFonts w:ascii="Arial" w:cs="Arial" w:eastAsia="Arial" w:hAnsi="Arial"/>
          <w:sz w:val="22"/>
          <w:szCs w:val="22"/>
          <w:color w:val="auto"/>
        </w:rPr>
      </w:pPr>
    </w:p>
    <w:p>
      <w:pPr>
        <w:jc w:val="both"/>
        <w:ind w:left="700" w:right="60" w:firstLine="1936"/>
        <w:spacing w:after="0" w:line="249" w:lineRule="auto"/>
        <w:tabs>
          <w:tab w:leader="none" w:pos="3247" w:val="left"/>
        </w:tabs>
        <w:numPr>
          <w:ilvl w:val="0"/>
          <w:numId w:val="365"/>
        </w:numPr>
        <w:rPr>
          <w:rFonts w:ascii="Arial" w:cs="Arial" w:eastAsia="Arial" w:hAnsi="Arial"/>
          <w:sz w:val="22"/>
          <w:szCs w:val="22"/>
          <w:color w:val="auto"/>
        </w:rPr>
      </w:pP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The Borrower will notify Lender of any change in the information provided in the Beneficial Ownership Certification that would result in a change to the list of beneficial owners identified in such certification.</w:t>
      </w:r>
    </w:p>
    <w:p>
      <w:pPr>
        <w:ind w:left="700" w:right="60" w:firstLine="1936"/>
        <w:spacing w:after="0" w:line="323" w:lineRule="auto"/>
        <w:tabs>
          <w:tab w:leader="none" w:pos="3247" w:val="left"/>
        </w:tabs>
        <w:numPr>
          <w:ilvl w:val="0"/>
          <w:numId w:val="365"/>
        </w:numPr>
        <w:rPr>
          <w:rFonts w:ascii="Arial" w:cs="Arial" w:eastAsia="Arial" w:hAnsi="Arial"/>
          <w:sz w:val="19"/>
          <w:szCs w:val="19"/>
          <w:u w:val="single" w:color="auto"/>
          <w:color w:val="3051F2"/>
        </w:rPr>
      </w:pPr>
      <w:r>
        <w:rPr>
          <w:rFonts w:ascii="Arial" w:cs="Arial" w:eastAsia="Arial" w:hAnsi="Arial"/>
          <w:sz w:val="19"/>
          <w:szCs w:val="19"/>
          <w:u w:val="single" w:color="auto"/>
          <w:color w:val="0000FF"/>
        </w:rPr>
        <w:t>Obligation to Amend and Restate. The Borrower agrees that it shall amend and restate this Agreement in its entirety no later than the date that is ninety (90) days following the Fifth Amendment Effective Date.</w:t>
      </w:r>
    </w:p>
    <w:p>
      <w:pPr>
        <w:spacing w:after="0" w:line="150" w:lineRule="exact"/>
        <w:rPr>
          <w:sz w:val="20"/>
          <w:szCs w:val="20"/>
          <w:color w:val="auto"/>
        </w:rPr>
      </w:pPr>
    </w:p>
    <w:p>
      <w:pPr>
        <w:ind w:left="1340"/>
        <w:spacing w:after="0"/>
        <w:tabs>
          <w:tab w:leader="none" w:pos="2560" w:val="left"/>
          <w:tab w:leader="none" w:pos="6020" w:val="left"/>
        </w:tabs>
        <w:rPr>
          <w:sz w:val="20"/>
          <w:szCs w:val="20"/>
          <w:color w:val="auto"/>
        </w:rPr>
      </w:pPr>
      <w:r>
        <w:rPr>
          <w:rFonts w:ascii="Arial" w:cs="Arial" w:eastAsia="Arial" w:hAnsi="Arial"/>
          <w:sz w:val="22"/>
          <w:szCs w:val="22"/>
          <w:color w:val="auto"/>
        </w:rPr>
        <w:t>Section 5.2.</w:t>
      </w:r>
      <w:r>
        <w:rPr>
          <w:sz w:val="20"/>
          <w:szCs w:val="20"/>
          <w:color w:val="auto"/>
        </w:rPr>
        <w:tab/>
      </w:r>
      <w:r>
        <w:rPr>
          <w:rFonts w:ascii="Arial" w:cs="Arial" w:eastAsia="Arial" w:hAnsi="Arial"/>
          <w:sz w:val="22"/>
          <w:szCs w:val="22"/>
          <w:u w:val="single" w:color="auto"/>
          <w:color w:val="auto"/>
        </w:rPr>
        <w:t>Negative Covenants of the Borrower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From the date hereof until the Collection Date:</w:t>
      </w:r>
    </w:p>
    <w:p>
      <w:pPr>
        <w:spacing w:after="0" w:line="328" w:lineRule="exact"/>
        <w:rPr>
          <w:sz w:val="20"/>
          <w:szCs w:val="20"/>
          <w:color w:val="auto"/>
        </w:rPr>
      </w:pPr>
    </w:p>
    <w:p>
      <w:pPr>
        <w:jc w:val="both"/>
        <w:ind w:left="700" w:right="60" w:firstLine="1936"/>
        <w:spacing w:after="0" w:line="265" w:lineRule="auto"/>
        <w:tabs>
          <w:tab w:leader="none" w:pos="3248" w:val="left"/>
        </w:tabs>
        <w:numPr>
          <w:ilvl w:val="0"/>
          <w:numId w:val="366"/>
        </w:numPr>
        <w:rPr>
          <w:rFonts w:ascii="Arial" w:cs="Arial" w:eastAsia="Arial" w:hAnsi="Arial"/>
          <w:sz w:val="21"/>
          <w:szCs w:val="21"/>
          <w:color w:val="auto"/>
        </w:rPr>
      </w:pPr>
      <w:r>
        <w:rPr>
          <w:rFonts w:ascii="Arial" w:cs="Arial" w:eastAsia="Arial" w:hAnsi="Arial"/>
          <w:sz w:val="21"/>
          <w:szCs w:val="21"/>
          <w:u w:val="single" w:color="auto"/>
          <w:color w:val="auto"/>
        </w:rPr>
        <w:t>Other Business</w:t>
      </w:r>
      <w:r>
        <w:rPr>
          <w:rFonts w:ascii="Arial" w:cs="Arial" w:eastAsia="Arial" w:hAnsi="Arial"/>
          <w:sz w:val="21"/>
          <w:szCs w:val="21"/>
          <w:color w:val="auto"/>
        </w:rPr>
        <w:t>. Borrower will not: (i) engage in any business other than the transactions contemplated by the Transaction Documents; (ii) incur any indebtedness, obligation, liability or contingent obligation of any kind other than pursuant to the Transaction Documents; or (iii) form any Subsidiary or make any Investments in any other Person without the prior written consent of the Deal Agent.</w:t>
      </w:r>
    </w:p>
    <w:p>
      <w:pPr>
        <w:spacing w:after="0" w:line="215" w:lineRule="exact"/>
        <w:rPr>
          <w:rFonts w:ascii="Arial" w:cs="Arial" w:eastAsia="Arial" w:hAnsi="Arial"/>
          <w:sz w:val="21"/>
          <w:szCs w:val="21"/>
          <w:color w:val="auto"/>
        </w:rPr>
      </w:pPr>
    </w:p>
    <w:p>
      <w:pPr>
        <w:jc w:val="both"/>
        <w:ind w:left="700" w:right="40" w:firstLine="1936"/>
        <w:spacing w:after="0" w:line="253" w:lineRule="auto"/>
        <w:tabs>
          <w:tab w:leader="none" w:pos="3247" w:val="left"/>
        </w:tabs>
        <w:numPr>
          <w:ilvl w:val="0"/>
          <w:numId w:val="366"/>
        </w:numPr>
        <w:rPr>
          <w:rFonts w:ascii="Arial" w:cs="Arial" w:eastAsia="Arial" w:hAnsi="Arial"/>
          <w:sz w:val="22"/>
          <w:szCs w:val="22"/>
          <w:color w:val="auto"/>
        </w:rPr>
      </w:pPr>
      <w:r>
        <w:rPr>
          <w:rFonts w:ascii="Arial" w:cs="Arial" w:eastAsia="Arial" w:hAnsi="Arial"/>
          <w:sz w:val="22"/>
          <w:szCs w:val="22"/>
          <w:u w:val="single" w:color="auto"/>
          <w:color w:val="auto"/>
        </w:rPr>
        <w:t>Loans Not to be Evidenced by Instruments</w:t>
      </w:r>
      <w:r>
        <w:rPr>
          <w:rFonts w:ascii="Arial" w:cs="Arial" w:eastAsia="Arial" w:hAnsi="Arial"/>
          <w:sz w:val="22"/>
          <w:szCs w:val="22"/>
          <w:color w:val="auto"/>
        </w:rPr>
        <w:t>. The Borrower will take no action to cause any Loan that is not, as of the Closing Date, evidenced by an Instrument, to be so evidenced except in connection with the enforcement or collection of such Loan.</w:t>
      </w:r>
    </w:p>
    <w:p>
      <w:pPr>
        <w:spacing w:after="0" w:line="225" w:lineRule="exact"/>
        <w:rPr>
          <w:rFonts w:ascii="Arial" w:cs="Arial" w:eastAsia="Arial" w:hAnsi="Arial"/>
          <w:sz w:val="22"/>
          <w:szCs w:val="22"/>
          <w:color w:val="auto"/>
        </w:rPr>
      </w:pPr>
    </w:p>
    <w:p>
      <w:pPr>
        <w:ind w:left="700" w:right="20" w:firstLine="1936"/>
        <w:spacing w:after="0" w:line="263" w:lineRule="auto"/>
        <w:tabs>
          <w:tab w:leader="none" w:pos="3248" w:val="left"/>
        </w:tabs>
        <w:numPr>
          <w:ilvl w:val="0"/>
          <w:numId w:val="366"/>
        </w:numPr>
        <w:rPr>
          <w:rFonts w:ascii="Arial" w:cs="Arial" w:eastAsia="Arial" w:hAnsi="Arial"/>
          <w:sz w:val="22"/>
          <w:szCs w:val="22"/>
          <w:color w:val="auto"/>
        </w:rPr>
      </w:pPr>
      <w:r>
        <w:rPr>
          <w:rFonts w:ascii="Arial" w:cs="Arial" w:eastAsia="Arial" w:hAnsi="Arial"/>
          <w:sz w:val="22"/>
          <w:szCs w:val="22"/>
          <w:u w:val="single" w:color="auto"/>
          <w:color w:val="auto"/>
        </w:rPr>
        <w:t>Security Interests</w:t>
      </w:r>
      <w:r>
        <w:rPr>
          <w:rFonts w:ascii="Arial" w:cs="Arial" w:eastAsia="Arial" w:hAnsi="Arial"/>
          <w:sz w:val="22"/>
          <w:szCs w:val="22"/>
          <w:color w:val="auto"/>
        </w:rPr>
        <w:t>. The Borrower will not sell, pledge, assign or transfer to any other Person, or grant, create, incur, assume or suffer to exist any Lien (other than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74</w:t>
      </w:r>
    </w:p>
    <w:p>
      <w:pPr>
        <w:sectPr>
          <w:pgSz w:w="11900" w:h="16838" w:orient="portrait"/>
          <w:cols w:equalWidth="0" w:num="1">
            <w:col w:w="11140"/>
          </w:cols>
          <w:pgMar w:left="320" w:top="1428" w:right="439" w:bottom="1440" w:gutter="0" w:footer="0" w:header="0"/>
        </w:sectPr>
      </w:pPr>
    </w:p>
    <w:bookmarkStart w:id="342" w:name="page343"/>
    <w:bookmarkEnd w:id="342"/>
    <w:p>
      <w:pPr>
        <w:jc w:val="both"/>
        <w:ind w:left="120" w:right="40"/>
        <w:spacing w:after="0" w:line="247" w:lineRule="auto"/>
        <w:rPr>
          <w:sz w:val="20"/>
          <w:szCs w:val="20"/>
          <w:color w:val="auto"/>
        </w:rPr>
      </w:pPr>
      <w:r>
        <w:rPr>
          <w:rFonts w:ascii="Arial" w:cs="Arial" w:eastAsia="Arial" w:hAnsi="Arial"/>
          <w:sz w:val="22"/>
          <w:szCs w:val="22"/>
          <w:color w:val="auto"/>
        </w:rPr>
        <w:t>the Lien described in Section 4.2(a)(iii)) on any Loan, Contract, Related Security or any other Collateral, whether now existing or hereafter transferred hereunder, or any interest therein, and the Borrower will not sell, pledge, assign or suffer to exist any Lien on its interest, if any, hereunder. The Borrower will promptly notify the Collateral Agent of the existence of any Lien on any Loan, Contract, Related Security or any other Collateral and the Borrower shall defend the right, title and interest of the Deal Agent as agent for the Secured Parties in, to and under the Loans, Contracts, Related Security and other Collateral, against all claims of third parties.</w:t>
      </w:r>
    </w:p>
    <w:p>
      <w:pPr>
        <w:spacing w:after="0" w:line="233" w:lineRule="exact"/>
        <w:rPr>
          <w:sz w:val="20"/>
          <w:szCs w:val="20"/>
          <w:color w:val="auto"/>
        </w:rPr>
      </w:pPr>
    </w:p>
    <w:p>
      <w:pPr>
        <w:jc w:val="both"/>
        <w:ind w:left="120" w:firstLine="1940"/>
        <w:spacing w:after="0" w:line="263" w:lineRule="auto"/>
        <w:tabs>
          <w:tab w:leader="none" w:pos="2600" w:val="left"/>
        </w:tabs>
        <w:numPr>
          <w:ilvl w:val="0"/>
          <w:numId w:val="367"/>
        </w:numPr>
        <w:rPr>
          <w:rFonts w:ascii="Arial" w:cs="Arial" w:eastAsia="Arial" w:hAnsi="Arial"/>
          <w:sz w:val="21"/>
          <w:szCs w:val="21"/>
          <w:color w:val="auto"/>
        </w:rPr>
      </w:pPr>
      <w:r>
        <w:rPr>
          <w:rFonts w:ascii="Arial" w:cs="Arial" w:eastAsia="Arial" w:hAnsi="Arial"/>
          <w:sz w:val="21"/>
          <w:szCs w:val="21"/>
          <w:u w:val="single" w:color="auto"/>
          <w:color w:val="auto"/>
        </w:rPr>
        <w:t>Mergers, Acquisitions, Sales, etc</w:t>
      </w:r>
      <w:r>
        <w:rPr>
          <w:rFonts w:ascii="Arial" w:cs="Arial" w:eastAsia="Arial" w:hAnsi="Arial"/>
          <w:sz w:val="21"/>
          <w:szCs w:val="21"/>
          <w:color w:val="auto"/>
        </w:rPr>
        <w:t>. The Borrower will not be a party to any merger or consolidation, or purchase or otherwise acquire all or substantially all of the assets or any stock of any class of, or any partnership or joint venture interest in, any other Person, or, sell, transfer, convey or lease all or any substantial part of its assets, or sell or assign with or without recourse any Loan, Contracts, Related Security or other Collateral or any interest therein (other than pursuant to and in accordance with the Transaction Documents).</w:t>
      </w:r>
    </w:p>
    <w:p>
      <w:pPr>
        <w:spacing w:after="0" w:line="202" w:lineRule="exact"/>
        <w:rPr>
          <w:rFonts w:ascii="Arial" w:cs="Arial" w:eastAsia="Arial" w:hAnsi="Arial"/>
          <w:sz w:val="21"/>
          <w:szCs w:val="21"/>
          <w:color w:val="auto"/>
        </w:rPr>
      </w:pPr>
    </w:p>
    <w:p>
      <w:pPr>
        <w:ind w:left="2700" w:hanging="640"/>
        <w:spacing w:after="0"/>
        <w:tabs>
          <w:tab w:leader="none" w:pos="270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[Reserved.]</w:t>
      </w:r>
    </w:p>
    <w:p>
      <w:pPr>
        <w:spacing w:after="0" w:line="260" w:lineRule="exact"/>
        <w:rPr>
          <w:rFonts w:ascii="Arial" w:cs="Arial" w:eastAsia="Arial" w:hAnsi="Arial"/>
          <w:sz w:val="22"/>
          <w:szCs w:val="22"/>
          <w:color w:val="auto"/>
        </w:rPr>
      </w:pPr>
    </w:p>
    <w:p>
      <w:pPr>
        <w:jc w:val="both"/>
        <w:ind w:left="120" w:right="20" w:firstLine="1940"/>
        <w:spacing w:after="0" w:line="297" w:lineRule="auto"/>
        <w:tabs>
          <w:tab w:leader="none" w:pos="2605"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Distributions</w:t>
      </w:r>
      <w:r>
        <w:rPr>
          <w:rFonts w:ascii="Arial" w:cs="Arial" w:eastAsia="Arial" w:hAnsi="Arial"/>
          <w:sz w:val="19"/>
          <w:szCs w:val="19"/>
          <w:color w:val="auto"/>
        </w:rPr>
        <w:t>.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declare and pay cash or stock dividends on its capital stock.</w:t>
      </w:r>
    </w:p>
    <w:p>
      <w:pPr>
        <w:spacing w:after="0" w:line="173" w:lineRule="exact"/>
        <w:rPr>
          <w:rFonts w:ascii="Arial" w:cs="Arial" w:eastAsia="Arial" w:hAnsi="Arial"/>
          <w:sz w:val="19"/>
          <w:szCs w:val="19"/>
          <w:color w:val="auto"/>
        </w:rPr>
      </w:pPr>
    </w:p>
    <w:p>
      <w:pPr>
        <w:jc w:val="both"/>
        <w:ind w:left="120" w:right="20" w:firstLine="1940"/>
        <w:spacing w:after="0" w:line="289" w:lineRule="auto"/>
        <w:tabs>
          <w:tab w:leader="none" w:pos="2600"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Change of Name or Location of Records Files</w:t>
      </w:r>
      <w:r>
        <w:rPr>
          <w:rFonts w:ascii="Arial" w:cs="Arial" w:eastAsia="Arial" w:hAnsi="Arial"/>
          <w:sz w:val="19"/>
          <w:szCs w:val="19"/>
          <w:color w:val="auto"/>
        </w:rPr>
        <w:t xml:space="preserve">. The Borrower shall not (x) change its name or state of organization, move the location of its principal place of business and chief executive office, and the offices where it keeps the Records from the locations referred to in </w:t>
      </w:r>
      <w:r>
        <w:rPr>
          <w:rFonts w:ascii="Arial" w:cs="Arial" w:eastAsia="Arial" w:hAnsi="Arial"/>
          <w:sz w:val="19"/>
          <w:szCs w:val="19"/>
          <w:u w:val="single" w:color="auto"/>
          <w:color w:val="auto"/>
        </w:rPr>
        <w:t>Sections 4.1(p)</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14.2</w:t>
      </w:r>
      <w:r>
        <w:rPr>
          <w:rFonts w:ascii="Arial" w:cs="Arial" w:eastAsia="Arial" w:hAnsi="Arial"/>
          <w:sz w:val="19"/>
          <w:szCs w:val="19"/>
          <w:color w:val="auto"/>
        </w:rPr>
        <w:t xml:space="preserve"> or (y) move, or consent to the Custodian or Servicer moving, the Records/Contract Files from the location thereof on the Closing Date, unless the Borrower has given at least thirty (30) days’ written notice to the Deal Agent and the Collateral Agent and has taken all actions required under the UCC of each 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19"/>
          <w:szCs w:val="19"/>
          <w:u w:val="single" w:color="auto"/>
          <w:color w:val="auto"/>
        </w:rPr>
        <w:t>Section 6.2(c)(iii)</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jc w:val="both"/>
        <w:ind w:left="120" w:right="20" w:firstLine="1940"/>
        <w:spacing w:after="0" w:line="312" w:lineRule="auto"/>
        <w:tabs>
          <w:tab w:leader="none" w:pos="2599"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Accounting of the Contribution Agreement</w:t>
      </w:r>
      <w:r>
        <w:rPr>
          <w:rFonts w:ascii="Arial" w:cs="Arial" w:eastAsia="Arial" w:hAnsi="Arial"/>
          <w:sz w:val="19"/>
          <w:szCs w:val="19"/>
          <w:color w:val="auto"/>
        </w:rPr>
        <w:t>. The Borrower will not account for or treat (whether in financial statements or otherwise) the transaction contemplated by the Contribution Agreement in any manner other than as a contribution, or absolute assignment, of the Loans and related assets by the Originator to the Borrower.</w:t>
      </w:r>
    </w:p>
    <w:p>
      <w:pPr>
        <w:spacing w:after="0" w:line="173" w:lineRule="exact"/>
        <w:rPr>
          <w:rFonts w:ascii="Arial" w:cs="Arial" w:eastAsia="Arial" w:hAnsi="Arial"/>
          <w:sz w:val="19"/>
          <w:szCs w:val="19"/>
          <w:color w:val="auto"/>
        </w:rPr>
      </w:pPr>
    </w:p>
    <w:p>
      <w:pPr>
        <w:jc w:val="both"/>
        <w:ind w:left="120" w:right="40" w:firstLine="1940"/>
        <w:spacing w:after="0" w:line="288" w:lineRule="auto"/>
        <w:tabs>
          <w:tab w:leader="none" w:pos="2592" w:val="left"/>
        </w:tabs>
        <w:numPr>
          <w:ilvl w:val="0"/>
          <w:numId w:val="367"/>
        </w:numPr>
        <w:rPr>
          <w:rFonts w:ascii="Arial" w:cs="Arial" w:eastAsia="Arial" w:hAnsi="Arial"/>
          <w:sz w:val="19"/>
          <w:szCs w:val="19"/>
          <w:color w:val="auto"/>
        </w:rPr>
      </w:pPr>
      <w:r>
        <w:rPr>
          <w:rFonts w:ascii="Arial" w:cs="Arial" w:eastAsia="Arial" w:hAnsi="Arial"/>
          <w:sz w:val="19"/>
          <w:szCs w:val="19"/>
          <w:u w:val="single" w:color="auto"/>
          <w:color w:val="auto"/>
        </w:rPr>
        <w:t>ERISA Matters</w:t>
      </w:r>
      <w:r>
        <w:rPr>
          <w:rFonts w:ascii="Arial" w:cs="Arial" w:eastAsia="Arial" w:hAnsi="Arial"/>
          <w:sz w:val="19"/>
          <w:szCs w:val="19"/>
          <w:color w:val="auto"/>
        </w:rPr>
        <w:t>. The Borrower will not: (i) engage or permit any ERISA Affiliate to engage in any prohibited transaction for which an exemption is not available or has not previously been obtained from the United States Department of Labor; (ii) permit to exist any failure to satisfy minimum funding standards, as defined in Section 302(a) of</w:t>
      </w:r>
    </w:p>
    <w:p>
      <w:pPr>
        <w:ind w:left="120"/>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75</w:t>
      </w:r>
    </w:p>
    <w:p>
      <w:pPr>
        <w:sectPr>
          <w:pgSz w:w="11900" w:h="16838" w:orient="portrait"/>
          <w:cols w:equalWidth="0" w:num="1">
            <w:col w:w="11140"/>
          </w:cols>
          <w:pgMar w:left="320" w:top="1428" w:right="439" w:bottom="1440" w:gutter="0" w:footer="0" w:header="0"/>
        </w:sectPr>
      </w:pPr>
    </w:p>
    <w:bookmarkStart w:id="343" w:name="page344"/>
    <w:bookmarkEnd w:id="343"/>
    <w:p>
      <w:pPr>
        <w:jc w:val="both"/>
        <w:ind w:left="100"/>
        <w:spacing w:after="0" w:line="302" w:lineRule="auto"/>
        <w:rPr>
          <w:sz w:val="20"/>
          <w:szCs w:val="20"/>
          <w:color w:val="auto"/>
        </w:rPr>
      </w:pPr>
      <w:r>
        <w:rPr>
          <w:rFonts w:ascii="Arial" w:cs="Arial" w:eastAsia="Arial" w:hAnsi="Arial"/>
          <w:sz w:val="19"/>
          <w:szCs w:val="19"/>
          <w:color w:val="auto"/>
        </w:rPr>
        <w:t>and Section 412(a) of the Code, or funding deficiency with respect to any Benefit Plan other than a Multiemployer Plan; (iii) fail to make any payments to a Multiemployer Plan that the Borrower or any ERISA Affiliate may be required to make under the agreement relating to such Multiemployer Plan or any law pertaining thereto; (iv) terminate any Benefit Plan so as to result in any liability; or (v) permit to exist any occurrence of any “reportable event” as defined in Section 4043 of ERISA.</w:t>
      </w:r>
    </w:p>
    <w:p>
      <w:pPr>
        <w:spacing w:after="0" w:line="183" w:lineRule="exact"/>
        <w:rPr>
          <w:sz w:val="20"/>
          <w:szCs w:val="20"/>
          <w:color w:val="auto"/>
        </w:rPr>
      </w:pPr>
    </w:p>
    <w:p>
      <w:pPr>
        <w:jc w:val="both"/>
        <w:ind w:left="100" w:right="40" w:firstLine="1942"/>
        <w:spacing w:after="0" w:line="302" w:lineRule="auto"/>
        <w:tabs>
          <w:tab w:leader="none" w:pos="2599" w:val="left"/>
        </w:tabs>
        <w:numPr>
          <w:ilvl w:val="0"/>
          <w:numId w:val="368"/>
        </w:numPr>
        <w:rPr>
          <w:rFonts w:ascii="Arial" w:cs="Arial" w:eastAsia="Arial" w:hAnsi="Arial"/>
          <w:sz w:val="19"/>
          <w:szCs w:val="19"/>
          <w:color w:val="auto"/>
        </w:rPr>
      </w:pPr>
      <w:r>
        <w:rPr>
          <w:rFonts w:ascii="Arial" w:cs="Arial" w:eastAsia="Arial" w:hAnsi="Arial"/>
          <w:sz w:val="19"/>
          <w:szCs w:val="19"/>
          <w:u w:val="single" w:color="auto"/>
          <w:color w:val="auto"/>
        </w:rPr>
        <w:t>Articles of Incorporation; Contribution Agreement</w:t>
      </w:r>
      <w:r>
        <w:rPr>
          <w:rFonts w:ascii="Arial" w:cs="Arial" w:eastAsia="Arial" w:hAnsi="Arial"/>
          <w:sz w:val="19"/>
          <w:szCs w:val="19"/>
          <w:color w:val="auto"/>
        </w:rPr>
        <w:t>. The Borrower will not amend, modify, waive or terminate any provision of its articles of incorporation or the Contribution Agreement unless the Deal Agent shall have consented to such change in writing and has received duly executed copies of all documentation related thereto. The Borrower will not take any action under the Contribution Agreement which would have a Material Adverse Effect.</w:t>
      </w:r>
    </w:p>
    <w:p>
      <w:pPr>
        <w:spacing w:after="0" w:line="250" w:lineRule="exact"/>
        <w:rPr>
          <w:rFonts w:ascii="Arial" w:cs="Arial" w:eastAsia="Arial" w:hAnsi="Arial"/>
          <w:sz w:val="19"/>
          <w:szCs w:val="19"/>
          <w:color w:val="auto"/>
        </w:rPr>
      </w:pPr>
    </w:p>
    <w:p>
      <w:pPr>
        <w:jc w:val="both"/>
        <w:ind w:left="100" w:right="60" w:firstLine="1942"/>
        <w:spacing w:after="0" w:line="250" w:lineRule="auto"/>
        <w:tabs>
          <w:tab w:leader="none" w:pos="2593" w:val="left"/>
        </w:tabs>
        <w:numPr>
          <w:ilvl w:val="0"/>
          <w:numId w:val="368"/>
        </w:numPr>
        <w:rPr>
          <w:rFonts w:ascii="Arial" w:cs="Arial" w:eastAsia="Arial" w:hAnsi="Arial"/>
          <w:sz w:val="22"/>
          <w:szCs w:val="22"/>
          <w:color w:val="auto"/>
        </w:rPr>
      </w:pPr>
      <w:r>
        <w:rPr>
          <w:rFonts w:ascii="Arial" w:cs="Arial" w:eastAsia="Arial" w:hAnsi="Arial"/>
          <w:sz w:val="22"/>
          <w:szCs w:val="22"/>
          <w:u w:val="single" w:color="auto"/>
          <w:color w:val="auto"/>
        </w:rPr>
        <w:t>Changes in Payment Instructions to Obligors</w:t>
      </w:r>
      <w:r>
        <w:rPr>
          <w:rFonts w:ascii="Arial" w:cs="Arial" w:eastAsia="Arial" w:hAnsi="Arial"/>
          <w:sz w:val="22"/>
          <w:szCs w:val="22"/>
          <w:color w:val="auto"/>
        </w:rPr>
        <w:t>. The Borrower will not make any change, or permit the Servicer to make any change, in its instructions to Obligors regarding where payments in respect of Contracts are to be made to the Borrower or the Servicer, unless the Deal Agent shall have consented to such change in writing and has received duly executed copies of all documentation related thereto.</w:t>
      </w:r>
    </w:p>
    <w:p>
      <w:pPr>
        <w:spacing w:after="0" w:line="214" w:lineRule="exact"/>
        <w:rPr>
          <w:rFonts w:ascii="Arial" w:cs="Arial" w:eastAsia="Arial" w:hAnsi="Arial"/>
          <w:sz w:val="22"/>
          <w:szCs w:val="22"/>
          <w:color w:val="auto"/>
        </w:rPr>
      </w:pPr>
    </w:p>
    <w:p>
      <w:pPr>
        <w:jc w:val="both"/>
        <w:ind w:left="100" w:right="40" w:firstLine="1942"/>
        <w:spacing w:after="0" w:line="302" w:lineRule="auto"/>
        <w:tabs>
          <w:tab w:leader="none" w:pos="2599" w:val="left"/>
        </w:tabs>
        <w:numPr>
          <w:ilvl w:val="0"/>
          <w:numId w:val="368"/>
        </w:numPr>
        <w:rPr>
          <w:rFonts w:ascii="Arial" w:cs="Arial" w:eastAsia="Arial" w:hAnsi="Arial"/>
          <w:sz w:val="19"/>
          <w:szCs w:val="19"/>
          <w:color w:val="auto"/>
        </w:rPr>
      </w:pPr>
      <w:r>
        <w:rPr>
          <w:rFonts w:ascii="Arial" w:cs="Arial" w:eastAsia="Arial" w:hAnsi="Arial"/>
          <w:sz w:val="19"/>
          <w:szCs w:val="19"/>
          <w:u w:val="single" w:color="auto"/>
          <w:color w:val="auto"/>
        </w:rPr>
        <w:t>Extension or Amendment</w:t>
      </w:r>
      <w:r>
        <w:rPr>
          <w:rFonts w:ascii="Arial" w:cs="Arial" w:eastAsia="Arial" w:hAnsi="Arial"/>
          <w:sz w:val="19"/>
          <w:szCs w:val="19"/>
          <w:color w:val="auto"/>
        </w:rPr>
        <w:t xml:space="preserve">. The Borrower will not, except as otherwise permitted hereunder or by law, extend, amend or otherwise modify, or permit the Servicer to extend, amend or otherwise modify, the terms of any Dealer Agreement, Loan or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Dealer Agreements may be amended (i) in connection with the closing of or opening of a Pool and (ii) in a manner that does not materially impair the collectability of any Loan or Contract.</w:t>
      </w:r>
    </w:p>
    <w:p>
      <w:pPr>
        <w:spacing w:after="0" w:line="182" w:lineRule="exact"/>
        <w:rPr>
          <w:rFonts w:ascii="Arial" w:cs="Arial" w:eastAsia="Arial" w:hAnsi="Arial"/>
          <w:sz w:val="19"/>
          <w:szCs w:val="19"/>
          <w:color w:val="auto"/>
        </w:rPr>
      </w:pPr>
    </w:p>
    <w:p>
      <w:pPr>
        <w:jc w:val="both"/>
        <w:ind w:left="100" w:right="40" w:firstLine="1942"/>
        <w:spacing w:after="0" w:line="263" w:lineRule="auto"/>
        <w:tabs>
          <w:tab w:leader="none" w:pos="2599" w:val="left"/>
        </w:tabs>
        <w:numPr>
          <w:ilvl w:val="0"/>
          <w:numId w:val="368"/>
        </w:numPr>
        <w:rPr>
          <w:rFonts w:ascii="Arial" w:cs="Arial" w:eastAsia="Arial" w:hAnsi="Arial"/>
          <w:sz w:val="21"/>
          <w:szCs w:val="21"/>
          <w:color w:val="auto"/>
        </w:rPr>
      </w:pPr>
      <w:r>
        <w:rPr>
          <w:rFonts w:ascii="Arial" w:cs="Arial" w:eastAsia="Arial" w:hAnsi="Arial"/>
          <w:sz w:val="21"/>
          <w:szCs w:val="21"/>
          <w:u w:val="single" w:color="auto"/>
          <w:color w:val="auto"/>
        </w:rPr>
        <w:t>Collection Guidelines</w:t>
      </w:r>
      <w:r>
        <w:rPr>
          <w:rFonts w:ascii="Arial" w:cs="Arial" w:eastAsia="Arial" w:hAnsi="Arial"/>
          <w:sz w:val="21"/>
          <w:szCs w:val="21"/>
          <w:color w:val="auto"/>
        </w:rPr>
        <w:t>. The Borrower will not permit the amendment, modification, restatement or replacement, in whole or in part, of the Collection Guidelines of the initial Servicer, which change would materially impair the collectibility of any Loan or Contract or otherwise adversely affect the interests or the remedies of the Deal Agent, the Collateral Agent or the Secured Parties under this Agreement or any other Transaction Document, without the prior written consent of the Required Lenders other than if required by Applicable Law.</w:t>
      </w:r>
    </w:p>
    <w:p>
      <w:pPr>
        <w:spacing w:after="0" w:line="283" w:lineRule="exact"/>
        <w:rPr>
          <w:rFonts w:ascii="Arial" w:cs="Arial" w:eastAsia="Arial" w:hAnsi="Arial"/>
          <w:sz w:val="21"/>
          <w:szCs w:val="21"/>
          <w:color w:val="auto"/>
        </w:rPr>
      </w:pPr>
    </w:p>
    <w:p>
      <w:pPr>
        <w:jc w:val="both"/>
        <w:ind w:left="100" w:right="60" w:firstLine="1942"/>
        <w:spacing w:after="0" w:line="253" w:lineRule="auto"/>
        <w:tabs>
          <w:tab w:leader="none" w:pos="2593" w:val="left"/>
        </w:tabs>
        <w:numPr>
          <w:ilvl w:val="0"/>
          <w:numId w:val="368"/>
        </w:numPr>
        <w:rPr>
          <w:rFonts w:ascii="Arial" w:cs="Arial" w:eastAsia="Arial" w:hAnsi="Arial"/>
          <w:sz w:val="22"/>
          <w:szCs w:val="22"/>
          <w:color w:val="auto"/>
        </w:rPr>
      </w:pPr>
      <w:r>
        <w:rPr>
          <w:rFonts w:ascii="Arial" w:cs="Arial" w:eastAsia="Arial" w:hAnsi="Arial"/>
          <w:sz w:val="22"/>
          <w:szCs w:val="22"/>
          <w:u w:val="single" w:color="auto"/>
          <w:color w:val="auto"/>
        </w:rPr>
        <w:t>No Assignments</w:t>
      </w:r>
      <w:r>
        <w:rPr>
          <w:rFonts w:ascii="Arial" w:cs="Arial" w:eastAsia="Arial" w:hAnsi="Arial"/>
          <w:sz w:val="22"/>
          <w:szCs w:val="22"/>
          <w:color w:val="auto"/>
        </w:rPr>
        <w:t>. The Borrower will not assign or delegate, or grant any interest in, or permit any Lien to exist upon, any of its rights, obligations or duties under this Agreement without the prior written consent of the Deal Agent.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76</w:t>
      </w:r>
    </w:p>
    <w:p>
      <w:pPr>
        <w:sectPr>
          <w:pgSz w:w="11900" w:h="16838" w:orient="portrait"/>
          <w:cols w:equalWidth="0" w:num="1">
            <w:col w:w="11140"/>
          </w:cols>
          <w:pgMar w:left="320" w:top="1428" w:right="439" w:bottom="1440" w:gutter="0" w:footer="0" w:header="0"/>
        </w:sectPr>
      </w:pPr>
    </w:p>
    <w:bookmarkStart w:id="344" w:name="page345"/>
    <w:bookmarkEnd w:id="344"/>
    <w:p>
      <w:pPr>
        <w:ind w:left="2700" w:hanging="640"/>
        <w:spacing w:after="0"/>
        <w:tabs>
          <w:tab w:leader="none" w:pos="2700" w:val="left"/>
        </w:tabs>
        <w:numPr>
          <w:ilvl w:val="0"/>
          <w:numId w:val="369"/>
        </w:numPr>
        <w:rPr>
          <w:rFonts w:ascii="Arial" w:cs="Arial" w:eastAsia="Arial" w:hAnsi="Arial"/>
          <w:sz w:val="22"/>
          <w:szCs w:val="22"/>
          <w:color w:val="auto"/>
        </w:rPr>
      </w:pPr>
      <w:r>
        <w:rPr>
          <w:rFonts w:ascii="Arial" w:cs="Arial" w:eastAsia="Arial" w:hAnsi="Arial"/>
          <w:sz w:val="22"/>
          <w:szCs w:val="22"/>
          <w:u w:val="single" w:color="auto"/>
          <w:color w:val="auto"/>
        </w:rPr>
        <w:t>Special Purpose Entity</w:t>
      </w:r>
      <w:r>
        <w:rPr>
          <w:rFonts w:ascii="Arial" w:cs="Arial" w:eastAsia="Arial" w:hAnsi="Arial"/>
          <w:sz w:val="22"/>
          <w:szCs w:val="22"/>
          <w:color w:val="auto"/>
        </w:rPr>
        <w:t>. The Borrower has not and shall not:</w:t>
      </w:r>
    </w:p>
    <w:p>
      <w:pPr>
        <w:spacing w:after="0" w:line="260" w:lineRule="exact"/>
        <w:rPr>
          <w:rFonts w:ascii="Arial" w:cs="Arial" w:eastAsia="Arial" w:hAnsi="Arial"/>
          <w:sz w:val="22"/>
          <w:szCs w:val="22"/>
          <w:color w:val="auto"/>
        </w:rPr>
      </w:pPr>
    </w:p>
    <w:p>
      <w:pPr>
        <w:jc w:val="both"/>
        <w:ind w:left="120" w:firstLine="2384"/>
        <w:spacing w:after="0" w:line="253" w:lineRule="auto"/>
        <w:tabs>
          <w:tab w:leader="none" w:pos="325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engage in any business or activity other than the purchase and receipt of Loans and related assets from the Originator under the Contribution Agreement, the pledge of Loans and related assets under the Transaction Documents and such other activities as are incidental thereto;</w:t>
      </w:r>
    </w:p>
    <w:p>
      <w:pPr>
        <w:spacing w:after="0" w:line="293" w:lineRule="exact"/>
        <w:rPr>
          <w:rFonts w:ascii="Arial" w:cs="Arial" w:eastAsia="Arial" w:hAnsi="Arial"/>
          <w:sz w:val="22"/>
          <w:szCs w:val="22"/>
          <w:color w:val="auto"/>
        </w:rPr>
      </w:pPr>
    </w:p>
    <w:p>
      <w:pPr>
        <w:jc w:val="both"/>
        <w:ind w:left="120" w:right="20" w:firstLine="2324"/>
        <w:spacing w:after="0" w:line="253" w:lineRule="auto"/>
        <w:tabs>
          <w:tab w:leader="none" w:pos="3253" w:val="left"/>
        </w:tabs>
        <w:numPr>
          <w:ilvl w:val="1"/>
          <w:numId w:val="369"/>
        </w:numPr>
        <w:rPr>
          <w:rFonts w:ascii="Arial" w:cs="Arial" w:eastAsia="Arial" w:hAnsi="Arial"/>
          <w:sz w:val="22"/>
          <w:szCs w:val="22"/>
          <w:color w:val="auto"/>
        </w:rPr>
      </w:pPr>
      <w:r>
        <w:rPr>
          <w:rFonts w:ascii="Arial" w:cs="Arial" w:eastAsia="Arial" w:hAnsi="Arial"/>
          <w:sz w:val="22"/>
          <w:szCs w:val="22"/>
          <w:color w:val="auto"/>
        </w:rPr>
        <w:t>acquire or own any material assets other than (A) the Loans and related assets from the Originator under the Contribution Agreement and (B) incidental property as may be necessary for the operation of the Borrower;</w:t>
      </w:r>
    </w:p>
    <w:p>
      <w:pPr>
        <w:spacing w:after="0" w:line="212" w:lineRule="exact"/>
        <w:rPr>
          <w:rFonts w:ascii="Arial" w:cs="Arial" w:eastAsia="Arial" w:hAnsi="Arial"/>
          <w:sz w:val="22"/>
          <w:szCs w:val="22"/>
          <w:color w:val="auto"/>
        </w:rPr>
      </w:pPr>
    </w:p>
    <w:p>
      <w:pPr>
        <w:jc w:val="both"/>
        <w:ind w:left="120" w:right="40" w:firstLine="2264"/>
        <w:spacing w:after="0" w:line="253" w:lineRule="auto"/>
        <w:tabs>
          <w:tab w:leader="none" w:pos="325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merge into or consolidate with any Person or dissolve, terminate or liquidate in whole or in part, transfer or otherwise dispose of all or substantially all of its assets or change its legal structure, without in each case first obtaining the Deal Agent’s consent;</w:t>
      </w:r>
    </w:p>
    <w:p>
      <w:pPr>
        <w:spacing w:after="0" w:line="293" w:lineRule="exact"/>
        <w:rPr>
          <w:rFonts w:ascii="Arial" w:cs="Arial" w:eastAsia="Arial" w:hAnsi="Arial"/>
          <w:sz w:val="22"/>
          <w:szCs w:val="22"/>
          <w:color w:val="auto"/>
        </w:rPr>
      </w:pPr>
    </w:p>
    <w:p>
      <w:pPr>
        <w:jc w:val="both"/>
        <w:ind w:left="120" w:right="40" w:firstLine="2276"/>
        <w:spacing w:after="0" w:line="250" w:lineRule="auto"/>
        <w:tabs>
          <w:tab w:leader="none" w:pos="325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fail to preserve its existence as an entity duly organized, validly existing and in good standing under the laws of the jurisdiction of its organization or formation, or without the prior written consent of the Deal Agent, amend, modify, terminate, fail to comply with the provisions of its articles of incorporation, or fail to observe corporate formalities;</w:t>
      </w:r>
    </w:p>
    <w:p>
      <w:pPr>
        <w:spacing w:after="0" w:line="295" w:lineRule="exact"/>
        <w:rPr>
          <w:rFonts w:ascii="Arial" w:cs="Arial" w:eastAsia="Arial" w:hAnsi="Arial"/>
          <w:sz w:val="22"/>
          <w:szCs w:val="22"/>
          <w:color w:val="auto"/>
        </w:rPr>
      </w:pPr>
    </w:p>
    <w:p>
      <w:pPr>
        <w:ind w:left="3240" w:hanging="784"/>
        <w:spacing w:after="0"/>
        <w:tabs>
          <w:tab w:leader="none" w:pos="3240" w:val="left"/>
        </w:tabs>
        <w:numPr>
          <w:ilvl w:val="1"/>
          <w:numId w:val="369"/>
        </w:numPr>
        <w:rPr>
          <w:rFonts w:ascii="Arial" w:cs="Arial" w:eastAsia="Arial" w:hAnsi="Arial"/>
          <w:sz w:val="19"/>
          <w:szCs w:val="19"/>
          <w:color w:val="auto"/>
        </w:rPr>
      </w:pPr>
      <w:r>
        <w:rPr>
          <w:rFonts w:ascii="Arial" w:cs="Arial" w:eastAsia="Arial" w:hAnsi="Arial"/>
          <w:sz w:val="19"/>
          <w:szCs w:val="19"/>
          <w:color w:val="auto"/>
        </w:rPr>
        <w:t>own any subsidiary or make any investment in any Person without the consent of the Deal</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Agent;</w:t>
      </w:r>
    </w:p>
    <w:p>
      <w:pPr>
        <w:spacing w:after="0" w:line="242" w:lineRule="exact"/>
        <w:rPr>
          <w:rFonts w:ascii="Arial" w:cs="Arial" w:eastAsia="Arial" w:hAnsi="Arial"/>
          <w:sz w:val="19"/>
          <w:szCs w:val="19"/>
          <w:color w:val="auto"/>
        </w:rPr>
      </w:pPr>
    </w:p>
    <w:p>
      <w:pPr>
        <w:jc w:val="both"/>
        <w:ind w:left="120" w:right="40" w:firstLine="2276"/>
        <w:spacing w:after="0" w:line="312" w:lineRule="auto"/>
        <w:tabs>
          <w:tab w:leader="none" w:pos="3252" w:val="left"/>
        </w:tabs>
        <w:numPr>
          <w:ilvl w:val="1"/>
          <w:numId w:val="369"/>
        </w:numPr>
        <w:rPr>
          <w:rFonts w:ascii="Arial" w:cs="Arial" w:eastAsia="Arial" w:hAnsi="Arial"/>
          <w:sz w:val="19"/>
          <w:szCs w:val="19"/>
          <w:color w:val="auto"/>
        </w:rPr>
      </w:pPr>
      <w:r>
        <w:rPr>
          <w:rFonts w:ascii="Arial" w:cs="Arial" w:eastAsia="Arial" w:hAnsi="Arial"/>
          <w:sz w:val="19"/>
          <w:szCs w:val="19"/>
          <w:color w:val="auto"/>
        </w:rPr>
        <w:t>commingle its assets or funds with the assets or funds of any of its Affiliates, or of any other Person, except for (A) Dealer Collections, (B) erroneous deposits or (C) prior to the identification and separation of such funds or assets by the Servicer in accordance with the Servicer’s normal and customary business practices;</w:t>
      </w:r>
    </w:p>
    <w:p>
      <w:pPr>
        <w:spacing w:after="0" w:line="173" w:lineRule="exact"/>
        <w:rPr>
          <w:rFonts w:ascii="Arial" w:cs="Arial" w:eastAsia="Arial" w:hAnsi="Arial"/>
          <w:sz w:val="19"/>
          <w:szCs w:val="19"/>
          <w:color w:val="auto"/>
        </w:rPr>
      </w:pPr>
    </w:p>
    <w:p>
      <w:pPr>
        <w:jc w:val="both"/>
        <w:ind w:left="120" w:right="40" w:firstLine="2216"/>
        <w:spacing w:after="0" w:line="297" w:lineRule="auto"/>
        <w:tabs>
          <w:tab w:leader="none" w:pos="3253" w:val="left"/>
        </w:tabs>
        <w:numPr>
          <w:ilvl w:val="1"/>
          <w:numId w:val="369"/>
        </w:numPr>
        <w:rPr>
          <w:rFonts w:ascii="Arial" w:cs="Arial" w:eastAsia="Arial" w:hAnsi="Arial"/>
          <w:sz w:val="19"/>
          <w:szCs w:val="19"/>
          <w:color w:val="auto"/>
        </w:rPr>
      </w:pPr>
      <w:r>
        <w:rPr>
          <w:rFonts w:ascii="Arial" w:cs="Arial" w:eastAsia="Arial" w:hAnsi="Arial"/>
          <w:sz w:val="19"/>
          <w:szCs w:val="19"/>
          <w:color w:val="auto"/>
        </w:rPr>
        <w:t>incur any debt, secured or unsecured, direct or contingent (including guaranteeing any obligation), other than (A) indebtedness to the Lenders hereunder or in conjunction with a repayment of Aggregate Unpaids owed to the Lenders, (B) indebtedness to the Originator under the Contribution Agreement in respect of the purchase of Loans (which indebtedness, if any, shall be subordinate to the indebtedness arising hereunder), and (C) trade payables in the ordinary course of its business, provided that such debt is not evidenced by a note and paid when due;</w:t>
      </w:r>
    </w:p>
    <w:p>
      <w:pPr>
        <w:spacing w:after="0" w:line="254" w:lineRule="exact"/>
        <w:rPr>
          <w:rFonts w:ascii="Arial" w:cs="Arial" w:eastAsia="Arial" w:hAnsi="Arial"/>
          <w:sz w:val="19"/>
          <w:szCs w:val="19"/>
          <w:color w:val="auto"/>
        </w:rPr>
      </w:pPr>
    </w:p>
    <w:p>
      <w:pPr>
        <w:ind w:left="3240" w:hanging="964"/>
        <w:spacing w:after="0"/>
        <w:tabs>
          <w:tab w:leader="none" w:pos="3240" w:val="left"/>
        </w:tabs>
        <w:numPr>
          <w:ilvl w:val="1"/>
          <w:numId w:val="369"/>
        </w:numPr>
        <w:rPr>
          <w:rFonts w:ascii="Arial" w:cs="Arial" w:eastAsia="Arial" w:hAnsi="Arial"/>
          <w:sz w:val="19"/>
          <w:szCs w:val="19"/>
          <w:color w:val="auto"/>
        </w:rPr>
      </w:pPr>
      <w:r>
        <w:rPr>
          <w:rFonts w:ascii="Arial" w:cs="Arial" w:eastAsia="Arial" w:hAnsi="Arial"/>
          <w:sz w:val="19"/>
          <w:szCs w:val="19"/>
          <w:color w:val="auto"/>
        </w:rPr>
        <w:t>become insolvent or fail to pay its debts and liabilities from its assets as the same shall</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become due;</w:t>
      </w:r>
    </w:p>
    <w:p>
      <w:pPr>
        <w:spacing w:after="0" w:line="228" w:lineRule="exact"/>
        <w:rPr>
          <w:rFonts w:ascii="Arial" w:cs="Arial" w:eastAsia="Arial" w:hAnsi="Arial"/>
          <w:sz w:val="19"/>
          <w:szCs w:val="19"/>
          <w:color w:val="auto"/>
        </w:rPr>
      </w:pPr>
    </w:p>
    <w:p>
      <w:pPr>
        <w:ind w:left="120" w:right="300" w:firstLine="2276"/>
        <w:spacing w:after="0" w:line="263" w:lineRule="auto"/>
        <w:tabs>
          <w:tab w:leader="none" w:pos="3252" w:val="left"/>
        </w:tabs>
        <w:numPr>
          <w:ilvl w:val="1"/>
          <w:numId w:val="369"/>
        </w:numPr>
        <w:rPr>
          <w:rFonts w:ascii="Arial" w:cs="Arial" w:eastAsia="Arial" w:hAnsi="Arial"/>
          <w:sz w:val="22"/>
          <w:szCs w:val="22"/>
          <w:color w:val="auto"/>
        </w:rPr>
      </w:pPr>
      <w:r>
        <w:rPr>
          <w:rFonts w:ascii="Arial" w:cs="Arial" w:eastAsia="Arial" w:hAnsi="Arial"/>
          <w:sz w:val="22"/>
          <w:szCs w:val="22"/>
          <w:color w:val="auto"/>
        </w:rPr>
        <w:t>fail to maintain its records, books of account and bank accounts separate and apart from those of its principal and Affiliates, and any other Person;</w:t>
      </w:r>
    </w:p>
    <w:p>
      <w:pPr>
        <w:spacing w:after="0" w:line="215" w:lineRule="exact"/>
        <w:rPr>
          <w:rFonts w:ascii="Arial" w:cs="Arial" w:eastAsia="Arial" w:hAnsi="Arial"/>
          <w:sz w:val="22"/>
          <w:szCs w:val="22"/>
          <w:color w:val="auto"/>
        </w:rPr>
      </w:pPr>
    </w:p>
    <w:p>
      <w:pPr>
        <w:ind w:left="120" w:right="360" w:firstLine="2336"/>
        <w:spacing w:after="0" w:line="263" w:lineRule="auto"/>
        <w:tabs>
          <w:tab w:leader="none" w:pos="3253" w:val="left"/>
        </w:tabs>
        <w:numPr>
          <w:ilvl w:val="1"/>
          <w:numId w:val="369"/>
        </w:numPr>
        <w:rPr>
          <w:rFonts w:ascii="Arial" w:cs="Arial" w:eastAsia="Arial" w:hAnsi="Arial"/>
          <w:sz w:val="22"/>
          <w:szCs w:val="22"/>
          <w:color w:val="auto"/>
        </w:rPr>
      </w:pPr>
      <w:r>
        <w:rPr>
          <w:rFonts w:ascii="Arial" w:cs="Arial" w:eastAsia="Arial" w:hAnsi="Arial"/>
          <w:sz w:val="22"/>
          <w:szCs w:val="22"/>
          <w:color w:val="auto"/>
        </w:rPr>
        <w:t>enter into any contract or agreement with any of its principals or Affiliates or any other Person, except upon terms and conditions that are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77</w:t>
      </w:r>
    </w:p>
    <w:p>
      <w:pPr>
        <w:sectPr>
          <w:pgSz w:w="11900" w:h="16838" w:orient="portrait"/>
          <w:cols w:equalWidth="0" w:num="1">
            <w:col w:w="11140"/>
          </w:cols>
          <w:pgMar w:left="320" w:top="1428" w:right="439" w:bottom="1440" w:gutter="0" w:footer="0" w:header="0"/>
        </w:sectPr>
      </w:pPr>
    </w:p>
    <w:bookmarkStart w:id="345" w:name="page346"/>
    <w:bookmarkEnd w:id="345"/>
    <w:p>
      <w:pPr>
        <w:ind w:left="120" w:right="20"/>
        <w:spacing w:after="0" w:line="263" w:lineRule="auto"/>
        <w:rPr>
          <w:sz w:val="20"/>
          <w:szCs w:val="20"/>
          <w:color w:val="auto"/>
        </w:rPr>
      </w:pPr>
      <w:r>
        <w:rPr>
          <w:rFonts w:ascii="Arial" w:cs="Arial" w:eastAsia="Arial" w:hAnsi="Arial"/>
          <w:sz w:val="22"/>
          <w:szCs w:val="22"/>
          <w:color w:val="auto"/>
        </w:rPr>
        <w:t>commercially reasonable and intrinsically fair and substantially similar to those that would be available on an arms-length basis with third parties other than any principal or Affiliates;</w:t>
      </w:r>
    </w:p>
    <w:p>
      <w:pPr>
        <w:spacing w:after="0" w:line="215" w:lineRule="exact"/>
        <w:rPr>
          <w:sz w:val="20"/>
          <w:szCs w:val="20"/>
          <w:color w:val="auto"/>
        </w:rPr>
      </w:pPr>
    </w:p>
    <w:p>
      <w:pPr>
        <w:ind w:left="3340" w:hanging="632"/>
        <w:spacing w:after="0"/>
        <w:tabs>
          <w:tab w:leader="none" w:pos="334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seek its dissolution or winding up in whole or in part;</w:t>
      </w:r>
    </w:p>
    <w:p>
      <w:pPr>
        <w:spacing w:after="0" w:line="246" w:lineRule="exact"/>
        <w:rPr>
          <w:rFonts w:ascii="Arial" w:cs="Arial" w:eastAsia="Arial" w:hAnsi="Arial"/>
          <w:sz w:val="22"/>
          <w:szCs w:val="22"/>
          <w:color w:val="auto"/>
        </w:rPr>
      </w:pPr>
    </w:p>
    <w:p>
      <w:pPr>
        <w:ind w:left="120" w:right="20" w:firstLine="2588"/>
        <w:spacing w:after="0" w:line="263" w:lineRule="auto"/>
        <w:tabs>
          <w:tab w:leader="none" w:pos="3246" w:val="left"/>
        </w:tabs>
        <w:numPr>
          <w:ilvl w:val="0"/>
          <w:numId w:val="370"/>
        </w:numPr>
        <w:rPr>
          <w:rFonts w:ascii="Arial" w:cs="Arial" w:eastAsia="Arial" w:hAnsi="Arial"/>
          <w:sz w:val="22"/>
          <w:szCs w:val="22"/>
          <w:color w:val="auto"/>
        </w:rPr>
      </w:pPr>
      <w:r>
        <w:rPr>
          <w:rFonts w:ascii="Arial" w:cs="Arial" w:eastAsia="Arial" w:hAnsi="Arial"/>
          <w:sz w:val="22"/>
          <w:szCs w:val="22"/>
          <w:color w:val="auto"/>
        </w:rPr>
        <w:t>fail to correct any known misunderstandings regarding the separate identity of the Borrower or an Affiliate thereof or any other Person;</w:t>
      </w:r>
    </w:p>
    <w:p>
      <w:pPr>
        <w:spacing w:after="0" w:line="215" w:lineRule="exact"/>
        <w:rPr>
          <w:rFonts w:ascii="Arial" w:cs="Arial" w:eastAsia="Arial" w:hAnsi="Arial"/>
          <w:sz w:val="22"/>
          <w:szCs w:val="22"/>
          <w:color w:val="auto"/>
        </w:rPr>
      </w:pPr>
    </w:p>
    <w:p>
      <w:pPr>
        <w:ind w:left="3240" w:hanging="532"/>
        <w:spacing w:after="0"/>
        <w:tabs>
          <w:tab w:leader="none" w:pos="3240" w:val="left"/>
        </w:tabs>
        <w:numPr>
          <w:ilvl w:val="0"/>
          <w:numId w:val="370"/>
        </w:numPr>
        <w:rPr>
          <w:rFonts w:ascii="Arial" w:cs="Arial" w:eastAsia="Arial" w:hAnsi="Arial"/>
          <w:sz w:val="19"/>
          <w:szCs w:val="19"/>
          <w:color w:val="auto"/>
        </w:rPr>
      </w:pPr>
      <w:r>
        <w:rPr>
          <w:rFonts w:ascii="Arial" w:cs="Arial" w:eastAsia="Arial" w:hAnsi="Arial"/>
          <w:sz w:val="19"/>
          <w:szCs w:val="19"/>
          <w:color w:val="auto"/>
        </w:rPr>
        <w:t>guarantee, become obligated for, or hold itself out to be responsible for the debt of another</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Person;</w:t>
      </w:r>
    </w:p>
    <w:p>
      <w:pPr>
        <w:spacing w:after="0" w:line="228" w:lineRule="exact"/>
        <w:rPr>
          <w:rFonts w:ascii="Arial" w:cs="Arial" w:eastAsia="Arial" w:hAnsi="Arial"/>
          <w:sz w:val="19"/>
          <w:szCs w:val="19"/>
          <w:color w:val="auto"/>
        </w:rPr>
      </w:pPr>
    </w:p>
    <w:p>
      <w:pPr>
        <w:ind w:left="120" w:firstLine="2588"/>
        <w:spacing w:after="0" w:line="263" w:lineRule="auto"/>
        <w:tabs>
          <w:tab w:leader="none" w:pos="324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make any loan or advances to any third party, including any Affiliate, or hold evidence of indebtedness issued by any other Person (other than cash and investment-grade securities);</w:t>
      </w:r>
    </w:p>
    <w:p>
      <w:pPr>
        <w:spacing w:after="0" w:line="282" w:lineRule="exact"/>
        <w:rPr>
          <w:rFonts w:ascii="Arial" w:cs="Arial" w:eastAsia="Arial" w:hAnsi="Arial"/>
          <w:sz w:val="22"/>
          <w:szCs w:val="22"/>
          <w:color w:val="auto"/>
        </w:rPr>
      </w:pPr>
    </w:p>
    <w:p>
      <w:pPr>
        <w:jc w:val="both"/>
        <w:ind w:left="120" w:right="20" w:firstLine="2588"/>
        <w:spacing w:after="0" w:line="250" w:lineRule="auto"/>
        <w:tabs>
          <w:tab w:leader="none" w:pos="3248" w:val="left"/>
        </w:tabs>
        <w:numPr>
          <w:ilvl w:val="0"/>
          <w:numId w:val="370"/>
        </w:numPr>
        <w:rPr>
          <w:rFonts w:ascii="Arial" w:cs="Arial" w:eastAsia="Arial" w:hAnsi="Arial"/>
          <w:sz w:val="22"/>
          <w:szCs w:val="22"/>
          <w:color w:val="auto"/>
        </w:rPr>
      </w:pPr>
      <w:r>
        <w:rPr>
          <w:rFonts w:ascii="Arial" w:cs="Arial" w:eastAsia="Arial" w:hAnsi="Arial"/>
          <w:sz w:val="22"/>
          <w:szCs w:val="22"/>
          <w:color w:val="auto"/>
        </w:rPr>
        <w:t>fail either to hold itself out to the public as a legal entity separate and distinct from any other Person or to conduct its business solely in its own name in order not (A) to mislead others as to the identity with which such other party is transacting business, or (B) to suggest that it is responsible for the debts of any third party (including any of its Affiliates);</w:t>
      </w:r>
    </w:p>
    <w:p>
      <w:pPr>
        <w:spacing w:after="0" w:line="295" w:lineRule="exact"/>
        <w:rPr>
          <w:rFonts w:ascii="Arial" w:cs="Arial" w:eastAsia="Arial" w:hAnsi="Arial"/>
          <w:sz w:val="22"/>
          <w:szCs w:val="22"/>
          <w:color w:val="auto"/>
        </w:rPr>
      </w:pPr>
    </w:p>
    <w:p>
      <w:pPr>
        <w:ind w:left="120" w:right="20" w:firstLine="2588"/>
        <w:spacing w:after="0" w:line="263" w:lineRule="auto"/>
        <w:tabs>
          <w:tab w:leader="none" w:pos="3241" w:val="left"/>
        </w:tabs>
        <w:numPr>
          <w:ilvl w:val="0"/>
          <w:numId w:val="370"/>
        </w:numPr>
        <w:rPr>
          <w:rFonts w:ascii="Arial" w:cs="Arial" w:eastAsia="Arial" w:hAnsi="Arial"/>
          <w:sz w:val="22"/>
          <w:szCs w:val="22"/>
          <w:color w:val="auto"/>
        </w:rPr>
      </w:pPr>
      <w:r>
        <w:rPr>
          <w:rFonts w:ascii="Arial" w:cs="Arial" w:eastAsia="Arial" w:hAnsi="Arial"/>
          <w:sz w:val="22"/>
          <w:szCs w:val="22"/>
          <w:color w:val="auto"/>
        </w:rPr>
        <w:t>fail to maintain adequate capital for the normal obligations reasonably foreseeable in a business of its size and character and in light of its contemplated business operations;</w:t>
      </w:r>
    </w:p>
    <w:p>
      <w:pPr>
        <w:spacing w:after="0" w:line="282" w:lineRule="exact"/>
        <w:rPr>
          <w:rFonts w:ascii="Arial" w:cs="Arial" w:eastAsia="Arial" w:hAnsi="Arial"/>
          <w:sz w:val="22"/>
          <w:szCs w:val="22"/>
          <w:color w:val="auto"/>
        </w:rPr>
      </w:pPr>
    </w:p>
    <w:p>
      <w:pPr>
        <w:jc w:val="both"/>
        <w:ind w:left="120" w:right="20" w:firstLine="2588"/>
        <w:spacing w:after="0" w:line="253" w:lineRule="auto"/>
        <w:tabs>
          <w:tab w:leader="none" w:pos="3246" w:val="left"/>
        </w:tabs>
        <w:numPr>
          <w:ilvl w:val="0"/>
          <w:numId w:val="370"/>
        </w:numPr>
        <w:rPr>
          <w:rFonts w:ascii="Arial" w:cs="Arial" w:eastAsia="Arial" w:hAnsi="Arial"/>
          <w:sz w:val="22"/>
          <w:szCs w:val="22"/>
          <w:color w:val="auto"/>
        </w:rPr>
      </w:pPr>
      <w:r>
        <w:rPr>
          <w:rFonts w:ascii="Arial" w:cs="Arial" w:eastAsia="Arial" w:hAnsi="Arial"/>
          <w:sz w:val="22"/>
          <w:szCs w:val="22"/>
          <w:color w:val="auto"/>
        </w:rPr>
        <w:t>file or consent to the filing or any petition, either voluntary or involuntary, to take advantage of any applicable insolvency, bankruptcy, liquidation or reorganization statute, or make an assignment for the benefit of creditors;</w:t>
      </w:r>
    </w:p>
    <w:p>
      <w:pPr>
        <w:spacing w:after="0" w:line="226" w:lineRule="exact"/>
        <w:rPr>
          <w:sz w:val="20"/>
          <w:szCs w:val="20"/>
          <w:color w:val="auto"/>
        </w:rPr>
      </w:pPr>
    </w:p>
    <w:p>
      <w:pPr>
        <w:ind w:left="120" w:right="20" w:firstLine="2592"/>
        <w:spacing w:after="0" w:line="263" w:lineRule="auto"/>
        <w:rPr>
          <w:sz w:val="20"/>
          <w:szCs w:val="20"/>
          <w:color w:val="auto"/>
        </w:rPr>
      </w:pPr>
      <w:r>
        <w:rPr>
          <w:rFonts w:ascii="Arial" w:cs="Arial" w:eastAsia="Arial" w:hAnsi="Arial"/>
          <w:sz w:val="22"/>
          <w:szCs w:val="22"/>
          <w:color w:val="auto"/>
        </w:rPr>
        <w:t>(xviii)share any common logo with or hold itself out as or be considered as a department or division of (A) any of its Affiliates or (B) any other Person;</w:t>
      </w:r>
    </w:p>
    <w:p>
      <w:pPr>
        <w:spacing w:after="0" w:line="215" w:lineRule="exact"/>
        <w:rPr>
          <w:sz w:val="20"/>
          <w:szCs w:val="20"/>
          <w:color w:val="auto"/>
        </w:rPr>
      </w:pPr>
    </w:p>
    <w:p>
      <w:pPr>
        <w:ind w:left="3240" w:hanging="532"/>
        <w:spacing w:after="0"/>
        <w:tabs>
          <w:tab w:leader="none" w:pos="3240" w:val="left"/>
        </w:tabs>
        <w:numPr>
          <w:ilvl w:val="0"/>
          <w:numId w:val="371"/>
        </w:numPr>
        <w:rPr>
          <w:rFonts w:ascii="Arial" w:cs="Arial" w:eastAsia="Arial" w:hAnsi="Arial"/>
          <w:sz w:val="21"/>
          <w:szCs w:val="21"/>
          <w:color w:val="auto"/>
        </w:rPr>
      </w:pPr>
      <w:r>
        <w:rPr>
          <w:rFonts w:ascii="Arial" w:cs="Arial" w:eastAsia="Arial" w:hAnsi="Arial"/>
          <w:sz w:val="21"/>
          <w:szCs w:val="21"/>
          <w:color w:val="auto"/>
        </w:rPr>
        <w:t>permit any transfer (whether in any one or more transactions) of any direct or indirect</w:t>
      </w:r>
    </w:p>
    <w:p>
      <w:pPr>
        <w:spacing w:after="0" w:line="32" w:lineRule="exact"/>
        <w:rPr>
          <w:rFonts w:ascii="Arial" w:cs="Arial" w:eastAsia="Arial" w:hAnsi="Arial"/>
          <w:sz w:val="21"/>
          <w:szCs w:val="21"/>
          <w:color w:val="auto"/>
        </w:rPr>
      </w:pPr>
    </w:p>
    <w:p>
      <w:pPr>
        <w:ind w:left="120"/>
        <w:spacing w:after="0"/>
        <w:rPr>
          <w:rFonts w:ascii="Arial" w:cs="Arial" w:eastAsia="Arial" w:hAnsi="Arial"/>
          <w:sz w:val="21"/>
          <w:szCs w:val="21"/>
          <w:color w:val="auto"/>
        </w:rPr>
      </w:pPr>
      <w:r>
        <w:rPr>
          <w:rFonts w:ascii="Arial" w:cs="Arial" w:eastAsia="Arial" w:hAnsi="Arial"/>
          <w:sz w:val="22"/>
          <w:szCs w:val="22"/>
          <w:color w:val="auto"/>
        </w:rPr>
        <w:t>ownership interest in the Borrower;</w:t>
      </w:r>
    </w:p>
    <w:p>
      <w:pPr>
        <w:spacing w:after="0" w:line="228" w:lineRule="exact"/>
        <w:rPr>
          <w:rFonts w:ascii="Arial" w:cs="Arial" w:eastAsia="Arial" w:hAnsi="Arial"/>
          <w:sz w:val="21"/>
          <w:szCs w:val="21"/>
          <w:color w:val="auto"/>
        </w:rPr>
      </w:pPr>
    </w:p>
    <w:p>
      <w:pPr>
        <w:jc w:val="both"/>
        <w:ind w:left="120" w:right="20" w:firstLine="2588"/>
        <w:spacing w:after="0" w:line="253" w:lineRule="auto"/>
        <w:tabs>
          <w:tab w:leader="none" w:pos="3247" w:val="left"/>
        </w:tabs>
        <w:numPr>
          <w:ilvl w:val="0"/>
          <w:numId w:val="371"/>
        </w:numPr>
        <w:rPr>
          <w:rFonts w:ascii="Arial" w:cs="Arial" w:eastAsia="Arial" w:hAnsi="Arial"/>
          <w:sz w:val="22"/>
          <w:szCs w:val="22"/>
          <w:color w:val="auto"/>
        </w:rPr>
      </w:pPr>
      <w:r>
        <w:rPr>
          <w:rFonts w:ascii="Arial" w:cs="Arial" w:eastAsia="Arial" w:hAnsi="Arial"/>
          <w:sz w:val="22"/>
          <w:szCs w:val="22"/>
          <w:color w:val="auto"/>
        </w:rPr>
        <w:t>fail to maintain separate financial statements, showing its assets and liabilities separate and apart from those of any other Person, or have its assets listed on the financial statement of any other Person (except its parent in accordance with GAAP);</w:t>
      </w:r>
    </w:p>
    <w:p>
      <w:pPr>
        <w:spacing w:after="0" w:line="225" w:lineRule="exact"/>
        <w:rPr>
          <w:rFonts w:ascii="Arial" w:cs="Arial" w:eastAsia="Arial" w:hAnsi="Arial"/>
          <w:sz w:val="22"/>
          <w:szCs w:val="22"/>
          <w:color w:val="auto"/>
        </w:rPr>
      </w:pPr>
    </w:p>
    <w:p>
      <w:pPr>
        <w:ind w:left="3340" w:hanging="632"/>
        <w:spacing w:after="0"/>
        <w:tabs>
          <w:tab w:leader="none" w:pos="3340" w:val="left"/>
        </w:tabs>
        <w:numPr>
          <w:ilvl w:val="0"/>
          <w:numId w:val="371"/>
        </w:numPr>
        <w:rPr>
          <w:rFonts w:ascii="Arial" w:cs="Arial" w:eastAsia="Arial" w:hAnsi="Arial"/>
          <w:sz w:val="22"/>
          <w:szCs w:val="22"/>
          <w:color w:val="auto"/>
        </w:rPr>
      </w:pPr>
      <w:r>
        <w:rPr>
          <w:rFonts w:ascii="Arial" w:cs="Arial" w:eastAsia="Arial" w:hAnsi="Arial"/>
          <w:sz w:val="22"/>
          <w:szCs w:val="22"/>
          <w:color w:val="auto"/>
        </w:rPr>
        <w:t>fail to pay its own liabilities and expenses only out of its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own funds;</w:t>
      </w:r>
    </w:p>
    <w:p>
      <w:pPr>
        <w:spacing w:after="0" w:line="242" w:lineRule="exact"/>
        <w:rPr>
          <w:sz w:val="20"/>
          <w:szCs w:val="20"/>
          <w:color w:val="auto"/>
        </w:rPr>
      </w:pPr>
    </w:p>
    <w:p>
      <w:pPr>
        <w:ind w:left="3340" w:hanging="632"/>
        <w:spacing w:after="0"/>
        <w:tabs>
          <w:tab w:leader="none" w:pos="334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fail to pay the salaries of its own employees in light of its</w:t>
      </w:r>
    </w:p>
    <w:p>
      <w:pPr>
        <w:spacing w:after="0" w:line="21"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contemplated business operations;</w:t>
      </w:r>
    </w:p>
    <w:p>
      <w:pPr>
        <w:spacing w:after="0" w:line="228" w:lineRule="exact"/>
        <w:rPr>
          <w:rFonts w:ascii="Arial" w:cs="Arial" w:eastAsia="Arial" w:hAnsi="Arial"/>
          <w:sz w:val="22"/>
          <w:szCs w:val="22"/>
          <w:color w:val="auto"/>
        </w:rPr>
      </w:pPr>
    </w:p>
    <w:p>
      <w:pPr>
        <w:ind w:left="3360" w:hanging="652"/>
        <w:spacing w:after="0"/>
        <w:tabs>
          <w:tab w:leader="none" w:pos="336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acquire the obligations or securities of its Affiliates or</w:t>
      </w:r>
    </w:p>
    <w:p>
      <w:pPr>
        <w:spacing w:after="0" w:line="21"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stockholders;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78</w:t>
      </w:r>
    </w:p>
    <w:p>
      <w:pPr>
        <w:sectPr>
          <w:pgSz w:w="11900" w:h="16838" w:orient="portrait"/>
          <w:cols w:equalWidth="0" w:num="1">
            <w:col w:w="11160"/>
          </w:cols>
          <w:pgMar w:left="320" w:top="1428" w:right="419" w:bottom="1440" w:gutter="0" w:footer="0" w:header="0"/>
        </w:sectPr>
      </w:pPr>
    </w:p>
    <w:bookmarkStart w:id="346" w:name="page347"/>
    <w:bookmarkEnd w:id="346"/>
    <w:p>
      <w:pPr>
        <w:ind w:left="120" w:firstLine="2592"/>
        <w:spacing w:after="0" w:line="263" w:lineRule="auto"/>
        <w:rPr>
          <w:sz w:val="20"/>
          <w:szCs w:val="20"/>
          <w:color w:val="auto"/>
        </w:rPr>
      </w:pPr>
      <w:r>
        <w:rPr>
          <w:rFonts w:ascii="Arial" w:cs="Arial" w:eastAsia="Arial" w:hAnsi="Arial"/>
          <w:sz w:val="22"/>
          <w:szCs w:val="22"/>
          <w:color w:val="auto"/>
        </w:rPr>
        <w:t>(xxiv)fail to allocate fairly and reasonably any overhead expenses that are shared with an Affiliate, including paying for office space and services performed by any employee of an Affiliate;</w:t>
      </w:r>
    </w:p>
    <w:p>
      <w:pPr>
        <w:spacing w:after="0" w:line="283"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(xxv) to the extent it has invoices or checks, fail to use separate invoices or checks bearing its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own name;</w:t>
      </w:r>
    </w:p>
    <w:p>
      <w:pPr>
        <w:spacing w:after="0" w:line="242" w:lineRule="exact"/>
        <w:rPr>
          <w:sz w:val="20"/>
          <w:szCs w:val="20"/>
          <w:color w:val="auto"/>
        </w:rPr>
      </w:pPr>
    </w:p>
    <w:p>
      <w:pPr>
        <w:ind w:left="120" w:right="60" w:firstLine="2592"/>
        <w:spacing w:after="0" w:line="263" w:lineRule="auto"/>
        <w:rPr>
          <w:sz w:val="20"/>
          <w:szCs w:val="20"/>
          <w:color w:val="auto"/>
        </w:rPr>
      </w:pPr>
      <w:r>
        <w:rPr>
          <w:rFonts w:ascii="Arial" w:cs="Arial" w:eastAsia="Arial" w:hAnsi="Arial"/>
          <w:sz w:val="22"/>
          <w:szCs w:val="22"/>
          <w:color w:val="auto"/>
        </w:rPr>
        <w:t>(xxvi)pledge its assets for the benefit of any other Person, other than with respect to payment of the indebtedness to the Lenders hereunder;</w:t>
      </w:r>
    </w:p>
    <w:p>
      <w:pPr>
        <w:spacing w:after="0" w:line="202" w:lineRule="exact"/>
        <w:rPr>
          <w:sz w:val="20"/>
          <w:szCs w:val="20"/>
          <w:color w:val="auto"/>
        </w:rPr>
      </w:pPr>
    </w:p>
    <w:p>
      <w:pPr>
        <w:jc w:val="both"/>
        <w:ind w:left="120" w:firstLine="2588"/>
        <w:spacing w:after="0" w:line="287" w:lineRule="auto"/>
        <w:tabs>
          <w:tab w:leader="none" w:pos="3895" w:val="left"/>
        </w:tabs>
        <w:numPr>
          <w:ilvl w:val="0"/>
          <w:numId w:val="373"/>
        </w:numPr>
        <w:rPr>
          <w:rFonts w:ascii="Arial" w:cs="Arial" w:eastAsia="Arial" w:hAnsi="Arial"/>
          <w:sz w:val="19"/>
          <w:szCs w:val="19"/>
          <w:color w:val="auto"/>
        </w:rPr>
      </w:pPr>
      <w:r>
        <w:rPr>
          <w:rFonts w:ascii="Arial" w:cs="Arial" w:eastAsia="Arial" w:hAnsi="Arial"/>
          <w:sz w:val="19"/>
          <w:szCs w:val="19"/>
          <w:color w:val="auto"/>
        </w:rPr>
        <w:t>fail at any time to have at least two (2) independent directors (each, an “</w:t>
      </w:r>
      <w:r>
        <w:rPr>
          <w:rFonts w:ascii="Arial" w:cs="Arial" w:eastAsia="Arial" w:hAnsi="Arial"/>
          <w:sz w:val="19"/>
          <w:szCs w:val="19"/>
          <w:u w:val="single" w:color="auto"/>
          <w:color w:val="auto"/>
        </w:rPr>
        <w:t>Independent Director</w:t>
      </w:r>
      <w:r>
        <w:rPr>
          <w:rFonts w:ascii="Arial" w:cs="Arial" w:eastAsia="Arial" w:hAnsi="Arial"/>
          <w:sz w:val="19"/>
          <w:szCs w:val="19"/>
          <w:color w:val="auto"/>
        </w:rPr>
        <w:t xml:space="preserve">”) on its board of directors that (A) is not and has not been for at least five (5) years a director, officer, employee, trade creditor or shareholder (or spouse, parent, sibling or child of the foregoing) of (I) the Servicer, (II) the Borrower, or (III) any Affiliate of the Servicer or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such Independent Director may be an independent director or manager of another special purpose entity affiliated with the Servicer, and (B) 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borrowers or issuers of securitization or structured finance instruments, agreements or securities;</w:t>
      </w:r>
    </w:p>
    <w:p>
      <w:pPr>
        <w:spacing w:after="0" w:line="203" w:lineRule="exact"/>
        <w:rPr>
          <w:rFonts w:ascii="Arial" w:cs="Arial" w:eastAsia="Arial" w:hAnsi="Arial"/>
          <w:sz w:val="19"/>
          <w:szCs w:val="19"/>
          <w:color w:val="auto"/>
        </w:rPr>
      </w:pPr>
    </w:p>
    <w:p>
      <w:pPr>
        <w:jc w:val="both"/>
        <w:ind w:left="120" w:right="20" w:firstLine="2588"/>
        <w:spacing w:after="0" w:line="246" w:lineRule="auto"/>
        <w:tabs>
          <w:tab w:leader="none" w:pos="3900" w:val="left"/>
        </w:tabs>
        <w:numPr>
          <w:ilvl w:val="0"/>
          <w:numId w:val="373"/>
        </w:numPr>
        <w:rPr>
          <w:rFonts w:ascii="Arial" w:cs="Arial" w:eastAsia="Arial" w:hAnsi="Arial"/>
          <w:sz w:val="22"/>
          <w:szCs w:val="22"/>
          <w:color w:val="auto"/>
        </w:rPr>
      </w:pPr>
      <w:r>
        <w:rPr>
          <w:rFonts w:ascii="Arial" w:cs="Arial" w:eastAsia="Arial" w:hAnsi="Arial"/>
          <w:sz w:val="22"/>
          <w:szCs w:val="22"/>
          <w:color w:val="auto"/>
        </w:rPr>
        <w:t>fail to provide that the unanimous consent of all directors (including the consent of the Independent Directors) is required for the Borrower to (A) dissolve or liquidate, in whole or part, or institute proceedings to be adjudicated bankrupt or insolvent, (B) institute or consent to the institution of bankruptcy or insolvency proceedings against it, (C) file a petition seeking or consent to reorganization or relief under any 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 and</w:t>
      </w:r>
    </w:p>
    <w:p>
      <w:pPr>
        <w:spacing w:after="0" w:line="234" w:lineRule="exact"/>
        <w:rPr>
          <w:sz w:val="20"/>
          <w:szCs w:val="20"/>
          <w:color w:val="auto"/>
        </w:rPr>
      </w:pPr>
    </w:p>
    <w:p>
      <w:pPr>
        <w:jc w:val="both"/>
        <w:ind w:left="120" w:right="60" w:firstLine="2592"/>
        <w:spacing w:after="0" w:line="253" w:lineRule="auto"/>
        <w:rPr>
          <w:sz w:val="20"/>
          <w:szCs w:val="20"/>
          <w:color w:val="auto"/>
        </w:rPr>
      </w:pPr>
      <w:r>
        <w:rPr>
          <w:rFonts w:ascii="Arial" w:cs="Arial" w:eastAsia="Arial" w:hAnsi="Arial"/>
          <w:sz w:val="22"/>
          <w:szCs w:val="22"/>
          <w:color w:val="auto"/>
        </w:rPr>
        <w:t>(xxix)take or refrain from taking, as applicable, each of the activities specified in the non-consolidation opinion of Skadden, Arps, Slate, Meagher &amp; Flom LLP, delivered on the Effective Date, upon which the conclusions expressed therein are based.</w:t>
      </w:r>
    </w:p>
    <w:p>
      <w:pPr>
        <w:spacing w:after="0" w:line="212" w:lineRule="exact"/>
        <w:rPr>
          <w:sz w:val="20"/>
          <w:szCs w:val="20"/>
          <w:color w:val="auto"/>
        </w:rPr>
      </w:pPr>
    </w:p>
    <w:p>
      <w:pPr>
        <w:ind w:left="2700" w:hanging="640"/>
        <w:spacing w:after="0"/>
        <w:tabs>
          <w:tab w:leader="none" w:pos="2700" w:val="left"/>
        </w:tabs>
        <w:numPr>
          <w:ilvl w:val="1"/>
          <w:numId w:val="374"/>
        </w:numPr>
        <w:rPr>
          <w:rFonts w:ascii="Arial" w:cs="Arial" w:eastAsia="Arial" w:hAnsi="Arial"/>
          <w:sz w:val="22"/>
          <w:szCs w:val="22"/>
          <w:color w:val="auto"/>
        </w:rPr>
      </w:pPr>
      <w:r>
        <w:rPr>
          <w:rFonts w:ascii="Arial" w:cs="Arial" w:eastAsia="Arial" w:hAnsi="Arial"/>
          <w:sz w:val="22"/>
          <w:szCs w:val="22"/>
          <w:u w:val="single" w:color="auto"/>
          <w:color w:val="auto"/>
        </w:rPr>
        <w:t>Use of Proceeds.</w:t>
      </w:r>
    </w:p>
    <w:p>
      <w:pPr>
        <w:spacing w:after="0" w:line="260" w:lineRule="exact"/>
        <w:rPr>
          <w:rFonts w:ascii="Arial" w:cs="Arial" w:eastAsia="Arial" w:hAnsi="Arial"/>
          <w:sz w:val="22"/>
          <w:szCs w:val="22"/>
          <w:color w:val="auto"/>
        </w:rPr>
      </w:pPr>
    </w:p>
    <w:p>
      <w:pPr>
        <w:jc w:val="both"/>
        <w:ind w:left="120" w:right="60" w:firstLine="2588"/>
        <w:spacing w:after="0" w:line="291" w:lineRule="auto"/>
        <w:tabs>
          <w:tab w:leader="none" w:pos="3240" w:val="left"/>
        </w:tabs>
        <w:numPr>
          <w:ilvl w:val="2"/>
          <w:numId w:val="374"/>
        </w:numPr>
        <w:rPr>
          <w:rFonts w:ascii="Arial" w:cs="Arial" w:eastAsia="Arial" w:hAnsi="Arial"/>
          <w:sz w:val="19"/>
          <w:szCs w:val="19"/>
          <w:color w:val="auto"/>
        </w:rPr>
      </w:pPr>
      <w:r>
        <w:rPr>
          <w:rFonts w:ascii="Arial" w:cs="Arial" w:eastAsia="Arial" w:hAnsi="Arial"/>
          <w:sz w:val="19"/>
          <w:szCs w:val="19"/>
          <w:u w:val="single" w:color="auto"/>
          <w:color w:val="auto"/>
        </w:rPr>
        <w:t>Sanctions</w:t>
      </w:r>
      <w:r>
        <w:rPr>
          <w:rFonts w:ascii="Arial" w:cs="Arial" w:eastAsia="Arial" w:hAnsi="Arial"/>
          <w:sz w:val="19"/>
          <w:szCs w:val="19"/>
          <w:color w:val="auto"/>
        </w:rPr>
        <w:t>. The Borrower shall not, and shall ensure that each member of the Borrowing Group will not, directly or indirectly use any of the credit to fund, finance or facilitate any activities, business or transactions</w:t>
      </w:r>
    </w:p>
    <w:p>
      <w:pPr>
        <w:spacing w:after="0" w:line="1" w:lineRule="exact"/>
        <w:rPr>
          <w:rFonts w:ascii="Arial" w:cs="Arial" w:eastAsia="Arial" w:hAnsi="Arial"/>
          <w:sz w:val="19"/>
          <w:szCs w:val="19"/>
          <w:color w:val="auto"/>
        </w:rPr>
      </w:pPr>
    </w:p>
    <w:p>
      <w:pPr>
        <w:ind w:left="400" w:hanging="284"/>
        <w:spacing w:after="0"/>
        <w:tabs>
          <w:tab w:leader="none" w:pos="400" w:val="left"/>
        </w:tabs>
        <w:numPr>
          <w:ilvl w:val="0"/>
          <w:numId w:val="375"/>
        </w:numPr>
        <w:rPr>
          <w:rFonts w:ascii="Arial" w:cs="Arial" w:eastAsia="Arial" w:hAnsi="Arial"/>
          <w:sz w:val="19"/>
          <w:szCs w:val="19"/>
          <w:color w:val="auto"/>
        </w:rPr>
      </w:pPr>
      <w:r>
        <w:rPr>
          <w:rFonts w:ascii="Arial" w:cs="Arial" w:eastAsia="Arial" w:hAnsi="Arial"/>
          <w:sz w:val="19"/>
          <w:szCs w:val="19"/>
          <w:color w:val="auto"/>
        </w:rPr>
        <w:t>that are prohibited by Sanctions or (b) that would be prohibited by Sanctions if conducted by the Lender or any other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79</w:t>
      </w:r>
    </w:p>
    <w:p>
      <w:pPr>
        <w:sectPr>
          <w:pgSz w:w="11900" w:h="16838" w:orient="portrait"/>
          <w:cols w:equalWidth="0" w:num="1">
            <w:col w:w="11140"/>
          </w:cols>
          <w:pgMar w:left="320" w:top="1428" w:right="439" w:bottom="1440" w:gutter="0" w:footer="0" w:header="0"/>
        </w:sectPr>
      </w:pPr>
    </w:p>
    <w:bookmarkStart w:id="347" w:name="page348"/>
    <w:bookmarkEnd w:id="347"/>
    <w:p>
      <w:pPr>
        <w:ind w:left="120" w:right="140"/>
        <w:spacing w:after="0" w:line="263" w:lineRule="auto"/>
        <w:rPr>
          <w:sz w:val="20"/>
          <w:szCs w:val="20"/>
          <w:color w:val="auto"/>
        </w:rPr>
      </w:pPr>
      <w:r>
        <w:rPr>
          <w:rFonts w:ascii="Arial" w:cs="Arial" w:eastAsia="Arial" w:hAnsi="Arial"/>
          <w:sz w:val="22"/>
          <w:szCs w:val="22"/>
          <w:color w:val="auto"/>
        </w:rPr>
        <w:t>party hereto. The Borrower shall notify the Lender in writing not more than five (5) Business Days after first becoming aware of any breach of this section.</w:t>
      </w:r>
    </w:p>
    <w:p>
      <w:pPr>
        <w:spacing w:after="0" w:line="215" w:lineRule="exact"/>
        <w:rPr>
          <w:sz w:val="20"/>
          <w:szCs w:val="20"/>
          <w:color w:val="auto"/>
        </w:rPr>
      </w:pPr>
    </w:p>
    <w:p>
      <w:pPr>
        <w:jc w:val="both"/>
        <w:ind w:left="120" w:right="20" w:firstLine="2588"/>
        <w:spacing w:after="0" w:line="312" w:lineRule="auto"/>
        <w:tabs>
          <w:tab w:leader="none" w:pos="3246" w:val="left"/>
        </w:tabs>
        <w:numPr>
          <w:ilvl w:val="0"/>
          <w:numId w:val="376"/>
        </w:numPr>
        <w:rPr>
          <w:rFonts w:ascii="Arial" w:cs="Arial" w:eastAsia="Arial" w:hAnsi="Arial"/>
          <w:sz w:val="19"/>
          <w:szCs w:val="19"/>
          <w:color w:val="auto"/>
        </w:rPr>
      </w:pPr>
      <w:r>
        <w:rPr>
          <w:rFonts w:ascii="Arial" w:cs="Arial" w:eastAsia="Arial" w:hAnsi="Arial"/>
          <w:sz w:val="19"/>
          <w:szCs w:val="19"/>
          <w:u w:val="single" w:color="auto"/>
          <w:color w:val="auto"/>
        </w:rPr>
        <w:t>Anti-Money Laundering/Anti-Corruption Laws</w:t>
      </w:r>
      <w:r>
        <w:rPr>
          <w:rFonts w:ascii="Arial" w:cs="Arial" w:eastAsia="Arial" w:hAnsi="Arial"/>
          <w:sz w:val="19"/>
          <w:szCs w:val="19"/>
          <w:color w:val="auto"/>
        </w:rPr>
        <w:t>. The Borrower shall not, and shall ensure that each member of the Borrowing Group will not, directly or indirectly use any of the credit to fund, finance or facilitate any activities, business or transactions that would be prohibited by Anti-Money Laundering Laws or Anti-Corruption Laws.</w:t>
      </w:r>
    </w:p>
    <w:p>
      <w:pPr>
        <w:spacing w:after="0" w:line="241"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9"/>
          <w:szCs w:val="19"/>
          <w:color w:val="auto"/>
        </w:rPr>
        <w:t>Section 5.3.</w:t>
      </w:r>
      <w:r>
        <w:rPr>
          <w:rFonts w:ascii="Arial" w:cs="Arial" w:eastAsia="Arial" w:hAnsi="Arial"/>
          <w:sz w:val="19"/>
          <w:szCs w:val="19"/>
          <w:u w:val="single" w:color="auto"/>
          <w:color w:val="auto"/>
        </w:rPr>
        <w:t>Covenant of the Borrower Relating to the Hedging Agreement</w:t>
      </w:r>
      <w:r>
        <w:rPr>
          <w:rFonts w:ascii="Arial" w:cs="Arial" w:eastAsia="Arial" w:hAnsi="Arial"/>
          <w:sz w:val="19"/>
          <w:szCs w:val="19"/>
          <w:color w:val="auto"/>
        </w:rPr>
        <w:t>. At all times during, on and after the Initial Funding until the Collection Date, a Hedging Agreement shall be in place. With respect to any Hedge Counterparty that satisfied clause (I) of the definition of “Hedge Counterparty” on the date it entered into a Hedging Agreement relating hereto, in the event that Moody’s or S&amp;P reduces such Hedge Counterparty’s long-term unsecured debt rating below the Long-term Rating Requirement, or reduces such Hedge Counterparty’s short-term unsecured debt rating below the Short-term Rating Requirement, Borrower shall effect the replacement of such Hedge Counterparty with a counterparty meeting the definition of “Hedge Counterparty” not later than 30 calendar days following such rating reduction. With respect to any Hedge Counterparty that satisfied clause (II) of the definition of “Hedge Counterparty” on the date it entered into a Hedging Agreement relating hereto, in the event that such Hedge Counterparty experiences a withdrawal or reduction of its long-term unsecured debt rating such that it no longer has a minimum rating of “BBB-,” Borrower shall effect the replacement of such Hedge Counterparty with a counterparty meeting the definition of “Hedge Counterparty” not later than 30 calendar days following such rating reduction. The parties hereto acknowledge and agree that the Collateral Agent shall not be required to act as a "commodity pool operator" or be required to undertake regulatory filings related to this Agreement in connection therewith.</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u w:val="single" w:color="auto"/>
          <w:color w:val="auto"/>
        </w:rPr>
        <w:t>Affirmative Covenants of the Servicer</w:t>
      </w:r>
      <w:r>
        <w:rPr>
          <w:rFonts w:ascii="Arial" w:cs="Arial" w:eastAsia="Arial" w:hAnsi="Arial"/>
          <w:sz w:val="22"/>
          <w:szCs w:val="22"/>
          <w:color w:val="auto"/>
        </w:rPr>
        <w:t>. From the date hereof until the Collection Date:</w:t>
      </w:r>
    </w:p>
    <w:p>
      <w:pPr>
        <w:spacing w:after="0" w:line="328" w:lineRule="exact"/>
        <w:rPr>
          <w:sz w:val="20"/>
          <w:szCs w:val="20"/>
          <w:color w:val="auto"/>
        </w:rPr>
      </w:pPr>
    </w:p>
    <w:p>
      <w:pPr>
        <w:ind w:left="120" w:right="20" w:firstLine="1940"/>
        <w:spacing w:after="0" w:line="287" w:lineRule="auto"/>
        <w:tabs>
          <w:tab w:leader="none" w:pos="2601" w:val="left"/>
        </w:tabs>
        <w:numPr>
          <w:ilvl w:val="0"/>
          <w:numId w:val="377"/>
        </w:numPr>
        <w:rPr>
          <w:rFonts w:ascii="Arial" w:cs="Arial" w:eastAsia="Arial" w:hAnsi="Arial"/>
          <w:sz w:val="21"/>
          <w:szCs w:val="21"/>
          <w:color w:val="auto"/>
        </w:rPr>
      </w:pPr>
      <w:r>
        <w:rPr>
          <w:rFonts w:ascii="Arial" w:cs="Arial" w:eastAsia="Arial" w:hAnsi="Arial"/>
          <w:sz w:val="21"/>
          <w:szCs w:val="21"/>
          <w:u w:val="single" w:color="auto"/>
          <w:color w:val="auto"/>
        </w:rPr>
        <w:t>Compliance with Law</w:t>
      </w:r>
      <w:r>
        <w:rPr>
          <w:rFonts w:ascii="Arial" w:cs="Arial" w:eastAsia="Arial" w:hAnsi="Arial"/>
          <w:sz w:val="21"/>
          <w:szCs w:val="21"/>
          <w:color w:val="auto"/>
        </w:rPr>
        <w:t>. The Servicer will comply in all material respects with all Applicable Laws, including those with respect to the Contracts, the Loans and the Dealer Agreements or any part thereof.</w:t>
      </w:r>
    </w:p>
    <w:p>
      <w:pPr>
        <w:spacing w:after="0" w:line="191" w:lineRule="exact"/>
        <w:rPr>
          <w:rFonts w:ascii="Arial" w:cs="Arial" w:eastAsia="Arial" w:hAnsi="Arial"/>
          <w:sz w:val="21"/>
          <w:szCs w:val="21"/>
          <w:color w:val="auto"/>
        </w:rPr>
      </w:pPr>
    </w:p>
    <w:p>
      <w:pPr>
        <w:jc w:val="both"/>
        <w:ind w:left="120" w:right="20" w:firstLine="1940"/>
        <w:spacing w:after="0" w:line="265" w:lineRule="auto"/>
        <w:tabs>
          <w:tab w:leader="none" w:pos="2599" w:val="left"/>
        </w:tabs>
        <w:numPr>
          <w:ilvl w:val="0"/>
          <w:numId w:val="377"/>
        </w:numPr>
        <w:rPr>
          <w:rFonts w:ascii="Arial" w:cs="Arial" w:eastAsia="Arial" w:hAnsi="Arial"/>
          <w:sz w:val="21"/>
          <w:szCs w:val="21"/>
          <w:color w:val="auto"/>
        </w:rPr>
      </w:pPr>
      <w:r>
        <w:rPr>
          <w:rFonts w:ascii="Arial" w:cs="Arial" w:eastAsia="Arial" w:hAnsi="Arial"/>
          <w:sz w:val="21"/>
          <w:szCs w:val="21"/>
          <w:u w:val="single" w:color="auto"/>
          <w:color w:val="auto"/>
        </w:rPr>
        <w:t>Preservation of Existence</w:t>
      </w:r>
      <w:r>
        <w:rPr>
          <w:rFonts w:ascii="Arial" w:cs="Arial" w:eastAsia="Arial" w:hAnsi="Arial"/>
          <w:sz w:val="21"/>
          <w:szCs w:val="21"/>
          <w:color w:val="auto"/>
        </w:rPr>
        <w:t>. The initial Servicer will preserve and maintain its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spacing w:after="0" w:line="215" w:lineRule="exact"/>
        <w:rPr>
          <w:rFonts w:ascii="Arial" w:cs="Arial" w:eastAsia="Arial" w:hAnsi="Arial"/>
          <w:sz w:val="21"/>
          <w:szCs w:val="21"/>
          <w:color w:val="auto"/>
        </w:rPr>
      </w:pPr>
    </w:p>
    <w:p>
      <w:pPr>
        <w:jc w:val="both"/>
        <w:ind w:left="120" w:right="20" w:firstLine="1940"/>
        <w:spacing w:after="0" w:line="250" w:lineRule="auto"/>
        <w:tabs>
          <w:tab w:leader="none" w:pos="2601" w:val="left"/>
        </w:tabs>
        <w:numPr>
          <w:ilvl w:val="0"/>
          <w:numId w:val="377"/>
        </w:numPr>
        <w:rPr>
          <w:rFonts w:ascii="Arial" w:cs="Arial" w:eastAsia="Arial" w:hAnsi="Arial"/>
          <w:sz w:val="22"/>
          <w:szCs w:val="22"/>
          <w:color w:val="auto"/>
        </w:rPr>
      </w:pPr>
      <w:r>
        <w:rPr>
          <w:rFonts w:ascii="Arial" w:cs="Arial" w:eastAsia="Arial" w:hAnsi="Arial"/>
          <w:sz w:val="22"/>
          <w:szCs w:val="22"/>
          <w:u w:val="single" w:color="auto"/>
          <w:color w:val="auto"/>
        </w:rPr>
        <w:t>Obligations and Compliance with Loans and Contracts</w:t>
      </w:r>
      <w:r>
        <w:rPr>
          <w:rFonts w:ascii="Arial" w:cs="Arial" w:eastAsia="Arial" w:hAnsi="Arial"/>
          <w:sz w:val="22"/>
          <w:szCs w:val="22"/>
          <w:color w:val="auto"/>
        </w:rPr>
        <w:t>. The Servicer will duly fulfill and comply with all material obligations on the part of the Borrower to be fulfilled or complied with under or in connection with each Loan and each Contract and will do nothing to impair the rights of the Collateral Agent as agent for the Secured Parties or of the Secured Parties in, to and under the Collateral.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80</w:t>
      </w:r>
    </w:p>
    <w:p>
      <w:pPr>
        <w:sectPr>
          <w:pgSz w:w="11900" w:h="16838" w:orient="portrait"/>
          <w:cols w:equalWidth="0" w:num="1">
            <w:col w:w="11140"/>
          </w:cols>
          <w:pgMar w:left="320" w:top="1428" w:right="439" w:bottom="1440" w:gutter="0" w:footer="0" w:header="0"/>
        </w:sectPr>
      </w:pPr>
    </w:p>
    <w:bookmarkStart w:id="348" w:name="page349"/>
    <w:bookmarkEnd w:id="348"/>
    <w:p>
      <w:pPr>
        <w:jc w:val="both"/>
        <w:ind w:left="100" w:right="20" w:firstLine="1942"/>
        <w:spacing w:after="0" w:line="265" w:lineRule="auto"/>
        <w:tabs>
          <w:tab w:leader="none" w:pos="2593" w:val="left"/>
        </w:tabs>
        <w:numPr>
          <w:ilvl w:val="0"/>
          <w:numId w:val="378"/>
        </w:numPr>
        <w:rPr>
          <w:rFonts w:ascii="Arial" w:cs="Arial" w:eastAsia="Arial" w:hAnsi="Arial"/>
          <w:sz w:val="21"/>
          <w:szCs w:val="21"/>
          <w:color w:val="auto"/>
        </w:rPr>
      </w:pPr>
      <w:r>
        <w:rPr>
          <w:rFonts w:ascii="Arial" w:cs="Arial" w:eastAsia="Arial" w:hAnsi="Arial"/>
          <w:sz w:val="21"/>
          <w:szCs w:val="21"/>
          <w:u w:val="single" w:color="auto"/>
          <w:color w:val="auto"/>
        </w:rPr>
        <w:t>Keeping of Records and Books of Account</w:t>
      </w:r>
      <w:r>
        <w:rPr>
          <w:rFonts w:ascii="Arial" w:cs="Arial" w:eastAsia="Arial" w:hAnsi="Arial"/>
          <w:sz w:val="21"/>
          <w:szCs w:val="21"/>
          <w:color w:val="auto"/>
        </w:rPr>
        <w:t>. The Servicer will maintain and implement administrative and operating procedures (including without limitation, an ability to recreate records evidencing the Loans and Contracts in the event of the destruction of the originals thereof), and keep and maintain all documents, books, records and other information reasonably necessary or advisable for the collection of all Loans.</w:t>
      </w:r>
    </w:p>
    <w:p>
      <w:pPr>
        <w:spacing w:after="0" w:line="215" w:lineRule="exact"/>
        <w:rPr>
          <w:rFonts w:ascii="Arial" w:cs="Arial" w:eastAsia="Arial" w:hAnsi="Arial"/>
          <w:sz w:val="21"/>
          <w:szCs w:val="21"/>
          <w:color w:val="auto"/>
        </w:rPr>
      </w:pPr>
    </w:p>
    <w:p>
      <w:pPr>
        <w:jc w:val="both"/>
        <w:ind w:left="100" w:firstLine="1942"/>
        <w:spacing w:after="0" w:line="248" w:lineRule="auto"/>
        <w:tabs>
          <w:tab w:leader="none" w:pos="2594" w:val="left"/>
        </w:tabs>
        <w:numPr>
          <w:ilvl w:val="0"/>
          <w:numId w:val="378"/>
        </w:numPr>
        <w:rPr>
          <w:rFonts w:ascii="Arial" w:cs="Arial" w:eastAsia="Arial" w:hAnsi="Arial"/>
          <w:sz w:val="22"/>
          <w:szCs w:val="22"/>
          <w:color w:val="auto"/>
        </w:rPr>
      </w:pPr>
      <w:r>
        <w:rPr>
          <w:rFonts w:ascii="Arial" w:cs="Arial" w:eastAsia="Arial" w:hAnsi="Arial"/>
          <w:sz w:val="22"/>
          <w:szCs w:val="22"/>
          <w:u w:val="single" w:color="auto"/>
          <w:color w:val="auto"/>
        </w:rPr>
        <w:t>Preservation of Security Interest</w:t>
      </w:r>
      <w:r>
        <w:rPr>
          <w:rFonts w:ascii="Arial" w:cs="Arial" w:eastAsia="Arial" w:hAnsi="Arial"/>
          <w:sz w:val="22"/>
          <w:szCs w:val="22"/>
          <w:color w:val="auto"/>
        </w:rPr>
        <w:t xml:space="preserve">. The Servicer will file such financing and continuation statements and any other documents that may be required by any law or regulation of any Governmental Authority to preserve and protect fully the security interest of the Collateral Agent as agent for the Secured Parties in, to and under the Collateral. In its capacity as Custodian, it will maintain possession of, or control over, the Contract Files and Records, as Custodian for the Secured Parties, as set forth in </w:t>
      </w:r>
      <w:r>
        <w:rPr>
          <w:rFonts w:ascii="Arial" w:cs="Arial" w:eastAsia="Arial" w:hAnsi="Arial"/>
          <w:sz w:val="22"/>
          <w:szCs w:val="22"/>
          <w:u w:val="single" w:color="auto"/>
          <w:color w:val="auto"/>
        </w:rPr>
        <w:t>Section 6.2(c)</w:t>
      </w:r>
      <w:r>
        <w:rPr>
          <w:rFonts w:ascii="Arial" w:cs="Arial" w:eastAsia="Arial" w:hAnsi="Arial"/>
          <w:sz w:val="22"/>
          <w:szCs w:val="22"/>
          <w:color w:val="auto"/>
        </w:rPr>
        <w:t>.</w:t>
      </w:r>
    </w:p>
    <w:p>
      <w:pPr>
        <w:spacing w:after="0" w:line="218" w:lineRule="exact"/>
        <w:rPr>
          <w:rFonts w:ascii="Arial" w:cs="Arial" w:eastAsia="Arial" w:hAnsi="Arial"/>
          <w:sz w:val="22"/>
          <w:szCs w:val="22"/>
          <w:color w:val="auto"/>
        </w:rPr>
      </w:pPr>
    </w:p>
    <w:p>
      <w:pPr>
        <w:ind w:left="100" w:right="20" w:firstLine="1942"/>
        <w:spacing w:after="0" w:line="263" w:lineRule="auto"/>
        <w:tabs>
          <w:tab w:leader="none" w:pos="2597" w:val="left"/>
        </w:tabs>
        <w:numPr>
          <w:ilvl w:val="0"/>
          <w:numId w:val="378"/>
        </w:numPr>
        <w:rPr>
          <w:rFonts w:ascii="Arial" w:cs="Arial" w:eastAsia="Arial" w:hAnsi="Arial"/>
          <w:sz w:val="22"/>
          <w:szCs w:val="22"/>
          <w:color w:val="auto"/>
        </w:rPr>
      </w:pPr>
      <w:r>
        <w:rPr>
          <w:rFonts w:ascii="Arial" w:cs="Arial" w:eastAsia="Arial" w:hAnsi="Arial"/>
          <w:sz w:val="22"/>
          <w:szCs w:val="22"/>
          <w:u w:val="single" w:color="auto"/>
          <w:color w:val="auto"/>
        </w:rPr>
        <w:t>Collection Guidelines</w:t>
      </w:r>
      <w:r>
        <w:rPr>
          <w:rFonts w:ascii="Arial" w:cs="Arial" w:eastAsia="Arial" w:hAnsi="Arial"/>
          <w:sz w:val="22"/>
          <w:szCs w:val="22"/>
          <w:color w:val="auto"/>
        </w:rPr>
        <w:t>. (i) The Servicer will comply in all material respects with the Collection Guidelines or with Applicable Law in regard to each Loan and Contract.</w:t>
      </w:r>
    </w:p>
    <w:p>
      <w:pPr>
        <w:spacing w:after="0" w:line="282" w:lineRule="exact"/>
        <w:rPr>
          <w:rFonts w:ascii="Arial" w:cs="Arial" w:eastAsia="Arial" w:hAnsi="Arial"/>
          <w:sz w:val="22"/>
          <w:szCs w:val="22"/>
          <w:color w:val="auto"/>
        </w:rPr>
      </w:pPr>
    </w:p>
    <w:p>
      <w:pPr>
        <w:jc w:val="both"/>
        <w:ind w:left="100" w:firstLine="2590"/>
        <w:spacing w:after="0" w:line="302" w:lineRule="auto"/>
        <w:tabs>
          <w:tab w:leader="none" w:pos="3050" w:val="left"/>
        </w:tabs>
        <w:numPr>
          <w:ilvl w:val="1"/>
          <w:numId w:val="378"/>
        </w:numPr>
        <w:rPr>
          <w:rFonts w:ascii="Arial" w:cs="Arial" w:eastAsia="Arial" w:hAnsi="Arial"/>
          <w:sz w:val="19"/>
          <w:szCs w:val="19"/>
          <w:color w:val="auto"/>
        </w:rPr>
      </w:pPr>
      <w:r>
        <w:rPr>
          <w:rFonts w:ascii="Arial" w:cs="Arial" w:eastAsia="Arial" w:hAnsi="Arial"/>
          <w:sz w:val="19"/>
          <w:szCs w:val="19"/>
          <w:color w:val="auto"/>
        </w:rPr>
        <w:t>The Servicer will not agree to or otherwise permit to occur any material change in the Collection Guidelines, which change would impair the collectibility of any Loan or Contract or otherwise adversely affect the interests or remedies of the Deal Agent, the Collateral Agent or the other Secured Parties under this Agreement or any other Transaction Document, without the prior written consent of the Deal Agent, other than if required by Applicable Law.</w:t>
      </w:r>
    </w:p>
    <w:p>
      <w:pPr>
        <w:spacing w:after="0" w:line="182" w:lineRule="exact"/>
        <w:rPr>
          <w:rFonts w:ascii="Arial" w:cs="Arial" w:eastAsia="Arial" w:hAnsi="Arial"/>
          <w:sz w:val="19"/>
          <w:szCs w:val="19"/>
          <w:color w:val="auto"/>
        </w:rPr>
      </w:pPr>
    </w:p>
    <w:p>
      <w:pPr>
        <w:jc w:val="both"/>
        <w:ind w:left="100" w:firstLine="1942"/>
        <w:spacing w:after="0" w:line="248" w:lineRule="auto"/>
        <w:tabs>
          <w:tab w:leader="none" w:pos="2593" w:val="left"/>
        </w:tabs>
        <w:numPr>
          <w:ilvl w:val="0"/>
          <w:numId w:val="378"/>
        </w:numPr>
        <w:rPr>
          <w:rFonts w:ascii="Arial" w:cs="Arial" w:eastAsia="Arial" w:hAnsi="Arial"/>
          <w:sz w:val="22"/>
          <w:szCs w:val="22"/>
          <w:color w:val="auto"/>
        </w:rPr>
      </w:pPr>
      <w:r>
        <w:rPr>
          <w:rFonts w:ascii="Arial" w:cs="Arial" w:eastAsia="Arial" w:hAnsi="Arial"/>
          <w:sz w:val="22"/>
          <w:szCs w:val="22"/>
          <w:u w:val="single" w:color="auto"/>
          <w:color w:val="auto"/>
        </w:rPr>
        <w:t>Amortization Events and Termination Events</w:t>
      </w:r>
      <w:r>
        <w:rPr>
          <w:rFonts w:ascii="Arial" w:cs="Arial" w:eastAsia="Arial" w:hAnsi="Arial"/>
          <w:sz w:val="22"/>
          <w:szCs w:val="22"/>
          <w:color w:val="auto"/>
        </w:rPr>
        <w:t>. The Servicer will furnish to the Deal Agent and each Lender, as soon as possible and in any event within two (2) Business Days after the occurrence of each Amortization Event, each Termination Event and each Unmatured Termination Event, a written statement of the chief financial officer or treasurer of the Servicer setting forth the details of such event and the action that the Servicer purposes to take with respect thereto.</w:t>
      </w:r>
    </w:p>
    <w:p>
      <w:pPr>
        <w:spacing w:after="0" w:line="232" w:lineRule="exact"/>
        <w:rPr>
          <w:rFonts w:ascii="Arial" w:cs="Arial" w:eastAsia="Arial" w:hAnsi="Arial"/>
          <w:sz w:val="22"/>
          <w:szCs w:val="22"/>
          <w:color w:val="auto"/>
        </w:rPr>
      </w:pPr>
    </w:p>
    <w:p>
      <w:pPr>
        <w:jc w:val="both"/>
        <w:ind w:left="100" w:firstLine="1942"/>
        <w:spacing w:after="0" w:line="248" w:lineRule="auto"/>
        <w:tabs>
          <w:tab w:leader="none" w:pos="2593" w:val="left"/>
        </w:tabs>
        <w:numPr>
          <w:ilvl w:val="0"/>
          <w:numId w:val="378"/>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The Servicer will furnish to the Deal Agent or the Collateral Agent, as applicable, promptly, from time to time, such other information, documents, records or reports respecting the Collateral or the condition or operations, financial or otherwise, of the Borrower or the Servicer as the Deal Agent or the Collateral Agent may from time to time reasonably request in order to protect the interests of the Collateral Agent or the Secured Parties under or as contemplated by this Agreement.</w:t>
      </w:r>
    </w:p>
    <w:p>
      <w:pPr>
        <w:spacing w:after="0" w:line="218" w:lineRule="exact"/>
        <w:rPr>
          <w:rFonts w:ascii="Arial" w:cs="Arial" w:eastAsia="Arial" w:hAnsi="Arial"/>
          <w:sz w:val="22"/>
          <w:szCs w:val="22"/>
          <w:color w:val="auto"/>
        </w:rPr>
      </w:pPr>
    </w:p>
    <w:p>
      <w:pPr>
        <w:jc w:val="both"/>
        <w:ind w:left="100" w:firstLine="1942"/>
        <w:spacing w:after="0" w:line="294" w:lineRule="auto"/>
        <w:tabs>
          <w:tab w:leader="none" w:pos="2599" w:val="left"/>
        </w:tabs>
        <w:numPr>
          <w:ilvl w:val="0"/>
          <w:numId w:val="378"/>
        </w:numPr>
        <w:rPr>
          <w:rFonts w:ascii="Arial" w:cs="Arial" w:eastAsia="Arial" w:hAnsi="Arial"/>
          <w:sz w:val="19"/>
          <w:szCs w:val="19"/>
          <w:color w:val="auto"/>
        </w:rPr>
      </w:pPr>
      <w:r>
        <w:rPr>
          <w:rFonts w:ascii="Arial" w:cs="Arial" w:eastAsia="Arial" w:hAnsi="Arial"/>
          <w:sz w:val="19"/>
          <w:szCs w:val="19"/>
          <w:u w:val="single" w:color="auto"/>
          <w:color w:val="auto"/>
        </w:rPr>
        <w:t>Losses, Etc</w:t>
      </w:r>
      <w:r>
        <w:rPr>
          <w:rFonts w:ascii="Arial" w:cs="Arial" w:eastAsia="Arial" w:hAnsi="Arial"/>
          <w:sz w:val="19"/>
          <w:szCs w:val="19"/>
          <w:color w:val="auto"/>
        </w:rPr>
        <w:t>. In any suit, proceeding or action brought by the Deal Agent, the Collateral Agent or any Secured Party for any sum owing thereto, the initial Servicer shall save, indemnify and keep the Deal Agent, the Collateral Agent and the Secured Parties harmless from and against all expense, loss or damage suffered by reason of any defense, setoff, counterclaim, recoupment or reduction of liability whatsoever of the Obligor under a Loan or Contract, arising out of a breach by the initial Servicer of any obligation under the related Loan or Contract or arising out of any other agreement, indebtedness or liability at any time owing to or in favor of such Obligor or its successor from the initial Servicer, and all such obligations of</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81</w:t>
      </w:r>
    </w:p>
    <w:p>
      <w:pPr>
        <w:sectPr>
          <w:pgSz w:w="11900" w:h="16838" w:orient="portrait"/>
          <w:cols w:equalWidth="0" w:num="1">
            <w:col w:w="11140"/>
          </w:cols>
          <w:pgMar w:left="320" w:top="1428" w:right="439" w:bottom="1440" w:gutter="0" w:footer="0" w:header="0"/>
        </w:sectPr>
      </w:pPr>
    </w:p>
    <w:bookmarkStart w:id="349" w:name="page350"/>
    <w:bookmarkEnd w:id="349"/>
    <w:p>
      <w:pPr>
        <w:ind w:left="120" w:right="260"/>
        <w:spacing w:after="0" w:line="263" w:lineRule="auto"/>
        <w:rPr>
          <w:sz w:val="20"/>
          <w:szCs w:val="20"/>
          <w:color w:val="auto"/>
        </w:rPr>
      </w:pPr>
      <w:r>
        <w:rPr>
          <w:rFonts w:ascii="Arial" w:cs="Arial" w:eastAsia="Arial" w:hAnsi="Arial"/>
          <w:sz w:val="22"/>
          <w:szCs w:val="22"/>
          <w:color w:val="auto"/>
        </w:rPr>
        <w:t>the initial Servicer shall be and remain enforceable against and only against the Servicer and shall not be enforceable against the Deal Agent, the Collateral Agent or any Secured Party.</w:t>
      </w:r>
    </w:p>
    <w:p>
      <w:pPr>
        <w:spacing w:after="0" w:line="215" w:lineRule="exact"/>
        <w:rPr>
          <w:sz w:val="20"/>
          <w:szCs w:val="20"/>
          <w:color w:val="auto"/>
        </w:rPr>
      </w:pPr>
    </w:p>
    <w:p>
      <w:pPr>
        <w:jc w:val="both"/>
        <w:ind w:left="120" w:right="20" w:firstLine="1940"/>
        <w:spacing w:after="0" w:line="265" w:lineRule="auto"/>
        <w:tabs>
          <w:tab w:leader="none" w:pos="2592" w:val="left"/>
        </w:tabs>
        <w:numPr>
          <w:ilvl w:val="0"/>
          <w:numId w:val="379"/>
        </w:numPr>
        <w:rPr>
          <w:rFonts w:ascii="Arial" w:cs="Arial" w:eastAsia="Arial" w:hAnsi="Arial"/>
          <w:sz w:val="21"/>
          <w:szCs w:val="21"/>
          <w:color w:val="auto"/>
        </w:rPr>
      </w:pPr>
      <w:r>
        <w:rPr>
          <w:rFonts w:ascii="Arial" w:cs="Arial" w:eastAsia="Arial" w:hAnsi="Arial"/>
          <w:sz w:val="21"/>
          <w:szCs w:val="21"/>
          <w:u w:val="single" w:color="auto"/>
          <w:color w:val="auto"/>
        </w:rPr>
        <w:t>Notice of Liens</w:t>
      </w:r>
      <w:r>
        <w:rPr>
          <w:rFonts w:ascii="Arial" w:cs="Arial" w:eastAsia="Arial" w:hAnsi="Arial"/>
          <w:sz w:val="21"/>
          <w:szCs w:val="21"/>
          <w:color w:val="auto"/>
        </w:rPr>
        <w:t xml:space="preserve"> The Servicer shall advise the Collateral Agent and the Deal Agent promptly, in reasonable detail of: (i) any Lien asserted or claim made against any portion of the Collateral; (ii) the occurrence of any breach by the Servicer of any of its representations, warranties and covenants contained herein or in any other Transaction Document; and (iii) the occurrence of any other event which would have a Material Adverse Effect.</w:t>
      </w:r>
    </w:p>
    <w:p>
      <w:pPr>
        <w:spacing w:after="0" w:line="283" w:lineRule="exact"/>
        <w:rPr>
          <w:rFonts w:ascii="Arial" w:cs="Arial" w:eastAsia="Arial" w:hAnsi="Arial"/>
          <w:sz w:val="21"/>
          <w:szCs w:val="21"/>
          <w:color w:val="auto"/>
        </w:rPr>
      </w:pPr>
    </w:p>
    <w:p>
      <w:pPr>
        <w:jc w:val="both"/>
        <w:ind w:left="120" w:right="20" w:firstLine="1940"/>
        <w:spacing w:after="0" w:line="292" w:lineRule="auto"/>
        <w:tabs>
          <w:tab w:leader="none" w:pos="2600" w:val="left"/>
        </w:tabs>
        <w:numPr>
          <w:ilvl w:val="0"/>
          <w:numId w:val="379"/>
        </w:numPr>
        <w:rPr>
          <w:rFonts w:ascii="Arial" w:cs="Arial" w:eastAsia="Arial" w:hAnsi="Arial"/>
          <w:sz w:val="19"/>
          <w:szCs w:val="19"/>
          <w:color w:val="auto"/>
        </w:rPr>
      </w:pPr>
      <w:r>
        <w:rPr>
          <w:rFonts w:ascii="Arial" w:cs="Arial" w:eastAsia="Arial" w:hAnsi="Arial"/>
          <w:sz w:val="19"/>
          <w:szCs w:val="19"/>
          <w:u w:val="single" w:color="auto"/>
          <w:color w:val="auto"/>
        </w:rPr>
        <w:t>Realization on Loans or Contracts</w:t>
      </w:r>
      <w:r>
        <w:rPr>
          <w:rFonts w:ascii="Arial" w:cs="Arial" w:eastAsia="Arial" w:hAnsi="Arial"/>
          <w:sz w:val="19"/>
          <w:szCs w:val="19"/>
          <w:color w:val="auto"/>
        </w:rPr>
        <w:t>. In the event that the Servicer realizes upon any Loan or Contract, the methods utilized by the Servicer to realize upon such Loan or Contract or otherwise enforce any provisions of such Loan or Contract will not subject the Servicer, the Borrower, any Secured Party, the Deal Agent or the Collateral Agent to liability under any federal, state or local law, and such enforcement by the Servicer will be conducted in all material respects in accordance with the provisions of the Credit Guidelines (unless the Backup Servicer is then the Successor Servicer), the Collection Guidelines, Applicable Law and, in the case of Credit Acceptance, this Agreement, and in the case of the Backup Servicer if it has become the Servicer, the Backup Servicing Agreement.</w:t>
      </w:r>
    </w:p>
    <w:p>
      <w:pPr>
        <w:spacing w:after="0" w:line="177" w:lineRule="exact"/>
        <w:rPr>
          <w:rFonts w:ascii="Arial" w:cs="Arial" w:eastAsia="Arial" w:hAnsi="Arial"/>
          <w:sz w:val="19"/>
          <w:szCs w:val="19"/>
          <w:color w:val="auto"/>
        </w:rPr>
      </w:pPr>
    </w:p>
    <w:p>
      <w:pPr>
        <w:ind w:left="120" w:right="60" w:firstLine="1940"/>
        <w:spacing w:after="0" w:line="263" w:lineRule="auto"/>
        <w:tabs>
          <w:tab w:leader="none" w:pos="2592" w:val="left"/>
        </w:tabs>
        <w:numPr>
          <w:ilvl w:val="0"/>
          <w:numId w:val="379"/>
        </w:numPr>
        <w:rPr>
          <w:rFonts w:ascii="Arial" w:cs="Arial" w:eastAsia="Arial" w:hAnsi="Arial"/>
          <w:sz w:val="22"/>
          <w:szCs w:val="22"/>
          <w:color w:val="auto"/>
        </w:rPr>
      </w:pPr>
      <w:r>
        <w:rPr>
          <w:rFonts w:ascii="Arial" w:cs="Arial" w:eastAsia="Arial" w:hAnsi="Arial"/>
          <w:sz w:val="22"/>
          <w:szCs w:val="22"/>
          <w:u w:val="single" w:color="auto"/>
          <w:color w:val="auto"/>
        </w:rPr>
        <w:t>Backup Servicing Agreement</w:t>
      </w:r>
      <w:r>
        <w:rPr>
          <w:rFonts w:ascii="Arial" w:cs="Arial" w:eastAsia="Arial" w:hAnsi="Arial"/>
          <w:sz w:val="22"/>
          <w:szCs w:val="22"/>
          <w:color w:val="auto"/>
        </w:rPr>
        <w:t>. The Servicer shall provide the Backup Servicer with all information, data and reports as required by the terms of the Backup Servicing Agreement.</w:t>
      </w:r>
    </w:p>
    <w:p>
      <w:pPr>
        <w:spacing w:after="0" w:line="282" w:lineRule="exact"/>
        <w:rPr>
          <w:rFonts w:ascii="Arial" w:cs="Arial" w:eastAsia="Arial" w:hAnsi="Arial"/>
          <w:sz w:val="22"/>
          <w:szCs w:val="22"/>
          <w:color w:val="auto"/>
        </w:rPr>
      </w:pPr>
    </w:p>
    <w:p>
      <w:pPr>
        <w:jc w:val="both"/>
        <w:ind w:left="120" w:right="20" w:firstLine="1940"/>
        <w:spacing w:after="0" w:line="297" w:lineRule="auto"/>
        <w:tabs>
          <w:tab w:leader="none" w:pos="2593" w:val="left"/>
        </w:tabs>
        <w:numPr>
          <w:ilvl w:val="0"/>
          <w:numId w:val="379"/>
        </w:numPr>
        <w:rPr>
          <w:rFonts w:ascii="Arial" w:cs="Arial" w:eastAsia="Arial" w:hAnsi="Arial"/>
          <w:sz w:val="19"/>
          <w:szCs w:val="19"/>
          <w:color w:val="auto"/>
        </w:rPr>
      </w:pPr>
      <w:r>
        <w:rPr>
          <w:rFonts w:ascii="Arial" w:cs="Arial" w:eastAsia="Arial" w:hAnsi="Arial"/>
          <w:sz w:val="19"/>
          <w:szCs w:val="19"/>
          <w:u w:val="single" w:color="auto"/>
          <w:color w:val="auto"/>
        </w:rPr>
        <w:t>Change in Accounting Policies or Debt Rating</w:t>
      </w:r>
      <w:r>
        <w:rPr>
          <w:rFonts w:ascii="Arial" w:cs="Arial" w:eastAsia="Arial" w:hAnsi="Arial"/>
          <w:sz w:val="19"/>
          <w:szCs w:val="19"/>
          <w:color w:val="auto"/>
        </w:rPr>
        <w:t>. The initial Servicer shall notify the Collateral Agent of any material change in or amendment to the Servicer’s accounting policies relating to the revenue recognition or the valuation of the Loans within ten (10) days after the date such change or amendment has been made. Within five (5) days after the date of any change in the Borrower’s or Credit Acceptance’s public or private debt ratings, if any, a written certification of the Borrower’s or Credit Acceptance’s public and private debt ratings after giving effect to any such change.</w:t>
      </w:r>
    </w:p>
    <w:p>
      <w:pPr>
        <w:spacing w:after="0" w:line="187" w:lineRule="exact"/>
        <w:rPr>
          <w:rFonts w:ascii="Arial" w:cs="Arial" w:eastAsia="Arial" w:hAnsi="Arial"/>
          <w:sz w:val="19"/>
          <w:szCs w:val="19"/>
          <w:color w:val="auto"/>
        </w:rPr>
      </w:pPr>
    </w:p>
    <w:p>
      <w:pPr>
        <w:jc w:val="both"/>
        <w:ind w:left="120" w:firstLine="1940"/>
        <w:spacing w:after="0" w:line="253" w:lineRule="auto"/>
        <w:tabs>
          <w:tab w:leader="none" w:pos="2599" w:val="left"/>
        </w:tabs>
        <w:numPr>
          <w:ilvl w:val="0"/>
          <w:numId w:val="379"/>
        </w:numPr>
        <w:rPr>
          <w:rFonts w:ascii="Arial" w:cs="Arial" w:eastAsia="Arial" w:hAnsi="Arial"/>
          <w:sz w:val="22"/>
          <w:szCs w:val="22"/>
          <w:color w:val="auto"/>
        </w:rPr>
      </w:pPr>
      <w:r>
        <w:rPr>
          <w:rFonts w:ascii="Arial" w:cs="Arial" w:eastAsia="Arial" w:hAnsi="Arial"/>
          <w:sz w:val="22"/>
          <w:szCs w:val="22"/>
          <w:u w:val="single" w:color="auto"/>
          <w:color w:val="auto"/>
        </w:rPr>
        <w:t>Monthly Reports</w:t>
      </w:r>
      <w:r>
        <w:rPr>
          <w:rFonts w:ascii="Arial" w:cs="Arial" w:eastAsia="Arial" w:hAnsi="Arial"/>
          <w:sz w:val="22"/>
          <w:szCs w:val="22"/>
          <w:color w:val="auto"/>
        </w:rPr>
        <w:t>. Not later than the Determination Date preceding each Payment Date, the Servicer will furnish to the Deal Agent, each Lender, the Collateral Agent and the Backup Servicer a Monthly Report relating to the immediately preceding Collection Period.</w:t>
      </w:r>
    </w:p>
    <w:p>
      <w:pPr>
        <w:spacing w:after="0" w:line="293" w:lineRule="exact"/>
        <w:rPr>
          <w:rFonts w:ascii="Arial" w:cs="Arial" w:eastAsia="Arial" w:hAnsi="Arial"/>
          <w:sz w:val="22"/>
          <w:szCs w:val="22"/>
          <w:color w:val="auto"/>
        </w:rPr>
      </w:pPr>
    </w:p>
    <w:p>
      <w:pPr>
        <w:jc w:val="both"/>
        <w:ind w:left="120" w:right="40" w:firstLine="1940"/>
        <w:spacing w:after="0" w:line="260" w:lineRule="auto"/>
        <w:tabs>
          <w:tab w:leader="none" w:pos="2599" w:val="left"/>
        </w:tabs>
        <w:numPr>
          <w:ilvl w:val="0"/>
          <w:numId w:val="379"/>
        </w:numPr>
        <w:rPr>
          <w:rFonts w:ascii="Arial" w:cs="Arial" w:eastAsia="Arial" w:hAnsi="Arial"/>
          <w:sz w:val="21"/>
          <w:szCs w:val="21"/>
          <w:color w:val="auto"/>
        </w:rPr>
      </w:pPr>
      <w:r>
        <w:rPr>
          <w:rFonts w:ascii="Arial" w:cs="Arial" w:eastAsia="Arial" w:hAnsi="Arial"/>
          <w:sz w:val="21"/>
          <w:szCs w:val="21"/>
          <w:u w:val="single" w:color="auto"/>
          <w:color w:val="auto"/>
        </w:rPr>
        <w:t>Funded Debt Ratio</w:t>
      </w:r>
      <w:r>
        <w:rPr>
          <w:rFonts w:ascii="Arial" w:cs="Arial" w:eastAsia="Arial" w:hAnsi="Arial"/>
          <w:sz w:val="21"/>
          <w:szCs w:val="21"/>
          <w:color w:val="auto"/>
        </w:rPr>
        <w:t>. The Servicer shall, on a consolidated basis, maintain as of the end of each fiscal quarter (i) ending on or prior to December 31, 2020 (and thereafter if the Company has not adopted the CECL Methodology), a ratio of consolidated Funded Debt minus unrestricted cash to the Servicer’s consolidated Tangible Net Worth equal to or less than 3.25 to 1.00, calculated using the GAAP Methodology dated as of the date of Amendment No. 2 to the Sixth Amended and Restated Loan and Security Agreement, and (ii) ending on or after January 1, 2021, so long as the Company has adopted the CECL Methodology, a ratio of consolidated Funded Debt minus unrestricted cash to the Servicer’s consolidated Tangible Net Worth equal to or less than 5.60 to 1.00.</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82</w:t>
      </w:r>
    </w:p>
    <w:p>
      <w:pPr>
        <w:sectPr>
          <w:pgSz w:w="11900" w:h="16838" w:orient="portrait"/>
          <w:cols w:equalWidth="0" w:num="1">
            <w:col w:w="11140"/>
          </w:cols>
          <w:pgMar w:left="320" w:top="1428" w:right="439" w:bottom="1440" w:gutter="0" w:footer="0" w:header="0"/>
        </w:sectPr>
      </w:pPr>
    </w:p>
    <w:bookmarkStart w:id="350" w:name="page351"/>
    <w:bookmarkEnd w:id="350"/>
    <w:p>
      <w:pPr>
        <w:jc w:val="both"/>
        <w:ind w:left="120" w:right="40" w:firstLine="1940"/>
        <w:spacing w:after="0" w:line="292" w:lineRule="auto"/>
        <w:tabs>
          <w:tab w:leader="none" w:pos="2600" w:val="left"/>
        </w:tabs>
        <w:numPr>
          <w:ilvl w:val="0"/>
          <w:numId w:val="380"/>
        </w:numPr>
        <w:rPr>
          <w:rFonts w:ascii="Arial" w:cs="Arial" w:eastAsia="Arial" w:hAnsi="Arial"/>
          <w:sz w:val="19"/>
          <w:szCs w:val="19"/>
          <w:color w:val="auto"/>
        </w:rPr>
      </w:pPr>
      <w:r>
        <w:rPr>
          <w:rFonts w:ascii="Arial" w:cs="Arial" w:eastAsia="Arial" w:hAnsi="Arial"/>
          <w:sz w:val="19"/>
          <w:szCs w:val="19"/>
          <w:u w:val="single" w:color="auto"/>
          <w:color w:val="auto"/>
        </w:rPr>
        <w:t>Minimum Net Income</w:t>
      </w:r>
      <w:r>
        <w:rPr>
          <w:rFonts w:ascii="Arial" w:cs="Arial" w:eastAsia="Arial" w:hAnsi="Arial"/>
          <w:sz w:val="19"/>
          <w:szCs w:val="19"/>
          <w:color w:val="auto"/>
        </w:rPr>
        <w:t xml:space="preserve">. The Servicer shall, on a consolidated basis, maintain as of the end of each fiscal quarter calculated for the two fiscal quarters then ending, Consolidated Net Income of not less than $1.00; </w:t>
      </w:r>
      <w:r>
        <w:rPr>
          <w:rFonts w:ascii="Arial" w:cs="Arial" w:eastAsia="Arial" w:hAnsi="Arial"/>
          <w:sz w:val="19"/>
          <w:szCs w:val="19"/>
          <w:u w:val="single" w:color="auto"/>
          <w:color w:val="auto"/>
        </w:rPr>
        <w:t>provided</w:t>
      </w:r>
      <w:r>
        <w:rPr>
          <w:rFonts w:ascii="Arial" w:cs="Arial" w:eastAsia="Arial" w:hAnsi="Arial"/>
          <w:sz w:val="19"/>
          <w:szCs w:val="19"/>
          <w:color w:val="auto"/>
        </w:rPr>
        <w:t>, that, when calculating the Consolidated Net Income for any date of determination, (x) each component of such calculation relating to a fiscal quarter ending on or prior to December 31, 2020 shall be calculated based on the GAAP accounting methodology used by the Company during the fiscal year ending December 31, 2019, without application of the CECL Methodology (whether or not the Servicer has adopted the CECL Methodology prior to such date) and (y) each component of such calculation relating to a fiscal quarter ending on or after March 31, 2021 shall be calculated based on the CECL Methodology.</w:t>
      </w:r>
    </w:p>
    <w:p>
      <w:pPr>
        <w:spacing w:after="0" w:line="191" w:lineRule="exact"/>
        <w:rPr>
          <w:rFonts w:ascii="Arial" w:cs="Arial" w:eastAsia="Arial" w:hAnsi="Arial"/>
          <w:sz w:val="19"/>
          <w:szCs w:val="19"/>
          <w:color w:val="auto"/>
        </w:rPr>
      </w:pPr>
    </w:p>
    <w:p>
      <w:pPr>
        <w:jc w:val="right"/>
        <w:ind w:left="140" w:right="20" w:firstLine="2275"/>
        <w:spacing w:after="0" w:line="285" w:lineRule="auto"/>
        <w:tabs>
          <w:tab w:leader="none" w:pos="2956" w:val="left"/>
        </w:tabs>
        <w:numPr>
          <w:ilvl w:val="1"/>
          <w:numId w:val="380"/>
        </w:numPr>
        <w:rPr>
          <w:rFonts w:ascii="Arial" w:cs="Arial" w:eastAsia="Arial" w:hAnsi="Arial"/>
          <w:sz w:val="19"/>
          <w:szCs w:val="19"/>
          <w:color w:val="auto"/>
        </w:rPr>
      </w:pP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xml:space="preserve">.  The Servicer shall, on a consolidated basis, maintain as of the end of each fiscal quarter a Fixed Charge Coverage Ratio of not less than 2.0 to 1.0; </w:t>
      </w:r>
      <w:r>
        <w:rPr>
          <w:rFonts w:ascii="Arial" w:cs="Arial" w:eastAsia="Arial" w:hAnsi="Arial"/>
          <w:sz w:val="19"/>
          <w:szCs w:val="19"/>
          <w:u w:val="single" w:color="auto"/>
          <w:color w:val="auto"/>
        </w:rPr>
        <w:t>provided</w:t>
      </w:r>
      <w:r>
        <w:rPr>
          <w:rFonts w:ascii="Arial" w:cs="Arial" w:eastAsia="Arial" w:hAnsi="Arial"/>
          <w:sz w:val="19"/>
          <w:szCs w:val="19"/>
          <w:color w:val="auto"/>
        </w:rPr>
        <w:t>, that, when calculating the Fixed Charge Coverage Ratio for any date of determination, (x) each component of such calculation relating to a fiscal quarter ending on or prior to December 31, 2020 shall be calculated based on the GAAP accounting methodology used by the Company during the fiscal year ending December 31, 2019, without application of the CECL Methodology (whether or not the Servicer has adopted the CECL Methodology prior to such date) and (y) each component of such calculation relating to a</w:t>
      </w:r>
    </w:p>
    <w:p>
      <w:pPr>
        <w:ind w:left="2300"/>
        <w:spacing w:after="0"/>
        <w:rPr>
          <w:sz w:val="20"/>
          <w:szCs w:val="20"/>
          <w:color w:val="auto"/>
        </w:rPr>
      </w:pPr>
      <w:r>
        <w:rPr>
          <w:rFonts w:ascii="Arial" w:cs="Arial" w:eastAsia="Arial" w:hAnsi="Arial"/>
          <w:sz w:val="19"/>
          <w:szCs w:val="19"/>
          <w:color w:val="auto"/>
        </w:rPr>
        <w:t>fiscal quarter ending on or after March 31, 2021 shall be calculated based on the CECL Methodology.</w:t>
      </w:r>
    </w:p>
    <w:p>
      <w:pPr>
        <w:spacing w:after="0" w:line="263" w:lineRule="exact"/>
        <w:rPr>
          <w:sz w:val="20"/>
          <w:szCs w:val="20"/>
          <w:color w:val="auto"/>
        </w:rPr>
      </w:pPr>
    </w:p>
    <w:p>
      <w:pPr>
        <w:ind w:left="760"/>
        <w:spacing w:after="0"/>
        <w:tabs>
          <w:tab w:leader="none" w:pos="1980" w:val="left"/>
          <w:tab w:leader="none" w:pos="5320" w:val="left"/>
        </w:tabs>
        <w:rPr>
          <w:sz w:val="20"/>
          <w:szCs w:val="20"/>
          <w:color w:val="auto"/>
        </w:rPr>
      </w:pPr>
      <w:r>
        <w:rPr>
          <w:rFonts w:ascii="Arial" w:cs="Arial" w:eastAsia="Arial" w:hAnsi="Arial"/>
          <w:sz w:val="22"/>
          <w:szCs w:val="22"/>
          <w:color w:val="auto"/>
        </w:rPr>
        <w:t>Section 5.5.</w:t>
      </w:r>
      <w:r>
        <w:rPr>
          <w:sz w:val="20"/>
          <w:szCs w:val="20"/>
          <w:color w:val="auto"/>
        </w:rPr>
        <w:tab/>
      </w:r>
      <w:r>
        <w:rPr>
          <w:rFonts w:ascii="Arial" w:cs="Arial" w:eastAsia="Arial" w:hAnsi="Arial"/>
          <w:sz w:val="22"/>
          <w:szCs w:val="22"/>
          <w:u w:val="single" w:color="auto"/>
          <w:color w:val="auto"/>
        </w:rPr>
        <w:t>Negative Covenants of the Servicer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From the date hereof until the Collection Date:</w:t>
      </w:r>
    </w:p>
    <w:p>
      <w:pPr>
        <w:spacing w:after="0" w:line="328" w:lineRule="exact"/>
        <w:rPr>
          <w:sz w:val="20"/>
          <w:szCs w:val="20"/>
          <w:color w:val="auto"/>
        </w:rPr>
      </w:pPr>
    </w:p>
    <w:p>
      <w:pPr>
        <w:jc w:val="both"/>
        <w:ind w:left="120" w:right="40" w:firstLine="1940"/>
        <w:spacing w:after="0" w:line="253" w:lineRule="auto"/>
        <w:tabs>
          <w:tab w:leader="none" w:pos="2601" w:val="left"/>
        </w:tabs>
        <w:numPr>
          <w:ilvl w:val="0"/>
          <w:numId w:val="381"/>
        </w:numPr>
        <w:rPr>
          <w:rFonts w:ascii="Arial" w:cs="Arial" w:eastAsia="Arial" w:hAnsi="Arial"/>
          <w:sz w:val="22"/>
          <w:szCs w:val="22"/>
          <w:color w:val="auto"/>
        </w:rPr>
      </w:pPr>
      <w:r>
        <w:rPr>
          <w:rFonts w:ascii="Arial" w:cs="Arial" w:eastAsia="Arial" w:hAnsi="Arial"/>
          <w:sz w:val="22"/>
          <w:szCs w:val="22"/>
          <w:u w:val="single" w:color="auto"/>
          <w:color w:val="auto"/>
        </w:rPr>
        <w:t>Mergers, Acquisition, Sales, etc</w:t>
      </w:r>
      <w:r>
        <w:rPr>
          <w:rFonts w:ascii="Arial" w:cs="Arial" w:eastAsia="Arial" w:hAnsi="Arial"/>
          <w:sz w:val="22"/>
          <w:szCs w:val="22"/>
          <w:color w:val="auto"/>
        </w:rPr>
        <w:t>. The Servicer (unless the Backup Servicer is then the Successor Servicer) will not consolidate with or merge into any other Person or convey or transfer its properties and assets substantially as an entirety to any Person, unless the Servicer is the surviving entity and unless:</w:t>
      </w:r>
    </w:p>
    <w:p>
      <w:pPr>
        <w:spacing w:after="0" w:line="225" w:lineRule="exact"/>
        <w:rPr>
          <w:rFonts w:ascii="Arial" w:cs="Arial" w:eastAsia="Arial" w:hAnsi="Arial"/>
          <w:sz w:val="22"/>
          <w:szCs w:val="22"/>
          <w:color w:val="auto"/>
        </w:rPr>
      </w:pPr>
    </w:p>
    <w:p>
      <w:pPr>
        <w:jc w:val="both"/>
        <w:ind w:left="120" w:right="20" w:firstLine="2384"/>
        <w:spacing w:after="0" w:line="297" w:lineRule="auto"/>
        <w:tabs>
          <w:tab w:leader="none" w:pos="3252" w:val="left"/>
        </w:tabs>
        <w:numPr>
          <w:ilvl w:val="1"/>
          <w:numId w:val="381"/>
        </w:numPr>
        <w:rPr>
          <w:rFonts w:ascii="Arial" w:cs="Arial" w:eastAsia="Arial" w:hAnsi="Arial"/>
          <w:sz w:val="19"/>
          <w:szCs w:val="19"/>
          <w:color w:val="auto"/>
        </w:rPr>
      </w:pPr>
      <w:r>
        <w:rPr>
          <w:rFonts w:ascii="Arial" w:cs="Arial" w:eastAsia="Arial" w:hAnsi="Arial"/>
          <w:sz w:val="19"/>
          <w:szCs w:val="19"/>
          <w:color w:val="auto"/>
        </w:rPr>
        <w:t xml:space="preserve">the Servicer has delivered to the Deal Agent and the Backup Servicer an Officer’s Certificate and an Opinion of Counsel each stating that any consolidation, merger, conveyance or transfer and any related supplemental agreement comply with this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and that all conditions precedent herein provided for relating to such transaction have been complied with and, in the case of the Opinion of Counsel, that such supplemental agreement is legal, valid and binding with respect to the Servicer and such other matters as the Deal Agent may reasonably request;</w:t>
      </w:r>
    </w:p>
    <w:p>
      <w:pPr>
        <w:spacing w:after="0" w:line="187" w:lineRule="exact"/>
        <w:rPr>
          <w:rFonts w:ascii="Arial" w:cs="Arial" w:eastAsia="Arial" w:hAnsi="Arial"/>
          <w:sz w:val="19"/>
          <w:szCs w:val="19"/>
          <w:color w:val="auto"/>
        </w:rPr>
      </w:pPr>
    </w:p>
    <w:p>
      <w:pPr>
        <w:ind w:left="3240" w:hanging="796"/>
        <w:spacing w:after="0"/>
        <w:tabs>
          <w:tab w:leader="none" w:pos="3240" w:val="left"/>
        </w:tabs>
        <w:numPr>
          <w:ilvl w:val="1"/>
          <w:numId w:val="381"/>
        </w:numPr>
        <w:rPr>
          <w:rFonts w:ascii="Arial" w:cs="Arial" w:eastAsia="Arial" w:hAnsi="Arial"/>
          <w:sz w:val="19"/>
          <w:szCs w:val="19"/>
          <w:color w:val="auto"/>
        </w:rPr>
      </w:pPr>
      <w:r>
        <w:rPr>
          <w:rFonts w:ascii="Arial" w:cs="Arial" w:eastAsia="Arial" w:hAnsi="Arial"/>
          <w:sz w:val="19"/>
          <w:szCs w:val="19"/>
          <w:color w:val="auto"/>
        </w:rPr>
        <w:t>the Servicer shall have delivered notice of such consolidation, merger, conveyance or</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transfer to the Deal Agent;</w:t>
      </w:r>
    </w:p>
    <w:p>
      <w:pPr>
        <w:spacing w:after="0" w:line="228" w:lineRule="exact"/>
        <w:rPr>
          <w:rFonts w:ascii="Arial" w:cs="Arial" w:eastAsia="Arial" w:hAnsi="Arial"/>
          <w:sz w:val="19"/>
          <w:szCs w:val="19"/>
          <w:color w:val="auto"/>
        </w:rPr>
      </w:pPr>
    </w:p>
    <w:p>
      <w:pPr>
        <w:jc w:val="both"/>
        <w:ind w:left="120" w:right="20" w:firstLine="2264"/>
        <w:spacing w:after="0" w:line="253" w:lineRule="auto"/>
        <w:tabs>
          <w:tab w:leader="none" w:pos="3252" w:val="left"/>
        </w:tabs>
        <w:numPr>
          <w:ilvl w:val="1"/>
          <w:numId w:val="381"/>
        </w:numPr>
        <w:rPr>
          <w:rFonts w:ascii="Arial" w:cs="Arial" w:eastAsia="Arial" w:hAnsi="Arial"/>
          <w:sz w:val="22"/>
          <w:szCs w:val="22"/>
          <w:color w:val="auto"/>
        </w:rPr>
      </w:pPr>
      <w:r>
        <w:rPr>
          <w:rFonts w:ascii="Arial" w:cs="Arial" w:eastAsia="Arial" w:hAnsi="Arial"/>
          <w:sz w:val="22"/>
          <w:szCs w:val="22"/>
          <w:color w:val="auto"/>
        </w:rPr>
        <w:t>after giving effect thereto, no Termination Event, Unmatured Termination Event or Servicer Termination Event or event that with notice or lapse of time, or both, would constitute a Servicer Termination Event shall have occurred.</w:t>
      </w:r>
    </w:p>
    <w:p>
      <w:pPr>
        <w:spacing w:after="0" w:line="225" w:lineRule="exact"/>
        <w:rPr>
          <w:rFonts w:ascii="Arial" w:cs="Arial" w:eastAsia="Arial" w:hAnsi="Arial"/>
          <w:sz w:val="22"/>
          <w:szCs w:val="22"/>
          <w:color w:val="auto"/>
        </w:rPr>
      </w:pPr>
    </w:p>
    <w:p>
      <w:pPr>
        <w:jc w:val="both"/>
        <w:ind w:left="120" w:firstLine="1940"/>
        <w:spacing w:after="0" w:line="253" w:lineRule="auto"/>
        <w:tabs>
          <w:tab w:leader="none" w:pos="2600" w:val="left"/>
        </w:tabs>
        <w:numPr>
          <w:ilvl w:val="0"/>
          <w:numId w:val="381"/>
        </w:numPr>
        <w:rPr>
          <w:rFonts w:ascii="Arial" w:cs="Arial" w:eastAsia="Arial" w:hAnsi="Arial"/>
          <w:sz w:val="22"/>
          <w:szCs w:val="22"/>
          <w:color w:val="auto"/>
        </w:rPr>
      </w:pPr>
      <w:r>
        <w:rPr>
          <w:rFonts w:ascii="Arial" w:cs="Arial" w:eastAsia="Arial" w:hAnsi="Arial"/>
          <w:sz w:val="22"/>
          <w:szCs w:val="22"/>
          <w:u w:val="single" w:color="auto"/>
          <w:color w:val="auto"/>
        </w:rPr>
        <w:t>Change of Name or Location of Records</w:t>
      </w:r>
      <w:r>
        <w:rPr>
          <w:rFonts w:ascii="Arial" w:cs="Arial" w:eastAsia="Arial" w:hAnsi="Arial"/>
          <w:sz w:val="22"/>
          <w:szCs w:val="22"/>
          <w:color w:val="auto"/>
        </w:rPr>
        <w:t>. The initial Servicer shall not (x) change its name or its state of organization, move the location of its principal place of business and chief executive office, and the offices where it keeps records concerning the Loans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83</w:t>
      </w:r>
    </w:p>
    <w:p>
      <w:pPr>
        <w:sectPr>
          <w:pgSz w:w="11900" w:h="16838" w:orient="portrait"/>
          <w:cols w:equalWidth="0" w:num="1">
            <w:col w:w="11140"/>
          </w:cols>
          <w:pgMar w:left="320" w:top="1428" w:right="439" w:bottom="1440" w:gutter="0" w:footer="0" w:header="0"/>
        </w:sectPr>
      </w:pPr>
    </w:p>
    <w:bookmarkStart w:id="351" w:name="page352"/>
    <w:bookmarkEnd w:id="351"/>
    <w:p>
      <w:pPr>
        <w:jc w:val="both"/>
        <w:ind w:left="120"/>
        <w:spacing w:after="0" w:line="294" w:lineRule="auto"/>
        <w:rPr>
          <w:sz w:val="20"/>
          <w:szCs w:val="20"/>
          <w:color w:val="auto"/>
        </w:rPr>
      </w:pPr>
      <w:r>
        <w:rPr>
          <w:rFonts w:ascii="Arial" w:cs="Arial" w:eastAsia="Arial" w:hAnsi="Arial"/>
          <w:sz w:val="19"/>
          <w:szCs w:val="19"/>
          <w:color w:val="auto"/>
        </w:rPr>
        <w:t xml:space="preserve">from the locations referred to in </w:t>
      </w:r>
      <w:r>
        <w:rPr>
          <w:rFonts w:ascii="Arial" w:cs="Arial" w:eastAsia="Arial" w:hAnsi="Arial"/>
          <w:sz w:val="19"/>
          <w:szCs w:val="19"/>
          <w:u w:val="single" w:color="auto"/>
          <w:color w:val="auto"/>
        </w:rPr>
        <w:t>Sections 4.1(p)</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14.2</w:t>
      </w:r>
      <w:r>
        <w:rPr>
          <w:rFonts w:ascii="Arial" w:cs="Arial" w:eastAsia="Arial" w:hAnsi="Arial"/>
          <w:sz w:val="19"/>
          <w:szCs w:val="19"/>
          <w:color w:val="auto"/>
        </w:rPr>
        <w:t xml:space="preserve"> or (y) move, or consent to the Custodian moving, the Records from the location thereof on the Closing Date, unless the Servicer has given at least thirty (30) days’ written notice to the Deal Agent and has taken all actions required under the UCC of each relevant jurisdiction in order to continue the first priority perfected security interest of the Collateral Agent as agent for the Secured Parties in the Collateral; provided, that, Credit Acceptance may temporarily (or permanently, solely in the case of a Contract that is repurchased, liquidated or paid in full) move or transfer individual Contract Files or Records, or any portion thereof without notice in accordance with </w:t>
      </w:r>
      <w:r>
        <w:rPr>
          <w:rFonts w:ascii="Arial" w:cs="Arial" w:eastAsia="Arial" w:hAnsi="Arial"/>
          <w:sz w:val="19"/>
          <w:szCs w:val="19"/>
          <w:u w:val="single" w:color="auto"/>
          <w:color w:val="auto"/>
        </w:rPr>
        <w:t>Section 6.2(c)(iii)</w:t>
      </w:r>
      <w:r>
        <w:rPr>
          <w:rFonts w:ascii="Arial" w:cs="Arial" w:eastAsia="Arial" w:hAnsi="Arial"/>
          <w:sz w:val="19"/>
          <w:szCs w:val="19"/>
          <w:color w:val="auto"/>
        </w:rPr>
        <w:t>.</w:t>
      </w:r>
    </w:p>
    <w:p>
      <w:pPr>
        <w:spacing w:after="0" w:line="190" w:lineRule="exact"/>
        <w:rPr>
          <w:sz w:val="20"/>
          <w:szCs w:val="20"/>
          <w:color w:val="auto"/>
        </w:rPr>
      </w:pPr>
    </w:p>
    <w:p>
      <w:pPr>
        <w:jc w:val="both"/>
        <w:ind w:left="120" w:right="40" w:firstLine="1940"/>
        <w:spacing w:after="0" w:line="253" w:lineRule="auto"/>
        <w:tabs>
          <w:tab w:leader="none" w:pos="2601"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Change in Payment Instructions to Obligors</w:t>
      </w:r>
      <w:r>
        <w:rPr>
          <w:rFonts w:ascii="Arial" w:cs="Arial" w:eastAsia="Arial" w:hAnsi="Arial"/>
          <w:sz w:val="22"/>
          <w:szCs w:val="22"/>
          <w:color w:val="auto"/>
        </w:rPr>
        <w:t>. The Servicer will not make any change in its instructions to Obligors regarding where payments in respect of Contracts are to be made, unless the Deal Agent has consented to such change and has received duly executed documentation related thereto.</w:t>
      </w:r>
    </w:p>
    <w:p>
      <w:pPr>
        <w:spacing w:after="0" w:line="212" w:lineRule="exact"/>
        <w:rPr>
          <w:rFonts w:ascii="Arial" w:cs="Arial" w:eastAsia="Arial" w:hAnsi="Arial"/>
          <w:sz w:val="22"/>
          <w:szCs w:val="22"/>
          <w:color w:val="auto"/>
        </w:rPr>
      </w:pPr>
    </w:p>
    <w:p>
      <w:pPr>
        <w:ind w:left="2700" w:hanging="640"/>
        <w:spacing w:after="0"/>
        <w:tabs>
          <w:tab w:leader="none" w:pos="270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20" w:right="40" w:firstLine="1940"/>
        <w:spacing w:after="0" w:line="253" w:lineRule="auto"/>
        <w:tabs>
          <w:tab w:leader="none" w:pos="2601"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No Instruments</w:t>
      </w:r>
      <w:r>
        <w:rPr>
          <w:rFonts w:ascii="Arial" w:cs="Arial" w:eastAsia="Arial" w:hAnsi="Arial"/>
          <w:sz w:val="22"/>
          <w:szCs w:val="22"/>
          <w:color w:val="auto"/>
        </w:rPr>
        <w:t>. The Servicer shall take no action to cause any Loan to be evidenced by any instrument (as defined in the UCC as in effect in the relevant State) except for instruments obtained with respect to defaulted Loans.</w:t>
      </w:r>
    </w:p>
    <w:p>
      <w:pPr>
        <w:spacing w:after="0" w:line="212" w:lineRule="exact"/>
        <w:rPr>
          <w:rFonts w:ascii="Arial" w:cs="Arial" w:eastAsia="Arial" w:hAnsi="Arial"/>
          <w:sz w:val="22"/>
          <w:szCs w:val="22"/>
          <w:color w:val="auto"/>
        </w:rPr>
      </w:pPr>
    </w:p>
    <w:p>
      <w:pPr>
        <w:jc w:val="both"/>
        <w:ind w:left="120" w:right="40" w:firstLine="1940"/>
        <w:spacing w:after="0" w:line="247" w:lineRule="auto"/>
        <w:tabs>
          <w:tab w:leader="none" w:pos="2604"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No Liens</w:t>
      </w:r>
      <w:r>
        <w:rPr>
          <w:rFonts w:ascii="Arial" w:cs="Arial" w:eastAsia="Arial" w:hAnsi="Arial"/>
          <w:sz w:val="22"/>
          <w:szCs w:val="22"/>
          <w:color w:val="auto"/>
        </w:rPr>
        <w:t>. The Servicer shall not sell, pledge, assign or transfer to any other Person, or grant, create, incur, assume or suffer to exist any Lien (other than the Lien described in Section 4.2(a)(iii)) on the Collateral or any interest therein; the Servicer will notify the Collateral Agent and the Deal Agent of the existence of any Lien on any portion of the Collateral immediately upon discovery thereof, and the Servicer shall defend the right, title and interest of the Collateral Agent on behalf of the Secured Parties in, to and under the Collateral against all claims of third parties claiming through or under the Servicer.</w:t>
      </w:r>
    </w:p>
    <w:p>
      <w:pPr>
        <w:spacing w:after="0" w:line="233" w:lineRule="exact"/>
        <w:rPr>
          <w:rFonts w:ascii="Arial" w:cs="Arial" w:eastAsia="Arial" w:hAnsi="Arial"/>
          <w:sz w:val="22"/>
          <w:szCs w:val="22"/>
          <w:color w:val="auto"/>
        </w:rPr>
      </w:pPr>
    </w:p>
    <w:p>
      <w:pPr>
        <w:jc w:val="both"/>
        <w:ind w:left="120" w:right="40" w:firstLine="1940"/>
        <w:spacing w:after="0" w:line="253" w:lineRule="auto"/>
        <w:tabs>
          <w:tab w:leader="none" w:pos="2599"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The Servicer shall, within two (2) Business Days of its receipt thereof, respond to reasonable written directions or written requests for information that the Backup Servicer, the Borrower, the Deal Agent or the Collateral Agent might have with respect to the administration of the Loans.</w:t>
      </w:r>
    </w:p>
    <w:p>
      <w:pPr>
        <w:spacing w:after="0" w:line="225" w:lineRule="exact"/>
        <w:rPr>
          <w:rFonts w:ascii="Arial" w:cs="Arial" w:eastAsia="Arial" w:hAnsi="Arial"/>
          <w:sz w:val="22"/>
          <w:szCs w:val="22"/>
          <w:color w:val="auto"/>
        </w:rPr>
      </w:pPr>
    </w:p>
    <w:p>
      <w:pPr>
        <w:jc w:val="both"/>
        <w:ind w:left="120" w:right="40" w:firstLine="1940"/>
        <w:spacing w:after="0" w:line="253" w:lineRule="auto"/>
        <w:tabs>
          <w:tab w:leader="none" w:pos="2599" w:val="left"/>
        </w:tabs>
        <w:numPr>
          <w:ilvl w:val="0"/>
          <w:numId w:val="382"/>
        </w:numPr>
        <w:rPr>
          <w:rFonts w:ascii="Arial" w:cs="Arial" w:eastAsia="Arial" w:hAnsi="Arial"/>
          <w:sz w:val="22"/>
          <w:szCs w:val="22"/>
          <w:color w:val="auto"/>
        </w:rPr>
      </w:pPr>
      <w:r>
        <w:rPr>
          <w:rFonts w:ascii="Arial" w:cs="Arial" w:eastAsia="Arial" w:hAnsi="Arial"/>
          <w:sz w:val="22"/>
          <w:szCs w:val="22"/>
          <w:u w:val="single" w:color="auto"/>
          <w:color w:val="auto"/>
        </w:rPr>
        <w:t>Consent</w:t>
      </w:r>
      <w:r>
        <w:rPr>
          <w:rFonts w:ascii="Arial" w:cs="Arial" w:eastAsia="Arial" w:hAnsi="Arial"/>
          <w:sz w:val="22"/>
          <w:szCs w:val="22"/>
          <w:color w:val="auto"/>
        </w:rPr>
        <w:t>. The Servicer will promptly advise the Borrower, the Backup Servicer, the Deal Agent and the Collateral Agent of any inquiry received from an Obligor which requires the consent of the Borrower, the Deal Agent or the Collateral Agent.</w:t>
      </w:r>
    </w:p>
    <w:p>
      <w:pPr>
        <w:spacing w:after="0" w:line="212" w:lineRule="exact"/>
        <w:rPr>
          <w:rFonts w:ascii="Arial" w:cs="Arial" w:eastAsia="Arial" w:hAnsi="Arial"/>
          <w:sz w:val="22"/>
          <w:szCs w:val="22"/>
          <w:color w:val="auto"/>
        </w:rPr>
      </w:pPr>
    </w:p>
    <w:p>
      <w:pPr>
        <w:jc w:val="both"/>
        <w:ind w:left="120" w:firstLine="1940"/>
        <w:spacing w:after="0" w:line="294" w:lineRule="auto"/>
        <w:tabs>
          <w:tab w:leader="none" w:pos="2592"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Credit Guidelines and Collection Guidelines</w:t>
      </w:r>
      <w:r>
        <w:rPr>
          <w:rFonts w:ascii="Arial" w:cs="Arial" w:eastAsia="Arial" w:hAnsi="Arial"/>
          <w:sz w:val="19"/>
          <w:szCs w:val="19"/>
          <w:color w:val="auto"/>
        </w:rPr>
        <w:t>. The initial Servicer will not amend, modify, restate or replace in any material way the Credit Guidelines or the Collection Guidelines, which change would impair the collectibility of any Loan or Contract or otherwise adversely affect the interests or the remedies of the Deal Agent, Collateral Agent or the Secured Parties under this Agreement or any other Transaction Document, without the prior written consent of each Lender in the case of the Credit Guidelines or without the prior written consent of the Deal Agent and the Required Lenders with respect to the Collection Guidelines, in each case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84</w:t>
      </w:r>
    </w:p>
    <w:p>
      <w:pPr>
        <w:sectPr>
          <w:pgSz w:w="11900" w:h="16838" w:orient="portrait"/>
          <w:cols w:equalWidth="0" w:num="1">
            <w:col w:w="11140"/>
          </w:cols>
          <w:pgMar w:left="320" w:top="1428" w:right="439" w:bottom="1440" w:gutter="0" w:footer="0" w:header="0"/>
        </w:sectPr>
      </w:pPr>
    </w:p>
    <w:bookmarkStart w:id="352" w:name="page353"/>
    <w:bookmarkEnd w:id="352"/>
    <w:p>
      <w:pPr>
        <w:ind w:left="760"/>
        <w:spacing w:after="0"/>
        <w:tabs>
          <w:tab w:leader="none" w:pos="1980" w:val="left"/>
        </w:tabs>
        <w:rPr>
          <w:sz w:val="20"/>
          <w:szCs w:val="20"/>
          <w:color w:val="auto"/>
        </w:rPr>
      </w:pPr>
      <w:r>
        <w:rPr>
          <w:rFonts w:ascii="Arial" w:cs="Arial" w:eastAsia="Arial" w:hAnsi="Arial"/>
          <w:sz w:val="22"/>
          <w:szCs w:val="22"/>
          <w:color w:val="auto"/>
        </w:rPr>
        <w:t>Section 5.6.</w:t>
      </w:r>
      <w:r>
        <w:rPr>
          <w:sz w:val="20"/>
          <w:szCs w:val="20"/>
          <w:color w:val="auto"/>
        </w:rPr>
        <w:tab/>
      </w:r>
      <w:r>
        <w:rPr>
          <w:rFonts w:ascii="Arial" w:cs="Arial" w:eastAsia="Arial" w:hAnsi="Arial"/>
          <w:sz w:val="19"/>
          <w:szCs w:val="19"/>
          <w:u w:val="single" w:color="auto"/>
          <w:color w:val="auto"/>
        </w:rPr>
        <w:t>Negative Covenants of the Backup Servicer</w:t>
      </w:r>
      <w:r>
        <w:rPr>
          <w:rFonts w:ascii="Arial" w:cs="Arial" w:eastAsia="Arial" w:hAnsi="Arial"/>
          <w:sz w:val="19"/>
          <w:szCs w:val="19"/>
          <w:color w:val="auto"/>
        </w:rPr>
        <w:t>. From the date hereof until the Collection Date:</w:t>
      </w:r>
    </w:p>
    <w:p>
      <w:pPr>
        <w:spacing w:after="0" w:line="328" w:lineRule="exact"/>
        <w:rPr>
          <w:sz w:val="20"/>
          <w:szCs w:val="20"/>
          <w:color w:val="auto"/>
        </w:rPr>
      </w:pPr>
    </w:p>
    <w:p>
      <w:pPr>
        <w:ind w:left="120" w:right="40" w:firstLine="1940"/>
        <w:spacing w:after="0" w:line="263" w:lineRule="auto"/>
        <w:tabs>
          <w:tab w:leader="none" w:pos="2398" w:val="left"/>
        </w:tabs>
        <w:numPr>
          <w:ilvl w:val="0"/>
          <w:numId w:val="383"/>
        </w:numPr>
        <w:rPr>
          <w:rFonts w:ascii="Arial" w:cs="Arial" w:eastAsia="Arial" w:hAnsi="Arial"/>
          <w:sz w:val="22"/>
          <w:szCs w:val="22"/>
          <w:color w:val="auto"/>
        </w:rPr>
      </w:pPr>
      <w:r>
        <w:rPr>
          <w:rFonts w:ascii="Arial" w:cs="Arial" w:eastAsia="Arial" w:hAnsi="Arial"/>
          <w:sz w:val="22"/>
          <w:szCs w:val="22"/>
          <w:u w:val="single" w:color="auto"/>
          <w:color w:val="auto"/>
        </w:rPr>
        <w:t>No Changes in Backup Servicing Fee</w:t>
      </w:r>
      <w:r>
        <w:rPr>
          <w:rFonts w:ascii="Arial" w:cs="Arial" w:eastAsia="Arial" w:hAnsi="Arial"/>
          <w:sz w:val="22"/>
          <w:szCs w:val="22"/>
          <w:color w:val="auto"/>
        </w:rPr>
        <w:t>. The Backup Servicer will not make any changes to the Backup Servicing Fee without the prior written approval of the Deal Agent.</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VI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ADMINISTRATION AND SERVICING OF CONTRACTS</w:t>
      </w:r>
    </w:p>
    <w:p>
      <w:pPr>
        <w:spacing w:after="0" w:line="242" w:lineRule="exact"/>
        <w:rPr>
          <w:sz w:val="20"/>
          <w:szCs w:val="20"/>
          <w:color w:val="auto"/>
        </w:rPr>
      </w:pPr>
    </w:p>
    <w:p>
      <w:pPr>
        <w:jc w:val="both"/>
        <w:ind w:left="120" w:right="40" w:firstLine="648"/>
        <w:spacing w:after="0" w:line="259" w:lineRule="auto"/>
        <w:rPr>
          <w:sz w:val="20"/>
          <w:szCs w:val="20"/>
          <w:color w:val="auto"/>
        </w:rPr>
      </w:pPr>
      <w:r>
        <w:rPr>
          <w:rFonts w:ascii="Arial" w:cs="Arial" w:eastAsia="Arial" w:hAnsi="Arial"/>
          <w:sz w:val="21"/>
          <w:szCs w:val="21"/>
          <w:color w:val="auto"/>
        </w:rPr>
        <w:t xml:space="preserve">Section 6.1. </w:t>
      </w:r>
      <w:r>
        <w:rPr>
          <w:rFonts w:ascii="Arial" w:cs="Arial" w:eastAsia="Arial" w:hAnsi="Arial"/>
          <w:sz w:val="21"/>
          <w:szCs w:val="21"/>
          <w:u w:val="single" w:color="auto"/>
          <w:color w:val="auto"/>
        </w:rPr>
        <w:t>Servicing</w:t>
      </w:r>
      <w:r>
        <w:rPr>
          <w:rFonts w:ascii="Arial" w:cs="Arial" w:eastAsia="Arial" w:hAnsi="Arial"/>
          <w:sz w:val="21"/>
          <w:szCs w:val="21"/>
          <w:color w:val="auto"/>
        </w:rPr>
        <w:t>. (a) The Borrower, the Deal Agent and the Collateral Agent hereby appoint Credit Acceptance as servicer hereunder and Credit Acceptance hereby accepts such appointment and agrees to manage, collect and administer each of the Loans and Contracts as Servicer. In the event of a Servicer Termination Event, the Deal Agent shall have the right to terminate Credit Acceptance as servicer hereunder. Upon termination of Credit Acceptance as servicer of the Loans pursuant to Section 6.11 hereof, the Deal Agent shall have the right to appoint a Successor Servicer and enter into a servicing agreement with such Successor Servicer at such time and exercise all of its rights under Section 6.3 hereof. Such servicing agreement shall specify the duties and obligations of such Successor Servicer, and all references herein to the Servicer shall be deemed to refer to such Successor Servicer.</w:t>
      </w:r>
    </w:p>
    <w:p>
      <w:pPr>
        <w:spacing w:after="0" w:line="210" w:lineRule="exact"/>
        <w:rPr>
          <w:sz w:val="20"/>
          <w:szCs w:val="20"/>
          <w:color w:val="auto"/>
        </w:rPr>
      </w:pPr>
    </w:p>
    <w:p>
      <w:pPr>
        <w:jc w:val="both"/>
        <w:ind w:left="120" w:right="40" w:firstLine="1940"/>
        <w:spacing w:after="0" w:line="253" w:lineRule="auto"/>
        <w:tabs>
          <w:tab w:leader="none" w:pos="2601"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The Borrower shall cause the Servicer to deposit all Collections to the Collection Account no later than two (2) Business Days after receipt. The Servicer agrees to deposit all Collections to the Collection Account no later than two (2) Business Days after receipt.</w:t>
      </w:r>
    </w:p>
    <w:p>
      <w:pPr>
        <w:spacing w:after="0" w:line="293" w:lineRule="exact"/>
        <w:rPr>
          <w:rFonts w:ascii="Arial" w:cs="Arial" w:eastAsia="Arial" w:hAnsi="Arial"/>
          <w:sz w:val="22"/>
          <w:szCs w:val="22"/>
          <w:color w:val="auto"/>
        </w:rPr>
      </w:pPr>
    </w:p>
    <w:p>
      <w:pPr>
        <w:jc w:val="both"/>
        <w:ind w:left="120" w:firstLine="1940"/>
        <w:spacing w:after="0" w:line="284" w:lineRule="auto"/>
        <w:tabs>
          <w:tab w:leader="none" w:pos="260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On or before 120 days after the end of each fiscal year of the Servicer, beginning with the fiscal year ending December 31, 2003, the Servicer shall cause a firm of independent public accountants (who may also render other services to the Servicer or the Borrower) to furnish a report to the Collateral Agent, the Deal Agent and the Secured Parties to the effect that they have (i) compared the information contained in the Monthly Reports delivered during such fiscal year, based on a sample size provided by the Collateral Agent, with the information contained in the Loans, the Contracts and the Servicer’s records and computer systems for such period, and that, on the basis of such agreed-upon procedures, such firm is of the opinion that the information contained in the Monthly Reports reconciles with the information contained in the Loans and the Contracts and the Servicer’s records and computer system and that the servicing of the Loans and the Contracts has been conducted in compliance with this Agreement, and (ii) verified the Aggregate Outstanding Eligible Loan Balance as of the end of each Collection Period during such fiscal year, except, in each case, for (a) such exceptions as such firm shall believe to be immaterial (which exceptions need not be enumerated) and (b) such other exceptions as shall be set forth in such statement. In the event such independent public accountants require the Collateral Agent to agree to the procedures to be performed by such firm in any of the reports required to be prepared pursuant to this Section 6.1(c),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85</w:t>
      </w:r>
    </w:p>
    <w:p>
      <w:pPr>
        <w:sectPr>
          <w:pgSz w:w="11900" w:h="16838" w:orient="portrait"/>
          <w:cols w:equalWidth="0" w:num="1">
            <w:col w:w="11140"/>
          </w:cols>
          <w:pgMar w:left="320" w:top="1428" w:right="439" w:bottom="1440" w:gutter="0" w:footer="0" w:header="0"/>
        </w:sectPr>
      </w:pPr>
    </w:p>
    <w:bookmarkStart w:id="353" w:name="page354"/>
    <w:bookmarkEnd w:id="353"/>
    <w:p>
      <w:pPr>
        <w:jc w:val="both"/>
        <w:ind w:left="120"/>
        <w:spacing w:after="0" w:line="253" w:lineRule="auto"/>
        <w:rPr>
          <w:sz w:val="20"/>
          <w:szCs w:val="20"/>
          <w:color w:val="auto"/>
        </w:rPr>
      </w:pPr>
      <w:r>
        <w:rPr>
          <w:rFonts w:ascii="Arial" w:cs="Arial" w:eastAsia="Arial" w:hAnsi="Arial"/>
          <w:sz w:val="22"/>
          <w:szCs w:val="22"/>
          <w:color w:val="auto"/>
        </w:rPr>
        <w:t>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spacing w:after="0" w:line="226"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Duties of the Servicer and Custodian</w:t>
      </w:r>
      <w:r>
        <w:rPr>
          <w:rFonts w:ascii="Arial" w:cs="Arial" w:eastAsia="Arial" w:hAnsi="Arial"/>
          <w:sz w:val="19"/>
          <w:szCs w:val="19"/>
          <w:color w:val="auto"/>
        </w:rPr>
        <w:t>.</w:t>
      </w:r>
    </w:p>
    <w:p>
      <w:pPr>
        <w:spacing w:after="0" w:line="247" w:lineRule="exact"/>
        <w:rPr>
          <w:sz w:val="20"/>
          <w:szCs w:val="20"/>
          <w:color w:val="auto"/>
        </w:rPr>
      </w:pPr>
    </w:p>
    <w:p>
      <w:pPr>
        <w:jc w:val="both"/>
        <w:ind w:left="120" w:firstLine="1940"/>
        <w:spacing w:after="0" w:line="284" w:lineRule="auto"/>
        <w:tabs>
          <w:tab w:leader="none" w:pos="2601" w:val="left"/>
        </w:tabs>
        <w:numPr>
          <w:ilvl w:val="0"/>
          <w:numId w:val="385"/>
        </w:numPr>
        <w:rPr>
          <w:rFonts w:ascii="Arial" w:cs="Arial" w:eastAsia="Arial" w:hAnsi="Arial"/>
          <w:sz w:val="19"/>
          <w:szCs w:val="19"/>
          <w:color w:val="auto"/>
        </w:rPr>
      </w:pPr>
      <w:r>
        <w:rPr>
          <w:rFonts w:ascii="Arial" w:cs="Arial" w:eastAsia="Arial" w:hAnsi="Arial"/>
          <w:sz w:val="19"/>
          <w:szCs w:val="19"/>
          <w:color w:val="auto"/>
        </w:rPr>
        <w:t>The Servicer shall take or cause to be taken all such action as may be necessary or advisable to collect all amounts due under the Loans and Contracts from time to time, all in material accordance with applicable laws, rules and regulations, with reasonable care and diligence, and in material accordance with the Collection Guidelines, and with respect to the Initial Servicer, the Credit Guidelines, it being understood that there shall be no recourse to the Servicer with regard to the Loans and Contracts except as otherwise provided herein and in the other Transaction Documents. In performing its duties as Servicer, the Servicer shall use the same degree of care and attention it employs with respect to similar contracts and loans which it services for itself or others. Each of the Borrower, the Deal Agent, the Collateral Agent and the Secured Parties hereby appoints as its agent the Servicer, from time to time designated pursuant to Section 6.1 hereof, to enforce its respective rights and interests in and under the Collateral. If the Servicer shall commence a legal proceeding to enforce a Loan or a Contract (for purposes of collection or otherwise), or if in any enforcement or other legal proceeding it shall be held that the Servicer may not enforce a Loan or a Contract, on the grounds that it shall not be a real party in interest or a holder entitled to enforce the Loan or Contract or on similar grounds, the Collateral Agent shall thereupon be deemed to have automatically assigned to the Servicer, solely for the purpose of enforcement, such Loan or Contract. Without limiting the foregoing, the Collateral Agent (and each Lender, if applicable) shall furnish the Servicer with any reasonably necessary and appropriate affidavit prepared by the Servicer that the Servicer may use in any such legal proceedings confirming the Servicer’s power and authority to sue and otherwise enforce the Loans and Contracts in its own name, consistent with this Section 6.2, and any powers of attorney, declarations or other documents prepared by the Servicer reasonably necessary or appropriate to enable the Servicer to carry out its servicing and administrative duties hereunder. The Servicer shall hold in trust for the Secured Parties all Records and any amounts it receives in respect of the Collateral. In the event that a Successor Servicer is appointed, the outgoing Servicer shall deliver to the Successor Servicer and the Successor Servicer shall hold in trust for the Borrower and the Secured Parties all records which evidence or relate to all or any part of the Collateral.</w:t>
      </w:r>
    </w:p>
    <w:p>
      <w:pPr>
        <w:spacing w:after="0" w:line="213" w:lineRule="exact"/>
        <w:rPr>
          <w:rFonts w:ascii="Arial" w:cs="Arial" w:eastAsia="Arial" w:hAnsi="Arial"/>
          <w:sz w:val="19"/>
          <w:szCs w:val="19"/>
          <w:color w:val="auto"/>
        </w:rPr>
      </w:pPr>
    </w:p>
    <w:p>
      <w:pPr>
        <w:jc w:val="both"/>
        <w:ind w:left="120" w:firstLine="1940"/>
        <w:spacing w:after="0" w:line="253" w:lineRule="auto"/>
        <w:tabs>
          <w:tab w:leader="none" w:pos="2600" w:val="left"/>
        </w:tabs>
        <w:numPr>
          <w:ilvl w:val="0"/>
          <w:numId w:val="385"/>
        </w:numPr>
        <w:rPr>
          <w:rFonts w:ascii="Arial" w:cs="Arial" w:eastAsia="Arial" w:hAnsi="Arial"/>
          <w:sz w:val="22"/>
          <w:szCs w:val="22"/>
          <w:color w:val="auto"/>
        </w:rPr>
      </w:pPr>
      <w:r>
        <w:rPr>
          <w:rFonts w:ascii="Arial" w:cs="Arial" w:eastAsia="Arial" w:hAnsi="Arial"/>
          <w:sz w:val="22"/>
          <w:szCs w:val="22"/>
          <w:color w:val="auto"/>
        </w:rPr>
        <w:t>The Servicer, if other than Credit Acceptance, shall as soon as practicable upon demand, deliver to the Borrower all records in its possession which evidence or relate to indebtedness of an Obligor which is not a Loan or a Contract.</w:t>
      </w:r>
    </w:p>
    <w:p>
      <w:pPr>
        <w:spacing w:after="0" w:line="212" w:lineRule="exact"/>
        <w:rPr>
          <w:rFonts w:ascii="Arial" w:cs="Arial" w:eastAsia="Arial" w:hAnsi="Arial"/>
          <w:sz w:val="22"/>
          <w:szCs w:val="22"/>
          <w:color w:val="auto"/>
        </w:rPr>
      </w:pPr>
    </w:p>
    <w:p>
      <w:pPr>
        <w:jc w:val="both"/>
        <w:ind w:left="120" w:firstLine="1940"/>
        <w:spacing w:after="0" w:line="247" w:lineRule="auto"/>
        <w:tabs>
          <w:tab w:leader="none" w:pos="2601" w:val="left"/>
        </w:tabs>
        <w:numPr>
          <w:ilvl w:val="0"/>
          <w:numId w:val="385"/>
        </w:numPr>
        <w:rPr>
          <w:rFonts w:ascii="Arial" w:cs="Arial" w:eastAsia="Arial" w:hAnsi="Arial"/>
          <w:sz w:val="22"/>
          <w:szCs w:val="22"/>
          <w:color w:val="auto"/>
        </w:rPr>
      </w:pPr>
      <w:r>
        <w:rPr>
          <w:rFonts w:ascii="Arial" w:cs="Arial" w:eastAsia="Arial" w:hAnsi="Arial"/>
          <w:sz w:val="22"/>
          <w:szCs w:val="22"/>
          <w:color w:val="auto"/>
        </w:rPr>
        <w:t xml:space="preserve">(i) The Borrower, the Deal Agent and the Collateral Agent hereby revocably appoint Credit Acceptance as custodian (or if there has been a Successor Servicer appointed hereunder then such Successor Servicer shall be appointed as Custodian in accordance with </w:t>
      </w:r>
      <w:r>
        <w:rPr>
          <w:rFonts w:ascii="Arial" w:cs="Arial" w:eastAsia="Arial" w:hAnsi="Arial"/>
          <w:sz w:val="22"/>
          <w:szCs w:val="22"/>
          <w:u w:val="single" w:color="auto"/>
          <w:color w:val="auto"/>
        </w:rPr>
        <w:t>Section 6.2(d)</w:t>
      </w:r>
      <w:r>
        <w:rPr>
          <w:rFonts w:ascii="Arial" w:cs="Arial" w:eastAsia="Arial" w:hAnsi="Arial"/>
          <w:sz w:val="22"/>
          <w:szCs w:val="22"/>
          <w:color w:val="auto"/>
        </w:rPr>
        <w:t>), and Credit Acceptance hereby accepts such appointment, to hold and maintain physical possession of the Contract Files and all Records (or with respect to any Contract constituting electronic chattel paper, to maintain "control" (within the meaning of Section 9-105 of the UCC) of the Authoritative Electronic Copy thereof) (in such capacity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86</w:t>
      </w:r>
    </w:p>
    <w:p>
      <w:pPr>
        <w:sectPr>
          <w:pgSz w:w="11900" w:h="16838" w:orient="portrait"/>
          <w:cols w:equalWidth="0" w:num="1">
            <w:col w:w="11140"/>
          </w:cols>
          <w:pgMar w:left="320" w:top="1428" w:right="439" w:bottom="1440" w:gutter="0" w:footer="0" w:header="0"/>
        </w:sectPr>
      </w:pPr>
    </w:p>
    <w:bookmarkStart w:id="354" w:name="page355"/>
    <w:bookmarkEnd w:id="354"/>
    <w:p>
      <w:pPr>
        <w:jc w:val="both"/>
        <w:ind w:left="120"/>
        <w:spacing w:after="0" w:line="250" w:lineRule="auto"/>
        <w:rPr>
          <w:sz w:val="20"/>
          <w:szCs w:val="20"/>
          <w:color w:val="auto"/>
        </w:rPr>
      </w:pPr>
      <w:r>
        <w:rPr>
          <w:rFonts w:ascii="Arial" w:cs="Arial" w:eastAsia="Arial" w:hAnsi="Arial"/>
          <w:sz w:val="22"/>
          <w:szCs w:val="22"/>
          <w:color w:val="auto"/>
        </w:rPr>
        <w:t>together with its successors in such capacity, the “</w:t>
      </w:r>
      <w:r>
        <w:rPr>
          <w:rFonts w:ascii="Arial" w:cs="Arial" w:eastAsia="Arial" w:hAnsi="Arial"/>
          <w:sz w:val="22"/>
          <w:szCs w:val="22"/>
          <w:u w:val="single" w:color="auto"/>
          <w:color w:val="auto"/>
        </w:rPr>
        <w:t>Custodian</w:t>
      </w:r>
      <w:r>
        <w:rPr>
          <w:rFonts w:ascii="Arial" w:cs="Arial" w:eastAsia="Arial" w:hAnsi="Arial"/>
          <w:sz w:val="22"/>
          <w:szCs w:val="22"/>
          <w:color w:val="auto"/>
        </w:rPr>
        <w:t>”). The Contract Files and Records are to be delivered to the Custodian or its designated bailee by or on behalf of the Borrower, the Deal Agent and Collateral Agent within two (2) Business Days preceding the Funding Date or within two (2) Business Days after each Addition Date, as the case may be, with respect to each Loan acquired on the Funding Date or Addition Date.</w:t>
      </w:r>
    </w:p>
    <w:p>
      <w:pPr>
        <w:spacing w:after="0" w:line="228" w:lineRule="exact"/>
        <w:rPr>
          <w:sz w:val="20"/>
          <w:szCs w:val="20"/>
          <w:color w:val="auto"/>
        </w:rPr>
      </w:pPr>
    </w:p>
    <w:p>
      <w:pPr>
        <w:jc w:val="both"/>
        <w:ind w:left="120" w:firstLine="2588"/>
        <w:spacing w:after="0" w:line="286" w:lineRule="auto"/>
        <w:tabs>
          <w:tab w:leader="none" w:pos="3247" w:val="left"/>
        </w:tabs>
        <w:numPr>
          <w:ilvl w:val="0"/>
          <w:numId w:val="386"/>
        </w:numPr>
        <w:rPr>
          <w:rFonts w:ascii="Arial" w:cs="Arial" w:eastAsia="Arial" w:hAnsi="Arial"/>
          <w:sz w:val="19"/>
          <w:szCs w:val="19"/>
          <w:color w:val="auto"/>
        </w:rPr>
      </w:pPr>
      <w:r>
        <w:rPr>
          <w:rFonts w:ascii="Arial" w:cs="Arial" w:eastAsia="Arial" w:hAnsi="Arial"/>
          <w:sz w:val="19"/>
          <w:szCs w:val="19"/>
          <w:color w:val="auto"/>
        </w:rPr>
        <w:t>The Custodian shall within 180 days after the Closing Date or Funding Date, as applicable, review 100% of the Contract Files to verify the presence of the original retail installment contract and security agreement and/or installment loans with respect to each Contract, provided, however, that the Certificate of Title or other evidence of lien with respect to a Contract need not be verified. If the number of Contracts for which any of the foregoing documents have not been delivered to the Custodian within 180 days of the Closing Date or relevant Funding Date, as the case may be, or corrected (each such Contract, a “</w:t>
      </w:r>
      <w:r>
        <w:rPr>
          <w:rFonts w:ascii="Arial" w:cs="Arial" w:eastAsia="Arial" w:hAnsi="Arial"/>
          <w:sz w:val="19"/>
          <w:szCs w:val="19"/>
          <w:u w:val="single" w:color="auto"/>
          <w:color w:val="auto"/>
        </w:rPr>
        <w:t>Nonconforming Contract</w:t>
      </w:r>
      <w:r>
        <w:rPr>
          <w:rFonts w:ascii="Arial" w:cs="Arial" w:eastAsia="Arial" w:hAnsi="Arial"/>
          <w:sz w:val="19"/>
          <w:szCs w:val="19"/>
          <w:color w:val="auto"/>
        </w:rPr>
        <w:t xml:space="preserve">”), exceeds 2% of the aggregate number of Contract Files required to be reviewed pursuant to this </w:t>
      </w:r>
      <w:r>
        <w:rPr>
          <w:rFonts w:ascii="Arial" w:cs="Arial" w:eastAsia="Arial" w:hAnsi="Arial"/>
          <w:sz w:val="19"/>
          <w:szCs w:val="19"/>
          <w:u w:val="single" w:color="auto"/>
          <w:color w:val="auto"/>
        </w:rPr>
        <w:t>Section 6.2(c)(ii)</w:t>
      </w:r>
      <w:r>
        <w:rPr>
          <w:rFonts w:ascii="Arial" w:cs="Arial" w:eastAsia="Arial" w:hAnsi="Arial"/>
          <w:sz w:val="19"/>
          <w:szCs w:val="19"/>
          <w:color w:val="auto"/>
        </w:rPr>
        <w:t xml:space="preserve">, the Borrower shall make a deposit to the Reserve Account only with respect to the excess number of Nonconforming Contracts, in an amount equal to the related Release Price. Once per month, the amount on deposit in the Reserve Account in respect of Nonconforming Contracts shall be adjusted to account for increases or decreases in the excess number of Nonconforming Contracts and for changes in the Outstanding Balance of such Nonconforming Contracts. The Borrower shall, in the case of an increase, promptly deposit to the Reserve Account the amount of any such increase. In the case of a decrease, the amount of any such decrease shall be deemed to be part of the Excess Reserve Amount. During the Revolving Period, payments required under this </w:t>
      </w:r>
      <w:r>
        <w:rPr>
          <w:rFonts w:ascii="Arial" w:cs="Arial" w:eastAsia="Arial" w:hAnsi="Arial"/>
          <w:sz w:val="19"/>
          <w:szCs w:val="19"/>
          <w:u w:val="single" w:color="auto"/>
          <w:color w:val="auto"/>
        </w:rPr>
        <w:t>Section 6.2(c)(ii)</w:t>
      </w:r>
      <w:r>
        <w:rPr>
          <w:rFonts w:ascii="Arial" w:cs="Arial" w:eastAsia="Arial" w:hAnsi="Arial"/>
          <w:sz w:val="19"/>
          <w:szCs w:val="19"/>
          <w:color w:val="auto"/>
        </w:rPr>
        <w:t xml:space="preserve"> shall not be required if the Capital is equal to or less than the Borrowing Base by the amount of the payment that would otherwise be required to be made by this clause.</w:t>
      </w:r>
    </w:p>
    <w:p>
      <w:pPr>
        <w:spacing w:after="0" w:line="188" w:lineRule="exact"/>
        <w:rPr>
          <w:rFonts w:ascii="Arial" w:cs="Arial" w:eastAsia="Arial" w:hAnsi="Arial"/>
          <w:sz w:val="19"/>
          <w:szCs w:val="19"/>
          <w:color w:val="auto"/>
        </w:rPr>
      </w:pPr>
    </w:p>
    <w:p>
      <w:pPr>
        <w:jc w:val="both"/>
        <w:ind w:left="120" w:firstLine="2588"/>
        <w:spacing w:after="0" w:line="247" w:lineRule="auto"/>
        <w:tabs>
          <w:tab w:leader="none" w:pos="3253"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Custodian agrees to maintain the Contract Files and Records which are delivered to it at the offices of the Custodian as shall from time to time be identified to the Deal Agent by written notice. Subject to the foregoing, Credit Acceptance may temporarily (or permanently, in the case of a Contract that is repurchased, liquidated or paid in full) move or transfer to an agent of the Servicer individual Contract Files or Records, or any portion thereof without notice as necessary to allow the Servicer to conduct collection and other servicing activities in accordance with its customary practices and procedures.</w:t>
      </w:r>
    </w:p>
    <w:p>
      <w:pPr>
        <w:spacing w:after="0" w:line="233" w:lineRule="exact"/>
        <w:rPr>
          <w:rFonts w:ascii="Arial" w:cs="Arial" w:eastAsia="Arial" w:hAnsi="Arial"/>
          <w:sz w:val="22"/>
          <w:szCs w:val="22"/>
          <w:color w:val="auto"/>
        </w:rPr>
      </w:pPr>
    </w:p>
    <w:p>
      <w:pPr>
        <w:ind w:left="3340" w:hanging="632"/>
        <w:spacing w:after="0"/>
        <w:tabs>
          <w:tab w:leader="none" w:pos="334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Custodian shall have the following powers and</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perform the following duties:</w:t>
      </w:r>
    </w:p>
    <w:p>
      <w:pPr>
        <w:spacing w:after="0" w:line="242" w:lineRule="exact"/>
        <w:rPr>
          <w:sz w:val="20"/>
          <w:szCs w:val="20"/>
          <w:color w:val="auto"/>
        </w:rPr>
      </w:pPr>
    </w:p>
    <w:p>
      <w:pPr>
        <w:ind w:left="3880" w:hanging="524"/>
        <w:spacing w:after="0"/>
        <w:tabs>
          <w:tab w:leader="none" w:pos="3880" w:val="left"/>
        </w:tabs>
        <w:numPr>
          <w:ilvl w:val="0"/>
          <w:numId w:val="387"/>
        </w:numPr>
        <w:rPr>
          <w:rFonts w:ascii="Arial" w:cs="Arial" w:eastAsia="Arial" w:hAnsi="Arial"/>
          <w:sz w:val="22"/>
          <w:szCs w:val="22"/>
          <w:color w:val="auto"/>
        </w:rPr>
      </w:pPr>
      <w:r>
        <w:rPr>
          <w:rFonts w:ascii="Arial" w:cs="Arial" w:eastAsia="Arial" w:hAnsi="Arial"/>
          <w:sz w:val="22"/>
          <w:szCs w:val="22"/>
          <w:color w:val="auto"/>
        </w:rPr>
        <w:t>hold the Contract Files and Records for the benefit</w:t>
      </w:r>
    </w:p>
    <w:p>
      <w:pPr>
        <w:spacing w:after="0" w:line="21" w:lineRule="exact"/>
        <w:rPr>
          <w:rFonts w:ascii="Arial" w:cs="Arial" w:eastAsia="Arial" w:hAnsi="Arial"/>
          <w:sz w:val="22"/>
          <w:szCs w:val="22"/>
          <w:color w:val="auto"/>
        </w:rPr>
      </w:pPr>
    </w:p>
    <w:p>
      <w:pPr>
        <w:ind w:left="120"/>
        <w:spacing w:after="0"/>
        <w:rPr>
          <w:rFonts w:ascii="Arial" w:cs="Arial" w:eastAsia="Arial" w:hAnsi="Arial"/>
          <w:sz w:val="22"/>
          <w:szCs w:val="22"/>
          <w:color w:val="auto"/>
        </w:rPr>
      </w:pPr>
      <w:r>
        <w:rPr>
          <w:rFonts w:ascii="Arial" w:cs="Arial" w:eastAsia="Arial" w:hAnsi="Arial"/>
          <w:sz w:val="22"/>
          <w:szCs w:val="22"/>
          <w:color w:val="auto"/>
        </w:rPr>
        <w:t>of the Secured Parties and maintain a current inventory thereof; and</w:t>
      </w:r>
    </w:p>
    <w:p>
      <w:pPr>
        <w:spacing w:after="0" w:line="228" w:lineRule="exact"/>
        <w:rPr>
          <w:rFonts w:ascii="Arial" w:cs="Arial" w:eastAsia="Arial" w:hAnsi="Arial"/>
          <w:sz w:val="22"/>
          <w:szCs w:val="22"/>
          <w:color w:val="auto"/>
        </w:rPr>
      </w:pPr>
    </w:p>
    <w:p>
      <w:pPr>
        <w:jc w:val="both"/>
        <w:ind w:left="120" w:firstLine="3236"/>
        <w:spacing w:after="0" w:line="302" w:lineRule="auto"/>
        <w:tabs>
          <w:tab w:leader="none" w:pos="3891" w:val="left"/>
        </w:tabs>
        <w:numPr>
          <w:ilvl w:val="0"/>
          <w:numId w:val="387"/>
        </w:numPr>
        <w:rPr>
          <w:rFonts w:ascii="Arial" w:cs="Arial" w:eastAsia="Arial" w:hAnsi="Arial"/>
          <w:sz w:val="19"/>
          <w:szCs w:val="19"/>
          <w:color w:val="auto"/>
        </w:rPr>
      </w:pPr>
      <w:r>
        <w:rPr>
          <w:rFonts w:ascii="Arial" w:cs="Arial" w:eastAsia="Arial" w:hAnsi="Arial"/>
          <w:sz w:val="19"/>
          <w:szCs w:val="19"/>
          <w:color w:val="auto"/>
        </w:rPr>
        <w:t>carry out such policies and procedures in accordance with its customary actions with respect to the handling and custody of the Contract Files and Records so that the integrity and physical possession of the Contract Files and Records (or with respect to any Contract constituting electronic chattel paper, the integrity and "control" (within the meaning of Section 9-105 of the UCC) of the Authoritative Electronic Copy thereof) will be maintained.</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87</w:t>
      </w:r>
    </w:p>
    <w:p>
      <w:pPr>
        <w:sectPr>
          <w:pgSz w:w="11900" w:h="16838" w:orient="portrait"/>
          <w:cols w:equalWidth="0" w:num="1">
            <w:col w:w="11140"/>
          </w:cols>
          <w:pgMar w:left="320" w:top="1428" w:right="439" w:bottom="1440" w:gutter="0" w:footer="0" w:header="0"/>
        </w:sectPr>
      </w:pPr>
    </w:p>
    <w:bookmarkStart w:id="355" w:name="page356"/>
    <w:bookmarkEnd w:id="355"/>
    <w:p>
      <w:pPr>
        <w:ind w:left="120" w:right="60" w:firstLine="648"/>
        <w:spacing w:after="0" w:line="343" w:lineRule="auto"/>
        <w:rPr>
          <w:sz w:val="20"/>
          <w:szCs w:val="20"/>
          <w:color w:val="auto"/>
        </w:rPr>
      </w:pPr>
      <w:r>
        <w:rPr>
          <w:rFonts w:ascii="Arial" w:cs="Arial" w:eastAsia="Arial" w:hAnsi="Arial"/>
          <w:sz w:val="19"/>
          <w:szCs w:val="19"/>
          <w:color w:val="auto"/>
        </w:rPr>
        <w:t>In performing its duties as custodian, the Custodian agrees to act with reasonable care, using that degree of skill and care that it exercises with respect to similar contracts or loans owned or held by it for its own account or for any other Person.</w:t>
      </w:r>
    </w:p>
    <w:p>
      <w:pPr>
        <w:spacing w:after="0" w:line="145" w:lineRule="exact"/>
        <w:rPr>
          <w:sz w:val="20"/>
          <w:szCs w:val="20"/>
          <w:color w:val="auto"/>
        </w:rPr>
      </w:pPr>
    </w:p>
    <w:p>
      <w:pPr>
        <w:jc w:val="both"/>
        <w:ind w:left="120" w:right="40" w:firstLine="2588"/>
        <w:spacing w:after="0" w:line="290" w:lineRule="auto"/>
        <w:tabs>
          <w:tab w:leader="none" w:pos="3248" w:val="left"/>
        </w:tabs>
        <w:numPr>
          <w:ilvl w:val="1"/>
          <w:numId w:val="388"/>
        </w:numPr>
        <w:rPr>
          <w:rFonts w:ascii="Arial" w:cs="Arial" w:eastAsia="Arial" w:hAnsi="Arial"/>
          <w:sz w:val="19"/>
          <w:szCs w:val="19"/>
          <w:color w:val="auto"/>
        </w:rPr>
      </w:pPr>
      <w:r>
        <w:rPr>
          <w:rFonts w:ascii="Arial" w:cs="Arial" w:eastAsia="Arial" w:hAnsi="Arial"/>
          <w:sz w:val="19"/>
          <w:szCs w:val="19"/>
          <w:color w:val="auto"/>
        </w:rPr>
        <w:t>Credit Acceptance shall have the obligation to (i) physically segregate the Contract Files (to the extent held in physical form) from the other custodial files it is holding for its own account or on behalf of any other Person, (ii) physically mark the Contract folders (to the extent held in physical form) to demonstrate the transfer of Contract Files and the Collateral Agent’s security interest hereunder, (iii) mark its computer records indicating the transfer of any Contract Files relating to Contracts constituting electronic chattel paper and the Collateral Agent’s security interest hereunder, and (iv) with respect to each Contract constituting electronic chattel paper, cause the single “authoritative copy” (within the meaning of Section 9-105 of the UCC) to be communicated to and maintained at all times by Credit Acceptance such that the “authoritative copy” constitutes an Authoritative Electronic Copy at all times.</w:t>
      </w:r>
    </w:p>
    <w:p>
      <w:pPr>
        <w:spacing w:after="0" w:line="263" w:lineRule="exact"/>
        <w:rPr>
          <w:rFonts w:ascii="Arial" w:cs="Arial" w:eastAsia="Arial" w:hAnsi="Arial"/>
          <w:sz w:val="19"/>
          <w:szCs w:val="19"/>
          <w:color w:val="auto"/>
        </w:rPr>
      </w:pPr>
    </w:p>
    <w:p>
      <w:pPr>
        <w:jc w:val="both"/>
        <w:ind w:left="120" w:firstLine="1940"/>
        <w:spacing w:after="0" w:line="246" w:lineRule="auto"/>
        <w:tabs>
          <w:tab w:leader="none" w:pos="260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(i) If (A) an Unsatisfactory Audit occurs or (B) a Servicer Termination Event or potential Servicer Termination Event occurs, the Deal Agent shall have the right to terminate Credit Acceptance as the Custodian hereunder and the Deal Agent shall have the right to appoint a successor Custodian hereunder who shall assume all the rights and obligations of the “Custodian” hereunder. On the effective date of the termination of Credit Acceptance as Servicer, Credit Acceptance shall be released of all of its obligations as Custodian arising on or after such date. The Contract Files and Records shall be delivered by Credit Acceptance to the successor Custodian, on or before the date which is two (2) Business Days prior to such date.</w:t>
      </w:r>
    </w:p>
    <w:p>
      <w:pPr>
        <w:spacing w:after="0" w:line="304" w:lineRule="exact"/>
        <w:rPr>
          <w:rFonts w:ascii="Arial" w:cs="Arial" w:eastAsia="Arial" w:hAnsi="Arial"/>
          <w:sz w:val="22"/>
          <w:szCs w:val="22"/>
          <w:color w:val="auto"/>
        </w:rPr>
      </w:pPr>
    </w:p>
    <w:p>
      <w:pPr>
        <w:jc w:val="both"/>
        <w:ind w:left="120" w:right="40" w:firstLine="2588"/>
        <w:spacing w:after="0" w:line="292" w:lineRule="auto"/>
        <w:tabs>
          <w:tab w:leader="none" w:pos="3247" w:val="left"/>
        </w:tabs>
        <w:numPr>
          <w:ilvl w:val="1"/>
          <w:numId w:val="389"/>
        </w:numPr>
        <w:rPr>
          <w:rFonts w:ascii="Arial" w:cs="Arial" w:eastAsia="Arial" w:hAnsi="Arial"/>
          <w:sz w:val="19"/>
          <w:szCs w:val="19"/>
          <w:color w:val="auto"/>
        </w:rPr>
      </w:pPr>
      <w:r>
        <w:rPr>
          <w:rFonts w:ascii="Arial" w:cs="Arial" w:eastAsia="Arial" w:hAnsi="Arial"/>
          <w:sz w:val="19"/>
          <w:szCs w:val="19"/>
          <w:color w:val="auto"/>
        </w:rPr>
        <w:t>Upon the occurrence of a Servicer Termination Event or potential Servicer Termination Event, the Servicer and the Borrower shall, at the request of the Deal Agent, in its sole discretion, take all steps necessary to cause the Certificate of Title or other evidence of ownership of each Financed Vehicle to be revised to name the Collateral Agent on behalf of the Secured Parties as lienholder. Any costs associated with such revision of the Certificate of Title (“</w:t>
      </w:r>
      <w:r>
        <w:rPr>
          <w:rFonts w:ascii="Arial" w:cs="Arial" w:eastAsia="Arial" w:hAnsi="Arial"/>
          <w:sz w:val="19"/>
          <w:szCs w:val="19"/>
          <w:u w:val="single" w:color="auto"/>
          <w:color w:val="auto"/>
        </w:rPr>
        <w:t>Reliening Expenses</w:t>
      </w:r>
      <w:r>
        <w:rPr>
          <w:rFonts w:ascii="Arial" w:cs="Arial" w:eastAsia="Arial" w:hAnsi="Arial"/>
          <w:sz w:val="19"/>
          <w:szCs w:val="19"/>
          <w:color w:val="auto"/>
        </w:rPr>
        <w:t xml:space="preserve">”) shall be paid by Credit Acceptance, and to the extent such costs are not paid by Credit Acceptance such unpaid costs shall be recovered as Servicer Expenses as described in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hereof. In no event shall the Collateral Agent be required to expend funds in connection with this </w:t>
      </w:r>
      <w:r>
        <w:rPr>
          <w:rFonts w:ascii="Arial" w:cs="Arial" w:eastAsia="Arial" w:hAnsi="Arial"/>
          <w:sz w:val="19"/>
          <w:szCs w:val="19"/>
          <w:u w:val="single" w:color="auto"/>
          <w:color w:val="auto"/>
        </w:rPr>
        <w:t>Section 6.2(d)</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left="120" w:firstLine="2588"/>
        <w:spacing w:after="0" w:line="302" w:lineRule="auto"/>
        <w:tabs>
          <w:tab w:leader="none" w:pos="3252" w:val="left"/>
        </w:tabs>
        <w:numPr>
          <w:ilvl w:val="1"/>
          <w:numId w:val="390"/>
        </w:numPr>
        <w:rPr>
          <w:rFonts w:ascii="Arial" w:cs="Arial" w:eastAsia="Arial" w:hAnsi="Arial"/>
          <w:sz w:val="19"/>
          <w:szCs w:val="19"/>
          <w:color w:val="auto"/>
        </w:rPr>
      </w:pPr>
      <w:r>
        <w:rPr>
          <w:rFonts w:ascii="Arial" w:cs="Arial" w:eastAsia="Arial" w:hAnsi="Arial"/>
          <w:sz w:val="19"/>
          <w:szCs w:val="19"/>
          <w:color w:val="auto"/>
        </w:rPr>
        <w:t>The Custodian shall provide to the Deal Agent access to the Contract Files and Records and all other documentation regarding the Contracts, Dealer Agreement and the Loans and the related Financed Vehicles in such cases where the Collateral Agent is required in connection with the enforcement of the rights or interests of the Secured Parties, or by applicable statutes or regulations to review such documentation, such access being afforded without charge.</w:t>
      </w:r>
    </w:p>
    <w:p>
      <w:pPr>
        <w:spacing w:after="0" w:line="182" w:lineRule="exact"/>
        <w:rPr>
          <w:rFonts w:ascii="Arial" w:cs="Arial" w:eastAsia="Arial" w:hAnsi="Arial"/>
          <w:sz w:val="19"/>
          <w:szCs w:val="19"/>
          <w:color w:val="auto"/>
        </w:rPr>
      </w:pPr>
    </w:p>
    <w:p>
      <w:pPr>
        <w:jc w:val="both"/>
        <w:ind w:left="120" w:right="40" w:firstLine="1940"/>
        <w:spacing w:after="0" w:line="250" w:lineRule="auto"/>
        <w:tabs>
          <w:tab w:leader="none" w:pos="2601" w:val="left"/>
        </w:tabs>
        <w:numPr>
          <w:ilvl w:val="0"/>
          <w:numId w:val="391"/>
        </w:numPr>
        <w:rPr>
          <w:rFonts w:ascii="Arial" w:cs="Arial" w:eastAsia="Arial" w:hAnsi="Arial"/>
          <w:sz w:val="22"/>
          <w:szCs w:val="22"/>
          <w:color w:val="auto"/>
        </w:rPr>
      </w:pPr>
      <w:r>
        <w:rPr>
          <w:rFonts w:ascii="Arial" w:cs="Arial" w:eastAsia="Arial" w:hAnsi="Arial"/>
          <w:sz w:val="22"/>
          <w:szCs w:val="22"/>
          <w:color w:val="auto"/>
        </w:rPr>
        <w:t>Two times per calendar year, at the expense of the initial Servicer, and if the Backup Servicer is the Successor Servicer, the Deal Agent, the Deal Agent and any Lender may review the Servicer’s collection and administration of the Loans, Dealer Agreements and Contracts in order to assess compliance by the Servicer with the Servicer’s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88</w:t>
      </w:r>
    </w:p>
    <w:p>
      <w:pPr>
        <w:sectPr>
          <w:pgSz w:w="11900" w:h="16838" w:orient="portrait"/>
          <w:cols w:equalWidth="0" w:num="1">
            <w:col w:w="11140"/>
          </w:cols>
          <w:pgMar w:left="320" w:top="1428" w:right="439" w:bottom="1440" w:gutter="0" w:footer="0" w:header="0"/>
        </w:sectPr>
      </w:pPr>
    </w:p>
    <w:bookmarkStart w:id="356" w:name="page357"/>
    <w:bookmarkEnd w:id="356"/>
    <w:p>
      <w:pPr>
        <w:jc w:val="both"/>
        <w:ind w:left="120" w:right="40"/>
        <w:spacing w:after="0" w:line="250" w:lineRule="auto"/>
        <w:rPr>
          <w:sz w:val="20"/>
          <w:szCs w:val="20"/>
          <w:color w:val="auto"/>
        </w:rPr>
      </w:pPr>
      <w:r>
        <w:rPr>
          <w:rFonts w:ascii="Arial" w:cs="Arial" w:eastAsia="Arial" w:hAnsi="Arial"/>
          <w:sz w:val="22"/>
          <w:szCs w:val="22"/>
          <w:color w:val="auto"/>
        </w:rPr>
        <w:t>written policies and procedures, as well as with this Agreement and may conduct an audit of the Loans, Dealer Agreements and Contracts and Contract Files in conjunction with such a review. On and after the occurrence of a Termination Event or Servicer Termination Event, the Deal Agent or any Lender may conduct such reviews and audits without limitation, at the Servicer’s expense.</w:t>
      </w:r>
    </w:p>
    <w:p>
      <w:pPr>
        <w:spacing w:after="0" w:line="228" w:lineRule="exact"/>
        <w:rPr>
          <w:sz w:val="20"/>
          <w:szCs w:val="20"/>
          <w:color w:val="auto"/>
        </w:rPr>
      </w:pPr>
    </w:p>
    <w:p>
      <w:pPr>
        <w:ind w:left="120" w:right="340" w:firstLine="648"/>
        <w:spacing w:after="0" w:line="263" w:lineRule="auto"/>
        <w:rPr>
          <w:sz w:val="20"/>
          <w:szCs w:val="20"/>
          <w:color w:val="auto"/>
        </w:rPr>
      </w:pPr>
      <w:r>
        <w:rPr>
          <w:rFonts w:ascii="Arial" w:cs="Arial" w:eastAsia="Arial" w:hAnsi="Arial"/>
          <w:sz w:val="22"/>
          <w:szCs w:val="22"/>
          <w:color w:val="auto"/>
        </w:rPr>
        <w:t xml:space="preserve">Section 6.3. </w:t>
      </w:r>
      <w:r>
        <w:rPr>
          <w:rFonts w:ascii="Arial" w:cs="Arial" w:eastAsia="Arial" w:hAnsi="Arial"/>
          <w:sz w:val="22"/>
          <w:szCs w:val="22"/>
          <w:u w:val="single" w:color="auto"/>
          <w:color w:val="auto"/>
        </w:rPr>
        <w:t>Rights After Designation of Successor Servicer</w:t>
      </w:r>
      <w:r>
        <w:rPr>
          <w:rFonts w:ascii="Arial" w:cs="Arial" w:eastAsia="Arial" w:hAnsi="Arial"/>
          <w:sz w:val="22"/>
          <w:szCs w:val="22"/>
          <w:color w:val="auto"/>
        </w:rPr>
        <w:t>. At any time following the designation of a Successor Servicer pursuant to Section 6.12(a):</w:t>
      </w:r>
    </w:p>
    <w:p>
      <w:pPr>
        <w:spacing w:after="0" w:line="202" w:lineRule="exact"/>
        <w:rPr>
          <w:sz w:val="20"/>
          <w:szCs w:val="20"/>
          <w:color w:val="auto"/>
        </w:rPr>
      </w:pPr>
    </w:p>
    <w:p>
      <w:pPr>
        <w:jc w:val="both"/>
        <w:ind w:left="120" w:firstLine="2588"/>
        <w:spacing w:after="0" w:line="248" w:lineRule="auto"/>
        <w:tabs>
          <w:tab w:leader="none" w:pos="3241"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Successor Servicer or Collateral Agent may intercept payments made by or on behalf of Obligors and direct that payment of all amounts payable under any Loan or Contract be made directly to the Successor Servicer or Collateral Agent or its designee; provided, that the Collateral Agent shall pay to any Dealer, to the extent to which such Dealer is entitled, all related Dealer Collections pursuant to the written direction of the Successor Servicer set forth in the Monthly Report.</w:t>
      </w:r>
    </w:p>
    <w:p>
      <w:pPr>
        <w:spacing w:after="0" w:line="232" w:lineRule="exact"/>
        <w:rPr>
          <w:rFonts w:ascii="Arial" w:cs="Arial" w:eastAsia="Arial" w:hAnsi="Arial"/>
          <w:sz w:val="22"/>
          <w:szCs w:val="22"/>
          <w:color w:val="auto"/>
        </w:rPr>
      </w:pPr>
    </w:p>
    <w:p>
      <w:pPr>
        <w:jc w:val="both"/>
        <w:ind w:left="120" w:right="60" w:firstLine="2588"/>
        <w:spacing w:after="0" w:line="253" w:lineRule="auto"/>
        <w:tabs>
          <w:tab w:leader="none" w:pos="3246"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Successor Servicer shall, at the Borrower’s expense, give notice of the Collateral Agent’s interest in the Loans and Contracts to each Obligor and direct that payments be made directly to the Successor Servicer or the Collateral Agent or its designee.</w:t>
      </w:r>
    </w:p>
    <w:p>
      <w:pPr>
        <w:spacing w:after="0" w:line="293" w:lineRule="exact"/>
        <w:rPr>
          <w:rFonts w:ascii="Arial" w:cs="Arial" w:eastAsia="Arial" w:hAnsi="Arial"/>
          <w:sz w:val="22"/>
          <w:szCs w:val="22"/>
          <w:color w:val="auto"/>
        </w:rPr>
      </w:pPr>
    </w:p>
    <w:p>
      <w:pPr>
        <w:jc w:val="both"/>
        <w:ind w:left="120" w:firstLine="2588"/>
        <w:spacing w:after="0" w:line="292" w:lineRule="auto"/>
        <w:tabs>
          <w:tab w:leader="none" w:pos="3252"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The Borrower shall, at the Collateral Agent’s or the Successor Servicer’s request, (A) assemble all of the records relating to the Collateral, including all Records with respect to the Loans and Contracts, and shall make the same available to the Successor Servicer or the Collateral Agent at a place selected by the Successor Servicer or the Collateral Agent or its designee, and (B) segregate all cash, checks and other instruments received by it from time to time constituting collections of Collateral in a manner acceptable to the Successor Servicer or the Collateral Agent and shall, promptly upon receipt but in any event within two (2) Business Days, remit all such cash, checks and instruments, duly endorsed or with duly executed instruments of transfer, to the Successor Servicer or the Collateral Agent or its designee.</w:t>
      </w:r>
    </w:p>
    <w:p>
      <w:pPr>
        <w:spacing w:after="0" w:line="258" w:lineRule="exact"/>
        <w:rPr>
          <w:rFonts w:ascii="Arial" w:cs="Arial" w:eastAsia="Arial" w:hAnsi="Arial"/>
          <w:sz w:val="19"/>
          <w:szCs w:val="19"/>
          <w:color w:val="auto"/>
        </w:rPr>
      </w:pPr>
    </w:p>
    <w:p>
      <w:pPr>
        <w:jc w:val="both"/>
        <w:ind w:left="120" w:right="60" w:firstLine="2588"/>
        <w:spacing w:after="0" w:line="248" w:lineRule="auto"/>
        <w:tabs>
          <w:tab w:leader="none" w:pos="3240" w:val="left"/>
        </w:tabs>
        <w:numPr>
          <w:ilvl w:val="0"/>
          <w:numId w:val="392"/>
        </w:numPr>
        <w:rPr>
          <w:rFonts w:ascii="Arial" w:cs="Arial" w:eastAsia="Arial" w:hAnsi="Arial"/>
          <w:sz w:val="22"/>
          <w:szCs w:val="22"/>
          <w:color w:val="auto"/>
        </w:rPr>
      </w:pPr>
      <w:r>
        <w:rPr>
          <w:rFonts w:ascii="Arial" w:cs="Arial" w:eastAsia="Arial" w:hAnsi="Arial"/>
          <w:sz w:val="22"/>
          <w:szCs w:val="22"/>
          <w:color w:val="auto"/>
        </w:rPr>
        <w:t>The Borrower hereby authorizes the Collateral Agent and the Successor Servicer to take any and all steps in the Borrower’s name and on behalf of the Borrower necessary or desirable, in the determination of the Collateral Agent or the Successor Servicer, to collect all amounts due under any and all of the Collateral with respect thereto, including, without limitation, endorsing the Borrower’s name on checks and other instruments representing Collections and enforcing the Loans and Contracts.</w:t>
      </w:r>
    </w:p>
    <w:p>
      <w:pPr>
        <w:spacing w:after="0" w:line="219" w:lineRule="exact"/>
        <w:rPr>
          <w:sz w:val="20"/>
          <w:szCs w:val="20"/>
          <w:color w:val="auto"/>
        </w:rPr>
      </w:pPr>
    </w:p>
    <w:p>
      <w:pPr>
        <w:jc w:val="both"/>
        <w:ind w:left="120" w:right="40" w:firstLine="648"/>
        <w:spacing w:after="0" w:line="247" w:lineRule="auto"/>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Responsibilities of the Borrower</w:t>
      </w:r>
      <w:r>
        <w:rPr>
          <w:rFonts w:ascii="Arial" w:cs="Arial" w:eastAsia="Arial" w:hAnsi="Arial"/>
          <w:sz w:val="22"/>
          <w:szCs w:val="22"/>
          <w:color w:val="auto"/>
        </w:rPr>
        <w:t>. Anything herein to the contrary notwithstanding, the Borrower shall (i) perform all of its obligations under the Loans and Contracts to the same extent as if a security interest in such Loans and Contracts had not been granted hereunder and the exercise by the Collateral Agent of its rights hereunder shall not relieve the Borrower from such obligations and (ii) pay when due any taxes, including without limitation, any sales taxes payable in connection with the Loans or Contracts and their creation and satisfaction. Neither the Collateral Agent, the Deal Agent nor any Secured Party shall have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89</w:t>
      </w:r>
    </w:p>
    <w:p>
      <w:pPr>
        <w:sectPr>
          <w:pgSz w:w="11900" w:h="16838" w:orient="portrait"/>
          <w:cols w:equalWidth="0" w:num="1">
            <w:col w:w="11140"/>
          </w:cols>
          <w:pgMar w:left="320" w:top="1428" w:right="439" w:bottom="1440" w:gutter="0" w:footer="0" w:header="0"/>
        </w:sectPr>
      </w:pPr>
    </w:p>
    <w:bookmarkStart w:id="357" w:name="page358"/>
    <w:bookmarkEnd w:id="357"/>
    <w:p>
      <w:pPr>
        <w:ind w:left="120" w:right="440"/>
        <w:spacing w:after="0" w:line="263" w:lineRule="auto"/>
        <w:rPr>
          <w:sz w:val="20"/>
          <w:szCs w:val="20"/>
          <w:color w:val="auto"/>
        </w:rPr>
      </w:pPr>
      <w:r>
        <w:rPr>
          <w:rFonts w:ascii="Arial" w:cs="Arial" w:eastAsia="Arial" w:hAnsi="Arial"/>
          <w:sz w:val="22"/>
          <w:szCs w:val="22"/>
          <w:color w:val="auto"/>
        </w:rPr>
        <w:t>any obligation or liability with respect to any Loan, nor shall any of them be obligated to perform any of the obligations of the Borrower thereunder.</w:t>
      </w:r>
    </w:p>
    <w:p>
      <w:pPr>
        <w:spacing w:after="0" w:line="215"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47" w:lineRule="exact"/>
        <w:rPr>
          <w:sz w:val="20"/>
          <w:szCs w:val="20"/>
          <w:color w:val="auto"/>
        </w:rPr>
      </w:pPr>
    </w:p>
    <w:p>
      <w:pPr>
        <w:jc w:val="both"/>
        <w:ind w:left="120" w:right="20" w:firstLine="1940"/>
        <w:spacing w:after="0" w:line="258" w:lineRule="auto"/>
        <w:tabs>
          <w:tab w:leader="none" w:pos="2601" w:val="left"/>
        </w:tabs>
        <w:numPr>
          <w:ilvl w:val="0"/>
          <w:numId w:val="393"/>
        </w:numPr>
        <w:rPr>
          <w:rFonts w:ascii="Arial" w:cs="Arial" w:eastAsia="Arial" w:hAnsi="Arial"/>
          <w:sz w:val="21"/>
          <w:szCs w:val="21"/>
          <w:color w:val="auto"/>
        </w:rPr>
      </w:pPr>
      <w:r>
        <w:rPr>
          <w:rFonts w:ascii="Arial" w:cs="Arial" w:eastAsia="Arial" w:hAnsi="Arial"/>
          <w:sz w:val="21"/>
          <w:szCs w:val="21"/>
          <w:u w:val="single" w:color="auto"/>
          <w:color w:val="auto"/>
        </w:rPr>
        <w:t>Monthly Report</w:t>
      </w:r>
      <w:r>
        <w:rPr>
          <w:rFonts w:ascii="Arial" w:cs="Arial" w:eastAsia="Arial" w:hAnsi="Arial"/>
          <w:sz w:val="21"/>
          <w:szCs w:val="21"/>
          <w:color w:val="auto"/>
        </w:rPr>
        <w:t>. On each Determination Date, the Servicer shall deliver to the Deal Agent and the Collateral Agent a report in substantially the form of Exhibit C attached hereto (the “</w:t>
      </w:r>
      <w:r>
        <w:rPr>
          <w:rFonts w:ascii="Arial" w:cs="Arial" w:eastAsia="Arial" w:hAnsi="Arial"/>
          <w:sz w:val="21"/>
          <w:szCs w:val="21"/>
          <w:u w:val="single" w:color="auto"/>
          <w:color w:val="auto"/>
        </w:rPr>
        <w:t>Monthly Report</w:t>
      </w:r>
      <w:r>
        <w:rPr>
          <w:rFonts w:ascii="Arial" w:cs="Arial" w:eastAsia="Arial" w:hAnsi="Arial"/>
          <w:sz w:val="21"/>
          <w:szCs w:val="21"/>
          <w:color w:val="auto"/>
        </w:rPr>
        <w:t>”) for the related Collection Period. The Deal Agent shall provide to the Borrower, the Servicer and the Backup Servicer by the third Business Day prior to each Payment Date, information relating to the amount of each obligation which comprises Carrying Costs, Increased Costs, Indemnified Amounts and Additional Amounts for such Collection Period. The Monthly Report shall specify whether an Amortization Event, Termination Event or Unmatured Termination Event has occurred with respect to the Collection Period preceding such Determination Date. Upon receipt of the Monthly Report, the Deal Agent and the Collateral Agent shall rely (and shall be fully protected in so relying) on the information contained therein for the purposes of making distributions and allocations as provided for herein. Each Monthly Report shall be certified by a Responsible Officer of the Servicer.</w:t>
      </w:r>
    </w:p>
    <w:p>
      <w:pPr>
        <w:spacing w:after="0" w:line="225" w:lineRule="exact"/>
        <w:rPr>
          <w:rFonts w:ascii="Arial" w:cs="Arial" w:eastAsia="Arial" w:hAnsi="Arial"/>
          <w:sz w:val="21"/>
          <w:szCs w:val="21"/>
          <w:color w:val="auto"/>
        </w:rPr>
      </w:pPr>
    </w:p>
    <w:p>
      <w:pPr>
        <w:ind w:left="120" w:right="20" w:firstLine="1940"/>
        <w:spacing w:after="0" w:line="263" w:lineRule="auto"/>
        <w:tabs>
          <w:tab w:leader="none" w:pos="2599" w:val="left"/>
        </w:tabs>
        <w:numPr>
          <w:ilvl w:val="0"/>
          <w:numId w:val="393"/>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The Servicer shall deliver to the Deal Agent all reports or certificates required to be delivered under Section 7.3 of the Credit Agreement at the times set forth therein.</w:t>
      </w:r>
    </w:p>
    <w:p>
      <w:pPr>
        <w:spacing w:after="0" w:line="201" w:lineRule="exact"/>
        <w:rPr>
          <w:rFonts w:ascii="Arial" w:cs="Arial" w:eastAsia="Arial" w:hAnsi="Arial"/>
          <w:sz w:val="22"/>
          <w:szCs w:val="22"/>
          <w:color w:val="auto"/>
        </w:rPr>
      </w:pPr>
    </w:p>
    <w:p>
      <w:pPr>
        <w:jc w:val="both"/>
        <w:ind w:left="120" w:firstLine="1940"/>
        <w:spacing w:after="0" w:line="290" w:lineRule="auto"/>
        <w:tabs>
          <w:tab w:leader="none" w:pos="2601"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In the event the Servicer is no longer subject to the periodic and current reporting requirements of Section 13 or 15(d) of the United States Securities Exchange Act of 1934, as amended, the Servicer will submit to the Deal Agent, the Collateral Agent and the Backup Servicer, within 60 days of the end of each of its fiscal quarters, commencing September 30, 2003 unaudited financial statements as of the end of each such fiscal quarter. The Servicer will submit to the Deal Agent and the Collateral Agent, within 120 days of the end of each of its fiscal years, commencing with the fiscal year ending December 31, 2003 audited financial statements as of the end of each such fiscal year. The Servicer will submit to the Deal Agent, the Collateral Agent and the Backup Servicer an analysis of the static pool performance of Credit Acceptance for each fiscal quarter within 60 days of the end of such fiscal quarter.</w:t>
      </w:r>
    </w:p>
    <w:p>
      <w:pPr>
        <w:spacing w:after="0" w:line="263" w:lineRule="exact"/>
        <w:rPr>
          <w:rFonts w:ascii="Arial" w:cs="Arial" w:eastAsia="Arial" w:hAnsi="Arial"/>
          <w:sz w:val="19"/>
          <w:szCs w:val="19"/>
          <w:color w:val="auto"/>
        </w:rPr>
      </w:pPr>
    </w:p>
    <w:p>
      <w:pPr>
        <w:jc w:val="both"/>
        <w:ind w:left="120" w:firstLine="1940"/>
        <w:spacing w:after="0" w:line="288" w:lineRule="auto"/>
        <w:tabs>
          <w:tab w:leader="none" w:pos="2599"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Annual Statement as to Compliance</w:t>
      </w:r>
      <w:r>
        <w:rPr>
          <w:rFonts w:ascii="Arial" w:cs="Arial" w:eastAsia="Arial" w:hAnsi="Arial"/>
          <w:sz w:val="19"/>
          <w:szCs w:val="19"/>
          <w:color w:val="auto"/>
        </w:rPr>
        <w:t>. The Servicer will provide to the Deal Agent and the Collateral Agent, within 120 days following the end of each fiscal year of the Servicer, commencing with the fiscal year ending on December 31, 2003, an annual report signed by a Responsible Officer of the Servicer certifying that (a) a review of the activities of the Servicer, and the Servicer’s performance pursuant to this Agreement, for the period ending on the last day of such fiscal year has been made under such Person’s supervision and (b) the Servicer has performed or has caused to be performed in all material respects all of its obligations under this Agreement throughout such year (or in the case of a Successor Servicer which has been Servicer for less than one year, for so long as such Successor Servicer has been Servicer) and no Servicer Termination Event or potential Servicer Termination Event has occurred and is continuing (or if a Servicer Termination Event has so occurred and is continuing, specifying each such event, the nature and status thereof and the steps necessary to remedy such event, and, if a Servicer Termination Event or potential Servicer Termination Event occurred</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90</w:t>
      </w:r>
    </w:p>
    <w:p>
      <w:pPr>
        <w:sectPr>
          <w:pgSz w:w="11900" w:h="16838" w:orient="portrait"/>
          <w:cols w:equalWidth="0" w:num="1">
            <w:col w:w="11140"/>
          </w:cols>
          <w:pgMar w:left="320" w:top="1428" w:right="439" w:bottom="1440" w:gutter="0" w:footer="0" w:header="0"/>
        </w:sectPr>
      </w:pPr>
    </w:p>
    <w:bookmarkStart w:id="358" w:name="page359"/>
    <w:bookmarkEnd w:id="358"/>
    <w:p>
      <w:pPr>
        <w:ind w:left="120" w:right="60"/>
        <w:spacing w:after="0" w:line="287" w:lineRule="auto"/>
        <w:rPr>
          <w:sz w:val="20"/>
          <w:szCs w:val="20"/>
          <w:color w:val="auto"/>
        </w:rPr>
      </w:pPr>
      <w:r>
        <w:rPr>
          <w:rFonts w:ascii="Arial" w:cs="Arial" w:eastAsia="Arial" w:hAnsi="Arial"/>
          <w:sz w:val="21"/>
          <w:szCs w:val="21"/>
          <w:color w:val="auto"/>
        </w:rPr>
        <w:t>during such year and no notice thereof has been given to the Deal Agent and the Collateral Agent, specifying such Servicer Termination Event or potential Servicer Termination Event and the steps taken to remedy such event).</w:t>
      </w:r>
    </w:p>
    <w:p>
      <w:pPr>
        <w:spacing w:after="0" w:line="192"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Additional Representations and Warranties of Credit Acceptance as Servicer</w:t>
      </w:r>
      <w:r>
        <w:rPr>
          <w:rFonts w:ascii="Arial" w:cs="Arial" w:eastAsia="Arial" w:hAnsi="Arial"/>
          <w:sz w:val="19"/>
          <w:szCs w:val="19"/>
          <w:color w:val="auto"/>
        </w:rPr>
        <w:t>. Credit Acceptance, in its capacity as Servicer, represents and warrants to the Collateral Agent and the Deal Agent as of the Effective Date and the Funding Date, that the only material servicing computer systems and related software utilized by the Servicer to service the Loans and Contracts are: (i) provided by Ontario Systems Corporation under an existing licensing agreement and related resource agreement, each of which may be amended from time to time, and (ii) the “loan servicing system” software developed by Credit Acceptance, which is owned by Credit Acceptance. Should the Servicer or any of its Affiliates develop or implement computer software for servicing that is owned by or exclusively licensed to the Servicer or an Affiliate and utilize such software in the servicing of the Loans and Contracts, the Servicer shall give prompt written notice thereof to the Backup Servicer and the Collateral Agent, and the Collateral Agent shall be entitled to compel a license or sublicense for the benefit of the Collateral Agent or its designee of any such rights to the extent the Collateral Agent deems reasonably necessary and appropriate to assure that it or a duly appointed Successor Servicer would be able to continue to service the Loans and Contracts should that be required in accordance with the terms hereof.</w:t>
      </w:r>
    </w:p>
    <w:p>
      <w:pPr>
        <w:spacing w:after="0" w:line="186" w:lineRule="exact"/>
        <w:rPr>
          <w:sz w:val="20"/>
          <w:szCs w:val="20"/>
          <w:color w:val="auto"/>
        </w:rPr>
      </w:pPr>
    </w:p>
    <w:p>
      <w:pPr>
        <w:ind w:left="760"/>
        <w:spacing w:after="0"/>
        <w:tabs>
          <w:tab w:leader="none" w:pos="198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Establishment of the Accounts</w:t>
      </w:r>
      <w:r>
        <w:rPr>
          <w:rFonts w:ascii="Arial" w:cs="Arial" w:eastAsia="Arial" w:hAnsi="Arial"/>
          <w:sz w:val="19"/>
          <w:szCs w:val="19"/>
          <w:color w:val="auto"/>
        </w:rPr>
        <w:t>.</w:t>
      </w:r>
    </w:p>
    <w:p>
      <w:pPr>
        <w:spacing w:after="0" w:line="260" w:lineRule="exact"/>
        <w:rPr>
          <w:sz w:val="20"/>
          <w:szCs w:val="20"/>
          <w:color w:val="auto"/>
        </w:rPr>
      </w:pPr>
    </w:p>
    <w:p>
      <w:pPr>
        <w:ind w:left="120" w:right="340" w:firstLine="1940"/>
        <w:spacing w:after="0" w:line="286" w:lineRule="auto"/>
        <w:tabs>
          <w:tab w:leader="none" w:pos="2601" w:val="left"/>
        </w:tabs>
        <w:numPr>
          <w:ilvl w:val="1"/>
          <w:numId w:val="394"/>
        </w:numPr>
        <w:rPr>
          <w:rFonts w:ascii="Arial" w:cs="Arial" w:eastAsia="Arial" w:hAnsi="Arial"/>
          <w:sz w:val="19"/>
          <w:szCs w:val="19"/>
          <w:color w:val="auto"/>
        </w:rPr>
      </w:pPr>
      <w:r>
        <w:rPr>
          <w:rFonts w:ascii="Arial" w:cs="Arial" w:eastAsia="Arial" w:hAnsi="Arial"/>
          <w:sz w:val="19"/>
          <w:szCs w:val="19"/>
          <w:u w:val="single" w:color="auto"/>
          <w:color w:val="auto"/>
        </w:rPr>
        <w:t>Establishment of the Collection Account and Reserve Account</w:t>
      </w:r>
      <w:r>
        <w:rPr>
          <w:rFonts w:ascii="Arial" w:cs="Arial" w:eastAsia="Arial" w:hAnsi="Arial"/>
          <w:sz w:val="19"/>
          <w:szCs w:val="19"/>
          <w:color w:val="auto"/>
        </w:rPr>
        <w:t>. The Servicer shall cause to be established, on or before the Closing Date, and maintained in the name of the Collateral Agent as agent for the Secured Parties, with an office or branch of a depository institution or trust company (i) a segregated corporate trust account entitled “Collection Account for WCM, as agent for the Secured Parties” (the “</w:t>
      </w:r>
      <w:r>
        <w:rPr>
          <w:rFonts w:ascii="Arial" w:cs="Arial" w:eastAsia="Arial" w:hAnsi="Arial"/>
          <w:sz w:val="19"/>
          <w:szCs w:val="19"/>
          <w:u w:val="single" w:color="auto"/>
          <w:color w:val="auto"/>
        </w:rPr>
        <w:t>Collection Account</w:t>
      </w:r>
      <w:r>
        <w:rPr>
          <w:rFonts w:ascii="Arial" w:cs="Arial" w:eastAsia="Arial" w:hAnsi="Arial"/>
          <w:sz w:val="19"/>
          <w:szCs w:val="19"/>
          <w:color w:val="auto"/>
        </w:rPr>
        <w:t>”) and</w:t>
      </w:r>
    </w:p>
    <w:p>
      <w:pPr>
        <w:spacing w:after="0" w:line="2" w:lineRule="exact"/>
        <w:rPr>
          <w:rFonts w:ascii="Arial" w:cs="Arial" w:eastAsia="Arial" w:hAnsi="Arial"/>
          <w:sz w:val="19"/>
          <w:szCs w:val="19"/>
          <w:color w:val="auto"/>
        </w:rPr>
      </w:pPr>
    </w:p>
    <w:p>
      <w:pPr>
        <w:jc w:val="both"/>
        <w:ind w:left="120" w:hanging="5"/>
        <w:spacing w:after="0" w:line="281" w:lineRule="auto"/>
        <w:tabs>
          <w:tab w:leader="none" w:pos="452" w:val="left"/>
        </w:tabs>
        <w:numPr>
          <w:ilvl w:val="0"/>
          <w:numId w:val="395"/>
        </w:numPr>
        <w:rPr>
          <w:rFonts w:ascii="Arial" w:cs="Arial" w:eastAsia="Arial" w:hAnsi="Arial"/>
          <w:sz w:val="19"/>
          <w:szCs w:val="19"/>
          <w:color w:val="auto"/>
        </w:rPr>
      </w:pPr>
      <w:r>
        <w:rPr>
          <w:rFonts w:ascii="Arial" w:cs="Arial" w:eastAsia="Arial" w:hAnsi="Arial"/>
          <w:sz w:val="19"/>
          <w:szCs w:val="19"/>
          <w:color w:val="auto"/>
        </w:rPr>
        <w:t>a segregated corporate trust account entitled “Reserve Account for WCM” as agent for the Secured Parties (the “</w:t>
      </w:r>
      <w:r>
        <w:rPr>
          <w:rFonts w:ascii="Arial" w:cs="Arial" w:eastAsia="Arial" w:hAnsi="Arial"/>
          <w:sz w:val="19"/>
          <w:szCs w:val="19"/>
          <w:u w:val="single" w:color="auto"/>
          <w:color w:val="auto"/>
        </w:rPr>
        <w:t>Reserve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w:t>
      </w:r>
      <w:r>
        <w:rPr>
          <w:rFonts w:ascii="Arial" w:cs="Arial" w:eastAsia="Arial" w:hAnsi="Arial"/>
          <w:sz w:val="19"/>
          <w:szCs w:val="19"/>
          <w:color w:val="auto"/>
        </w:rPr>
        <w:t xml:space="preserve">”), in each case, over which the Collateral Agent as agent for the Secured Parties shall have sole dominion and control and from which neither the Originator, the Servicer nor the Borrower shall have any right of withdrawal;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all times such depository institution or trust company shall be a depository institution organized under the laws of the United States of America or any one of the States thereof or the District of Columbia (or any domestic branch of a foreign bank), (i) (A) that has either (1) a long-term unsecured debt rating of AA- or better by S&amp;P and Aa3 or better by Moody’s or</w:t>
      </w:r>
    </w:p>
    <w:p>
      <w:pPr>
        <w:spacing w:after="0" w:line="4" w:lineRule="exact"/>
        <w:rPr>
          <w:rFonts w:ascii="Arial" w:cs="Arial" w:eastAsia="Arial" w:hAnsi="Arial"/>
          <w:sz w:val="19"/>
          <w:szCs w:val="19"/>
          <w:color w:val="auto"/>
        </w:rPr>
      </w:pPr>
    </w:p>
    <w:p>
      <w:pPr>
        <w:jc w:val="both"/>
        <w:ind w:left="120"/>
        <w:spacing w:after="0" w:line="243" w:lineRule="auto"/>
        <w:rPr>
          <w:rFonts w:ascii="Arial" w:cs="Arial" w:eastAsia="Arial" w:hAnsi="Arial"/>
          <w:sz w:val="19"/>
          <w:szCs w:val="19"/>
          <w:color w:val="auto"/>
        </w:rPr>
      </w:pPr>
      <w:r>
        <w:rPr>
          <w:rFonts w:ascii="Arial" w:cs="Arial" w:eastAsia="Arial" w:hAnsi="Arial"/>
          <w:sz w:val="22"/>
          <w:szCs w:val="22"/>
          <w:color w:val="auto"/>
        </w:rPr>
        <w:t>(2) a short-term unsecured debt rating or certificate of deposit rating of A-1 or better by S&amp;P or P-1 or better by Moody’s, (B) the parent corporation which has either (1) a long-term unsecured debt rating of AA- or better by S&amp;P and Aa3 or better by Moody’s or (2) a short-term unsecured debt rating or certificate of deposit rating of A-1 or better by S&amp;P and P-1 or better by Moody’s or</w:t>
      </w:r>
    </w:p>
    <w:p>
      <w:pPr>
        <w:spacing w:after="0" w:line="1" w:lineRule="exact"/>
        <w:rPr>
          <w:sz w:val="20"/>
          <w:szCs w:val="20"/>
          <w:color w:val="auto"/>
        </w:rPr>
      </w:pPr>
    </w:p>
    <w:p>
      <w:pPr>
        <w:ind w:left="120" w:right="60" w:hanging="4"/>
        <w:spacing w:after="0" w:line="246" w:lineRule="auto"/>
        <w:tabs>
          <w:tab w:leader="none" w:pos="656" w:val="left"/>
        </w:tabs>
        <w:numPr>
          <w:ilvl w:val="0"/>
          <w:numId w:val="396"/>
        </w:numPr>
        <w:rPr>
          <w:rFonts w:ascii="Arial" w:cs="Arial" w:eastAsia="Arial" w:hAnsi="Arial"/>
          <w:sz w:val="22"/>
          <w:szCs w:val="22"/>
          <w:color w:val="auto"/>
        </w:rPr>
      </w:pPr>
      <w:r>
        <w:rPr>
          <w:rFonts w:ascii="Arial" w:cs="Arial" w:eastAsia="Arial" w:hAnsi="Arial"/>
          <w:sz w:val="22"/>
          <w:szCs w:val="22"/>
          <w:color w:val="auto"/>
        </w:rPr>
        <w:t>that is otherwise acceptable to the Deal Agent and (ii) whose deposits are insured by the Federal Deposit Insurance Corporation (any such depository institution or trust company, a “</w:t>
      </w:r>
      <w:r>
        <w:rPr>
          <w:rFonts w:ascii="Arial" w:cs="Arial" w:eastAsia="Arial" w:hAnsi="Arial"/>
          <w:sz w:val="22"/>
          <w:szCs w:val="22"/>
          <w:u w:val="single" w:color="auto"/>
          <w:color w:val="auto"/>
        </w:rPr>
        <w:t>Qualified Institution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20" w:right="60" w:firstLine="1940"/>
        <w:spacing w:after="0" w:line="253" w:lineRule="auto"/>
        <w:tabs>
          <w:tab w:leader="none" w:pos="2599" w:val="left"/>
        </w:tabs>
        <w:numPr>
          <w:ilvl w:val="1"/>
          <w:numId w:val="396"/>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If (i) the Servicer makes a deposit into the Collection Account in respect of a Collection of a Loan and such Collection was received by the Servicer in the form of a check or other form of payment that is not honored for any reason or</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91</w:t>
      </w:r>
    </w:p>
    <w:p>
      <w:pPr>
        <w:sectPr>
          <w:pgSz w:w="11900" w:h="16838" w:orient="portrait"/>
          <w:cols w:equalWidth="0" w:num="1">
            <w:col w:w="11140"/>
          </w:cols>
          <w:pgMar w:left="320" w:top="1428" w:right="439" w:bottom="1440" w:gutter="0" w:footer="0" w:header="0"/>
        </w:sectPr>
      </w:pPr>
    </w:p>
    <w:bookmarkStart w:id="359" w:name="page360"/>
    <w:bookmarkEnd w:id="359"/>
    <w:p>
      <w:pPr>
        <w:jc w:val="both"/>
        <w:ind w:left="120" w:right="60" w:hanging="4"/>
        <w:spacing w:after="0" w:line="265" w:lineRule="auto"/>
        <w:tabs>
          <w:tab w:leader="none" w:pos="439" w:val="left"/>
        </w:tabs>
        <w:numPr>
          <w:ilvl w:val="0"/>
          <w:numId w:val="397"/>
        </w:numPr>
        <w:rPr>
          <w:rFonts w:ascii="Arial" w:cs="Arial" w:eastAsia="Arial" w:hAnsi="Arial"/>
          <w:sz w:val="21"/>
          <w:szCs w:val="21"/>
          <w:color w:val="auto"/>
        </w:rPr>
      </w:pPr>
      <w:r>
        <w:rPr>
          <w:rFonts w:ascii="Arial" w:cs="Arial" w:eastAsia="Arial" w:hAnsi="Arial"/>
          <w:sz w:val="21"/>
          <w:szCs w:val="21"/>
          <w:color w:val="auto"/>
        </w:rPr>
        <w:t>the Servicer makes a mistake with respect to the amount of any Collection and deposits an amount that is less than or more than the actual amount of such Collection, the Servicer shall appropriately adjust the amount subsequently deposited into the Collection Account to reflect such dishonored check or mistake. Any payment in respect of which a dishonored check or other form of payment is received shall be deemed not to have been paid.</w:t>
      </w:r>
    </w:p>
    <w:p>
      <w:pPr>
        <w:spacing w:after="0" w:line="215" w:lineRule="exact"/>
        <w:rPr>
          <w:rFonts w:ascii="Arial" w:cs="Arial" w:eastAsia="Arial" w:hAnsi="Arial"/>
          <w:sz w:val="21"/>
          <w:szCs w:val="21"/>
          <w:color w:val="auto"/>
        </w:rPr>
      </w:pPr>
    </w:p>
    <w:p>
      <w:pPr>
        <w:jc w:val="both"/>
        <w:ind w:left="120" w:firstLine="1940"/>
        <w:spacing w:after="0" w:line="247" w:lineRule="auto"/>
        <w:tabs>
          <w:tab w:leader="none" w:pos="2601" w:val="left"/>
        </w:tabs>
        <w:numPr>
          <w:ilvl w:val="2"/>
          <w:numId w:val="397"/>
        </w:numPr>
        <w:rPr>
          <w:rFonts w:ascii="Arial" w:cs="Arial" w:eastAsia="Arial" w:hAnsi="Arial"/>
          <w:sz w:val="22"/>
          <w:szCs w:val="22"/>
          <w:color w:val="auto"/>
        </w:rPr>
      </w:pPr>
      <w:r>
        <w:rPr>
          <w:rFonts w:ascii="Arial" w:cs="Arial" w:eastAsia="Arial" w:hAnsi="Arial"/>
          <w:sz w:val="22"/>
          <w:szCs w:val="22"/>
          <w:u w:val="single" w:color="auto"/>
          <w:color w:val="auto"/>
        </w:rPr>
        <w:t>Permitted Investments</w:t>
      </w:r>
      <w:r>
        <w:rPr>
          <w:rFonts w:ascii="Arial" w:cs="Arial" w:eastAsia="Arial" w:hAnsi="Arial"/>
          <w:sz w:val="22"/>
          <w:szCs w:val="22"/>
          <w:color w:val="auto"/>
        </w:rPr>
        <w:t>. Funds on deposit in the Collection Account and the Reserve Account shall be invested in Permitted Investments by or at the written direction of the Borrower, provided that if a Termination Event or Unmatured Termination Event shall have occurred, such amounts shall be invested in Permitted Investments described in clause</w:t>
      </w:r>
    </w:p>
    <w:p>
      <w:pPr>
        <w:spacing w:after="0" w:line="2" w:lineRule="exact"/>
        <w:rPr>
          <w:rFonts w:ascii="Arial" w:cs="Arial" w:eastAsia="Arial" w:hAnsi="Arial"/>
          <w:sz w:val="22"/>
          <w:szCs w:val="22"/>
          <w:color w:val="auto"/>
        </w:rPr>
      </w:pPr>
    </w:p>
    <w:p>
      <w:pPr>
        <w:ind w:left="120" w:right="140" w:hanging="5"/>
        <w:spacing w:after="0" w:line="285" w:lineRule="auto"/>
        <w:tabs>
          <w:tab w:leader="none" w:pos="426" w:val="left"/>
        </w:tabs>
        <w:numPr>
          <w:ilvl w:val="1"/>
          <w:numId w:val="397"/>
        </w:numPr>
        <w:rPr>
          <w:rFonts w:ascii="Arial" w:cs="Arial" w:eastAsia="Arial" w:hAnsi="Arial"/>
          <w:sz w:val="19"/>
          <w:szCs w:val="19"/>
          <w:color w:val="auto"/>
        </w:rPr>
      </w:pPr>
      <w:r>
        <w:rPr>
          <w:rFonts w:ascii="Arial" w:cs="Arial" w:eastAsia="Arial" w:hAnsi="Arial"/>
          <w:sz w:val="19"/>
          <w:szCs w:val="19"/>
          <w:color w:val="auto"/>
        </w:rPr>
        <w:t>of the definition thereof. Any such written directions from the Borrower shall specify the particular investment to be made and shall certify that such investment is a Permitted Investment and is permitted to be made under this Agreement. If the Borrower fails to provide such written direction to the Collateral Agent, such funds shall remain uninvested. Funds on deposit in the Collection Account and the Reserve Account shall be invested in Permitted Investments that will mature so that such funds will be available no later than the Business Day prior to the next Payment Date, except that in the case of funds representing Collections with respect to a succeeding Collection Period, such Permitted Investments may mature so that such funds will be available no later than the Business Day prior to the Payment Date for such Collection Period. No Permitted Investment may be liquidated or disposed of prior to its maturity. All proceeds of any Permitted Investment shall be deposited in the Collection Account or the Reserve Account, as applicable. Investments may be made in either account on any date (provided such investments mature in accordance herewith), only after giving effect to deposits to and withdrawals from such account on such date. Realized losses, if any, on amounts invested in Permitted Investments shall be charged against investment earnings on amounts on deposit in the Collection Account or the Reserve Account, as applicable.</w:t>
      </w:r>
    </w:p>
    <w:p>
      <w:pPr>
        <w:spacing w:after="0" w:line="190" w:lineRule="exact"/>
        <w:rPr>
          <w:sz w:val="20"/>
          <w:szCs w:val="20"/>
          <w:color w:val="auto"/>
        </w:rPr>
      </w:pPr>
    </w:p>
    <w:p>
      <w:pPr>
        <w:jc w:val="both"/>
        <w:ind w:left="120" w:firstLine="648"/>
        <w:spacing w:after="0" w:line="292"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Payment of Certain Expenses by Servicer</w:t>
      </w:r>
      <w:r>
        <w:rPr>
          <w:rFonts w:ascii="Arial" w:cs="Arial" w:eastAsia="Arial" w:hAnsi="Arial"/>
          <w:sz w:val="19"/>
          <w:szCs w:val="19"/>
          <w:color w:val="auto"/>
        </w:rPr>
        <w:t>. The initial Servicer will be required to pay all expenses incurred by it in connection with its activities under this Agreement, including fees and disbursements of independent accountants, Taxes imposed on the Servicer, expenses incurred in connection with payments and reports pursuant to this Agreement, and all other fees and expenses not expressly stated under this Agreement for the account of the Borrower. The initial Servicer will be required to pay all reasonable fees and expenses owing to any bank or trust company in connection with the maintenance of the Collection Account, the Reserve Account and the Credit Acceptance Payment Account. The Servicer shall be required to pay such expenses for its own account and shall not be entitled to any payment therefor other than the Servicing Fee.</w:t>
      </w:r>
    </w:p>
    <w:p>
      <w:pPr>
        <w:spacing w:after="0" w:line="191" w:lineRule="exact"/>
        <w:rPr>
          <w:sz w:val="20"/>
          <w:szCs w:val="20"/>
          <w:color w:val="auto"/>
        </w:rPr>
      </w:pPr>
    </w:p>
    <w:p>
      <w:pPr>
        <w:jc w:val="both"/>
        <w:ind w:left="120" w:right="20" w:firstLine="648"/>
        <w:spacing w:after="0" w:line="247"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Annual Independent Public Accountant’s Servicing Reports</w:t>
      </w:r>
      <w:r>
        <w:rPr>
          <w:rFonts w:ascii="Arial" w:cs="Arial" w:eastAsia="Arial" w:hAnsi="Arial"/>
          <w:sz w:val="22"/>
          <w:szCs w:val="22"/>
          <w:color w:val="auto"/>
        </w:rPr>
        <w:t>. The Servicer will cause a firm of nationally recognized independent public accountants (who may also render other services to the Servicer) to furnish to the Deal Agent, within 120 days following the end of each fiscal year of the Servicer, commencing with the fiscal year ending on December 31, 2003:</w:t>
      </w:r>
    </w:p>
    <w:p>
      <w:pPr>
        <w:spacing w:after="0" w:line="3" w:lineRule="exact"/>
        <w:rPr>
          <w:sz w:val="20"/>
          <w:szCs w:val="20"/>
          <w:color w:val="auto"/>
        </w:rPr>
      </w:pPr>
    </w:p>
    <w:p>
      <w:pPr>
        <w:jc w:val="both"/>
        <w:ind w:left="120" w:right="40" w:hanging="4"/>
        <w:spacing w:after="0" w:line="259" w:lineRule="auto"/>
        <w:tabs>
          <w:tab w:leader="none" w:pos="648" w:val="left"/>
        </w:tabs>
        <w:numPr>
          <w:ilvl w:val="0"/>
          <w:numId w:val="398"/>
        </w:numPr>
        <w:rPr>
          <w:rFonts w:ascii="Arial" w:cs="Arial" w:eastAsia="Arial" w:hAnsi="Arial"/>
          <w:sz w:val="21"/>
          <w:szCs w:val="21"/>
          <w:color w:val="auto"/>
        </w:rPr>
      </w:pPr>
      <w:r>
        <w:rPr>
          <w:rFonts w:ascii="Arial" w:cs="Arial" w:eastAsia="Arial" w:hAnsi="Arial"/>
          <w:sz w:val="21"/>
          <w:szCs w:val="21"/>
          <w:color w:val="auto"/>
        </w:rPr>
        <w:t>a report relating to such fiscal year to the effect that (A) such firm has reviewed certain documents and records relating to the servicing of the Loans and Contracts included in the Collateral, and (B) based on such examination, such firm is of the opinion that the Monthly Reports for such year were prepared in compliance with this Agreement, except for such exceptions as it believes to be immaterial and such other exceptions as will be set forth in such</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92</w:t>
      </w:r>
    </w:p>
    <w:p>
      <w:pPr>
        <w:sectPr>
          <w:pgSz w:w="11900" w:h="16838" w:orient="portrait"/>
          <w:cols w:equalWidth="0" w:num="1">
            <w:col w:w="11140"/>
          </w:cols>
          <w:pgMar w:left="320" w:top="1428" w:right="439" w:bottom="1440" w:gutter="0" w:footer="0" w:header="0"/>
        </w:sectPr>
      </w:pPr>
    </w:p>
    <w:bookmarkStart w:id="360" w:name="page361"/>
    <w:bookmarkEnd w:id="360"/>
    <w:p>
      <w:pPr>
        <w:jc w:val="both"/>
        <w:ind w:left="120"/>
        <w:spacing w:after="0" w:line="286" w:lineRule="auto"/>
        <w:rPr>
          <w:sz w:val="20"/>
          <w:szCs w:val="20"/>
          <w:color w:val="auto"/>
        </w:rPr>
      </w:pPr>
      <w:r>
        <w:rPr>
          <w:rFonts w:ascii="Arial" w:cs="Arial" w:eastAsia="Arial" w:hAnsi="Arial"/>
          <w:sz w:val="19"/>
          <w:szCs w:val="19"/>
          <w:color w:val="auto"/>
        </w:rPr>
        <w:t>firm’s report and (ii) a report covering such fiscal year to the effect that such accountants have applied certain agreed-upon procedures, as set forth in Section 6.1(c) (which procedures shall have been approved by the Deal Agent) to certain documents and records relating to the Loans under any Transaction Document, compared the information contained in the Monthly Reports delivered during the period covered by such report with such documents and records and that no matters came to the attention of such accountants that caused them to believe that such servicing was not conducted in compliance with Article VI of this Agreement, except for such exceptions as such accountants shall believe to be immaterial and such other exception as shall be set forth in such statement. In the event such independent public accountants require the Collateral Agent to agree to the procedures to be performed by such firm in any of the reports required to be prepared pursuant to this Section 6.9, the Servicer shall direct the Collateral Agent in writing to so agree; it being understood and agreed that the Collateral Agent will deliver such letter of agreement in conclusive reliance upon the direction of the Servicer, and the Collateral Agent has not made any independent inquiry or investigation as to, and shall have no obligation or liability in respect of, the sufficiency, validity or correctness of such procedures. The Collateral Agent shall not be liable for any claims, liabilities or expenses relating to such accountants’ engagement or any report issued in connection with such engagement, and the dissemination of any such report is subject to the written consent of the accountants.</w:t>
      </w:r>
    </w:p>
    <w:p>
      <w:pPr>
        <w:spacing w:after="0" w:line="202" w:lineRule="exact"/>
        <w:rPr>
          <w:sz w:val="20"/>
          <w:szCs w:val="20"/>
          <w:color w:val="auto"/>
        </w:rPr>
      </w:pPr>
    </w:p>
    <w:p>
      <w:pPr>
        <w:jc w:val="both"/>
        <w:ind w:left="120" w:right="20" w:firstLine="648"/>
        <w:spacing w:after="0" w:line="292"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The Servicer Not to Resign</w:t>
      </w:r>
      <w:r>
        <w:rPr>
          <w:rFonts w:ascii="Arial" w:cs="Arial" w:eastAsia="Arial" w:hAnsi="Arial"/>
          <w:sz w:val="19"/>
          <w:szCs w:val="19"/>
          <w:color w:val="auto"/>
        </w:rPr>
        <w:t xml:space="preserve">. The Servicer shall not resign from the obligations and duties hereby imposed on it hereunder except upon the Servicer’s determination that (i) the performance of its duties hereunder is or becomes impermissible under Applicable Law and (ii) there is no reasonable action that the Servicer could take to make the performance of its duties hereunder permissible under Applicable Law. Any such determination permitting the resignation of the Servicer shall be evidenced as to clause (i) above by an Opinion of Counsel to such effect delivered to the Deal Agent, the Collateral Agent and the Backup Servicer. No such resignation shall become effective until a Successor Servicer shall have assumed the responsibilities and obligations of the Servicer in accordance with </w:t>
      </w:r>
      <w:r>
        <w:rPr>
          <w:rFonts w:ascii="Arial" w:cs="Arial" w:eastAsia="Arial" w:hAnsi="Arial"/>
          <w:sz w:val="19"/>
          <w:szCs w:val="19"/>
          <w:u w:val="single" w:color="auto"/>
          <w:color w:val="auto"/>
        </w:rPr>
        <w:t>Section 6.12</w:t>
      </w:r>
      <w:r>
        <w:rPr>
          <w:rFonts w:ascii="Arial" w:cs="Arial" w:eastAsia="Arial" w:hAnsi="Arial"/>
          <w:sz w:val="19"/>
          <w:szCs w:val="19"/>
          <w:color w:val="auto"/>
        </w:rPr>
        <w:t>.</w:t>
      </w:r>
    </w:p>
    <w:p>
      <w:pPr>
        <w:spacing w:after="0" w:line="178" w:lineRule="exact"/>
        <w:rPr>
          <w:sz w:val="20"/>
          <w:szCs w:val="20"/>
          <w:color w:val="auto"/>
        </w:rPr>
      </w:pPr>
    </w:p>
    <w:p>
      <w:pPr>
        <w:jc w:val="both"/>
        <w:ind w:left="120" w:right="20" w:firstLine="648"/>
        <w:spacing w:after="0" w:line="263"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Servicer Termination Events</w:t>
      </w:r>
      <w:r>
        <w:rPr>
          <w:rFonts w:ascii="Arial" w:cs="Arial" w:eastAsia="Arial" w:hAnsi="Arial"/>
          <w:sz w:val="22"/>
          <w:szCs w:val="22"/>
          <w:color w:val="auto"/>
        </w:rPr>
        <w:t>. If any one of the following events (a “</w:t>
      </w:r>
      <w:r>
        <w:rPr>
          <w:rFonts w:ascii="Arial" w:cs="Arial" w:eastAsia="Arial" w:hAnsi="Arial"/>
          <w:sz w:val="22"/>
          <w:szCs w:val="22"/>
          <w:u w:val="single" w:color="auto"/>
          <w:color w:val="auto"/>
        </w:rPr>
        <w:t>Servicer Termination Event</w:t>
      </w:r>
      <w:r>
        <w:rPr>
          <w:rFonts w:ascii="Arial" w:cs="Arial" w:eastAsia="Arial" w:hAnsi="Arial"/>
          <w:sz w:val="22"/>
          <w:szCs w:val="22"/>
          <w:color w:val="auto"/>
        </w:rPr>
        <w:t>”) shall occur and be continuing:</w:t>
      </w:r>
    </w:p>
    <w:p>
      <w:pPr>
        <w:spacing w:after="0" w:line="215" w:lineRule="exact"/>
        <w:rPr>
          <w:sz w:val="20"/>
          <w:szCs w:val="20"/>
          <w:color w:val="auto"/>
        </w:rPr>
      </w:pPr>
    </w:p>
    <w:p>
      <w:pPr>
        <w:jc w:val="both"/>
        <w:ind w:left="120" w:right="20" w:firstLine="1940"/>
        <w:spacing w:after="0" w:line="261" w:lineRule="auto"/>
        <w:tabs>
          <w:tab w:leader="none" w:pos="2601" w:val="left"/>
        </w:tabs>
        <w:numPr>
          <w:ilvl w:val="1"/>
          <w:numId w:val="399"/>
        </w:numPr>
        <w:rPr>
          <w:rFonts w:ascii="Arial" w:cs="Arial" w:eastAsia="Arial" w:hAnsi="Arial"/>
          <w:sz w:val="21"/>
          <w:szCs w:val="21"/>
          <w:color w:val="auto"/>
        </w:rPr>
      </w:pPr>
      <w:r>
        <w:rPr>
          <w:rFonts w:ascii="Arial" w:cs="Arial" w:eastAsia="Arial" w:hAnsi="Arial"/>
          <w:sz w:val="21"/>
          <w:szCs w:val="21"/>
          <w:color w:val="auto"/>
        </w:rPr>
        <w:t>any failure by the Servicer to make any payment, transfer or deposit as required by this Agreement or any other Transaction Document, other than any such failure resulting from an administrative or technical error of the Servicer in the amount so paid, transferred or deposited; provided that within one (1) Business Day after the Servicer becomes aware that, as a result of an administrative or technical error of the Servicer, any amount previously paid, transferred or deposited by the Servicer was less than the amount required to be paid, transferred or deposited by the Servicer, the Servicer pays, transfers or deposits the amount of such shortfall;</w:t>
      </w:r>
    </w:p>
    <w:p>
      <w:pPr>
        <w:spacing w:after="0" w:line="287" w:lineRule="exact"/>
        <w:rPr>
          <w:rFonts w:ascii="Arial" w:cs="Arial" w:eastAsia="Arial" w:hAnsi="Arial"/>
          <w:sz w:val="21"/>
          <w:szCs w:val="21"/>
          <w:color w:val="auto"/>
        </w:rPr>
      </w:pPr>
    </w:p>
    <w:p>
      <w:pPr>
        <w:jc w:val="both"/>
        <w:ind w:left="120" w:right="20" w:firstLine="1940"/>
        <w:spacing w:after="0" w:line="249" w:lineRule="auto"/>
        <w:tabs>
          <w:tab w:leader="none" w:pos="2599" w:val="left"/>
        </w:tabs>
        <w:numPr>
          <w:ilvl w:val="1"/>
          <w:numId w:val="399"/>
        </w:numPr>
        <w:rPr>
          <w:rFonts w:ascii="Arial" w:cs="Arial" w:eastAsia="Arial" w:hAnsi="Arial"/>
          <w:sz w:val="22"/>
          <w:szCs w:val="22"/>
          <w:color w:val="auto"/>
        </w:rPr>
      </w:pPr>
      <w:r>
        <w:rPr>
          <w:rFonts w:ascii="Arial" w:cs="Arial" w:eastAsia="Arial" w:hAnsi="Arial"/>
          <w:sz w:val="22"/>
          <w:szCs w:val="22"/>
          <w:color w:val="auto"/>
        </w:rPr>
        <w:t>any failure by the Servicer to give instructions or notice to the Deal Agent as required by this Agreement or any other Transaction Document, or to deliver any required Monthly Report or other required reports hereunder on or before the date occurring two</w:t>
      </w:r>
    </w:p>
    <w:p>
      <w:pPr>
        <w:ind w:left="420" w:hanging="304"/>
        <w:spacing w:after="0"/>
        <w:tabs>
          <w:tab w:leader="none" w:pos="420" w:val="left"/>
        </w:tabs>
        <w:numPr>
          <w:ilvl w:val="0"/>
          <w:numId w:val="400"/>
        </w:numPr>
        <w:rPr>
          <w:rFonts w:ascii="Arial" w:cs="Arial" w:eastAsia="Arial" w:hAnsi="Arial"/>
          <w:sz w:val="22"/>
          <w:szCs w:val="22"/>
          <w:color w:val="auto"/>
        </w:rPr>
      </w:pPr>
      <w:r>
        <w:rPr>
          <w:rFonts w:ascii="Arial" w:cs="Arial" w:eastAsia="Arial" w:hAnsi="Arial"/>
          <w:sz w:val="22"/>
          <w:szCs w:val="22"/>
          <w:color w:val="auto"/>
        </w:rPr>
        <w:t>Business Days after the date such instruction, notice or report is required to be made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93</w:t>
      </w:r>
    </w:p>
    <w:p>
      <w:pPr>
        <w:sectPr>
          <w:pgSz w:w="11900" w:h="16838" w:orient="portrait"/>
          <w:cols w:equalWidth="0" w:num="1">
            <w:col w:w="11160"/>
          </w:cols>
          <w:pgMar w:left="320" w:top="1428" w:right="419" w:bottom="1440" w:gutter="0" w:footer="0" w:header="0"/>
        </w:sectPr>
      </w:pPr>
    </w:p>
    <w:bookmarkStart w:id="361" w:name="page362"/>
    <w:bookmarkEnd w:id="361"/>
    <w:p>
      <w:pPr>
        <w:spacing w:after="0"/>
        <w:rPr>
          <w:sz w:val="20"/>
          <w:szCs w:val="20"/>
          <w:color w:val="auto"/>
        </w:rPr>
      </w:pPr>
      <w:r>
        <w:rPr>
          <w:rFonts w:ascii="Arial" w:cs="Arial" w:eastAsia="Arial" w:hAnsi="Arial"/>
          <w:sz w:val="22"/>
          <w:szCs w:val="22"/>
          <w:color w:val="auto"/>
        </w:rPr>
        <w:t>given, as the case may be, under the terms of this Agreement or the relevant Transaction Document;</w:t>
      </w:r>
    </w:p>
    <w:p>
      <w:pPr>
        <w:spacing w:after="0" w:line="328" w:lineRule="exact"/>
        <w:rPr>
          <w:sz w:val="20"/>
          <w:szCs w:val="20"/>
          <w:color w:val="auto"/>
        </w:rPr>
      </w:pPr>
    </w:p>
    <w:p>
      <w:pPr>
        <w:jc w:val="both"/>
        <w:ind w:right="140" w:firstLine="2276"/>
        <w:spacing w:after="0" w:line="312" w:lineRule="auto"/>
        <w:tabs>
          <w:tab w:leader="none" w:pos="2854" w:val="left"/>
        </w:tabs>
        <w:numPr>
          <w:ilvl w:val="2"/>
          <w:numId w:val="401"/>
        </w:numPr>
        <w:rPr>
          <w:rFonts w:ascii="Arial" w:cs="Arial" w:eastAsia="Arial" w:hAnsi="Arial"/>
          <w:sz w:val="19"/>
          <w:szCs w:val="19"/>
          <w:color w:val="auto"/>
        </w:rPr>
      </w:pPr>
      <w:r>
        <w:rPr>
          <w:rFonts w:ascii="Arial" w:cs="Arial" w:eastAsia="Arial" w:hAnsi="Arial"/>
          <w:sz w:val="19"/>
          <w:szCs w:val="19"/>
          <w:color w:val="auto"/>
        </w:rPr>
        <w:t>any failure on the part of the Servicer duly to observe or perform in any material respect any other covenants or agreements of the Servicer set forth in this Agreement or the other Transaction Documents (other than as set forth in clause (a) or (b) above) to which the Servicer is a party, which continues unremedied for a period of 10 days;</w:t>
      </w:r>
    </w:p>
    <w:p>
      <w:pPr>
        <w:spacing w:after="0" w:line="160" w:lineRule="exact"/>
        <w:rPr>
          <w:rFonts w:ascii="Arial" w:cs="Arial" w:eastAsia="Arial" w:hAnsi="Arial"/>
          <w:sz w:val="19"/>
          <w:szCs w:val="19"/>
          <w:color w:val="auto"/>
        </w:rPr>
      </w:pPr>
    </w:p>
    <w:p>
      <w:pPr>
        <w:jc w:val="both"/>
        <w:ind w:right="100" w:firstLine="2276"/>
        <w:spacing w:after="0" w:line="261" w:lineRule="auto"/>
        <w:tabs>
          <w:tab w:leader="none" w:pos="2813" w:val="left"/>
        </w:tabs>
        <w:numPr>
          <w:ilvl w:val="2"/>
          <w:numId w:val="401"/>
        </w:numPr>
        <w:rPr>
          <w:rFonts w:ascii="Arial" w:cs="Arial" w:eastAsia="Arial" w:hAnsi="Arial"/>
          <w:sz w:val="21"/>
          <w:szCs w:val="21"/>
          <w:color w:val="auto"/>
        </w:rPr>
      </w:pPr>
      <w:r>
        <w:rPr>
          <w:rFonts w:ascii="Arial" w:cs="Arial" w:eastAsia="Arial" w:hAnsi="Arial"/>
          <w:sz w:val="21"/>
          <w:szCs w:val="21"/>
          <w:color w:val="auto"/>
        </w:rPr>
        <w:t>any material representation, warranty or certification made by the Servicer in any Transaction Document or in any certificate delivered pursuant to any Transaction Document shall prove to have been incorrect when made, which continues unremedied for more than thirty (30) days (or a longer period, not in excess of sixty (60) days, as may be reasonably necessary to remedy such default, if the default is capable of remedy within sixty (60) days or less and the Servicer delivers an Officer’s Certificate to the Deal Agent to the effect that it has commenced, or will promptly commence and diligently pursue, all reasonable efforts to remedy the default);</w:t>
      </w:r>
    </w:p>
    <w:p>
      <w:pPr>
        <w:spacing w:after="0" w:line="206" w:lineRule="exact"/>
        <w:rPr>
          <w:rFonts w:ascii="Arial" w:cs="Arial" w:eastAsia="Arial" w:hAnsi="Arial"/>
          <w:sz w:val="21"/>
          <w:szCs w:val="21"/>
          <w:color w:val="auto"/>
        </w:rPr>
      </w:pPr>
    </w:p>
    <w:p>
      <w:pPr>
        <w:ind w:left="2240" w:hanging="512"/>
        <w:spacing w:after="0"/>
        <w:tabs>
          <w:tab w:leader="none" w:pos="2240" w:val="left"/>
        </w:tabs>
        <w:numPr>
          <w:ilvl w:val="1"/>
          <w:numId w:val="402"/>
        </w:numPr>
        <w:rPr>
          <w:rFonts w:ascii="Arial" w:cs="Arial" w:eastAsia="Arial" w:hAnsi="Arial"/>
          <w:sz w:val="22"/>
          <w:szCs w:val="22"/>
          <w:color w:val="auto"/>
        </w:rPr>
      </w:pPr>
      <w:r>
        <w:rPr>
          <w:rFonts w:ascii="Arial" w:cs="Arial" w:eastAsia="Arial" w:hAnsi="Arial"/>
          <w:sz w:val="22"/>
          <w:szCs w:val="22"/>
          <w:color w:val="auto"/>
        </w:rPr>
        <w:t>an Insolvency Event shall occur with respect to the Servicer;</w:t>
      </w:r>
    </w:p>
    <w:p>
      <w:pPr>
        <w:spacing w:after="0" w:line="246" w:lineRule="exact"/>
        <w:rPr>
          <w:rFonts w:ascii="Arial" w:cs="Arial" w:eastAsia="Arial" w:hAnsi="Arial"/>
          <w:sz w:val="22"/>
          <w:szCs w:val="22"/>
          <w:color w:val="auto"/>
        </w:rPr>
      </w:pPr>
    </w:p>
    <w:p>
      <w:pPr>
        <w:ind w:left="2160" w:hanging="432"/>
        <w:spacing w:after="0"/>
        <w:tabs>
          <w:tab w:leader="none" w:pos="2160" w:val="left"/>
        </w:tabs>
        <w:numPr>
          <w:ilvl w:val="1"/>
          <w:numId w:val="402"/>
        </w:numPr>
        <w:rPr>
          <w:rFonts w:ascii="Arial" w:cs="Arial" w:eastAsia="Arial" w:hAnsi="Arial"/>
          <w:sz w:val="22"/>
          <w:szCs w:val="22"/>
          <w:color w:val="auto"/>
        </w:rPr>
      </w:pPr>
      <w:r>
        <w:rPr>
          <w:rFonts w:ascii="Arial" w:cs="Arial" w:eastAsia="Arial" w:hAnsi="Arial"/>
          <w:sz w:val="22"/>
          <w:szCs w:val="22"/>
          <w:color w:val="auto"/>
        </w:rPr>
        <w:t xml:space="preserve">any delegation of the Servicer’s duties that is not permitted by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left="1700" w:firstLine="28"/>
        <w:spacing w:after="0" w:line="263" w:lineRule="auto"/>
        <w:tabs>
          <w:tab w:leader="none" w:pos="2466" w:val="left"/>
        </w:tabs>
        <w:numPr>
          <w:ilvl w:val="1"/>
          <w:numId w:val="402"/>
        </w:numPr>
        <w:rPr>
          <w:rFonts w:ascii="Arial" w:cs="Arial" w:eastAsia="Arial" w:hAnsi="Arial"/>
          <w:sz w:val="22"/>
          <w:szCs w:val="22"/>
          <w:color w:val="auto"/>
        </w:rPr>
      </w:pPr>
      <w:r>
        <w:rPr>
          <w:rFonts w:ascii="Arial" w:cs="Arial" w:eastAsia="Arial" w:hAnsi="Arial"/>
          <w:sz w:val="22"/>
          <w:szCs w:val="22"/>
          <w:color w:val="auto"/>
        </w:rPr>
        <w:t>any financial information related to the Collateral reasonably requested by the Deal Agent, the Collateral Agent or any Lender as provided herein is not reasonably provided as requested;</w:t>
      </w:r>
    </w:p>
    <w:p>
      <w:pPr>
        <w:spacing w:after="0" w:line="215" w:lineRule="exact"/>
        <w:rPr>
          <w:rFonts w:ascii="Arial" w:cs="Arial" w:eastAsia="Arial" w:hAnsi="Arial"/>
          <w:sz w:val="22"/>
          <w:szCs w:val="22"/>
          <w:color w:val="auto"/>
        </w:rPr>
      </w:pPr>
    </w:p>
    <w:p>
      <w:pPr>
        <w:jc w:val="both"/>
        <w:ind w:right="120" w:firstLine="2276"/>
        <w:spacing w:after="0" w:line="271" w:lineRule="auto"/>
        <w:tabs>
          <w:tab w:leader="none" w:pos="2844" w:val="left"/>
        </w:tabs>
        <w:numPr>
          <w:ilvl w:val="2"/>
          <w:numId w:val="402"/>
        </w:numPr>
        <w:rPr>
          <w:rFonts w:ascii="Arial" w:cs="Arial" w:eastAsia="Arial" w:hAnsi="Arial"/>
          <w:sz w:val="21"/>
          <w:szCs w:val="21"/>
          <w:color w:val="auto"/>
        </w:rPr>
      </w:pPr>
      <w:r>
        <w:rPr>
          <w:rFonts w:ascii="Arial" w:cs="Arial" w:eastAsia="Arial" w:hAnsi="Arial"/>
          <w:sz w:val="21"/>
          <w:szCs w:val="21"/>
          <w:color w:val="auto"/>
        </w:rPr>
        <w:t>the rendering against the Servicer of one or more final judgments, decrees or orders for the payment of money in excess of United States $15,000,000 in the aggregate, and the continuance of such judgment, decree or order unsatisfied and in effect for any period of more than 60 consecutive days without a stay of execution;</w:t>
      </w:r>
    </w:p>
    <w:p>
      <w:pPr>
        <w:spacing w:after="0" w:line="207" w:lineRule="exact"/>
        <w:rPr>
          <w:rFonts w:ascii="Arial" w:cs="Arial" w:eastAsia="Arial" w:hAnsi="Arial"/>
          <w:sz w:val="21"/>
          <w:szCs w:val="21"/>
          <w:color w:val="auto"/>
        </w:rPr>
      </w:pPr>
    </w:p>
    <w:p>
      <w:pPr>
        <w:jc w:val="both"/>
        <w:ind w:right="120" w:firstLine="2277"/>
        <w:spacing w:after="0" w:line="290" w:lineRule="auto"/>
        <w:tabs>
          <w:tab w:leader="none" w:pos="2743" w:val="left"/>
        </w:tabs>
        <w:numPr>
          <w:ilvl w:val="2"/>
          <w:numId w:val="402"/>
        </w:numPr>
        <w:rPr>
          <w:rFonts w:ascii="Arial" w:cs="Arial" w:eastAsia="Arial" w:hAnsi="Arial"/>
          <w:sz w:val="19"/>
          <w:szCs w:val="19"/>
          <w:color w:val="auto"/>
        </w:rPr>
      </w:pPr>
      <w:r>
        <w:rPr>
          <w:rFonts w:ascii="Arial" w:cs="Arial" w:eastAsia="Arial" w:hAnsi="Arial"/>
          <w:sz w:val="19"/>
          <w:szCs w:val="19"/>
          <w:color w:val="auto"/>
        </w:rPr>
        <w:t>the Servicer shall fail to pay any principal of or premium or interest on any indebtedness in an aggregate outstanding principal amount of $15,000,000 or more (“</w:t>
      </w:r>
      <w:r>
        <w:rPr>
          <w:rFonts w:ascii="Arial" w:cs="Arial" w:eastAsia="Arial" w:hAnsi="Arial"/>
          <w:sz w:val="19"/>
          <w:szCs w:val="19"/>
          <w:u w:val="single" w:color="auto"/>
          <w:color w:val="auto"/>
        </w:rPr>
        <w:t>Material Debt</w:t>
      </w:r>
      <w:r>
        <w:rPr>
          <w:rFonts w:ascii="Arial" w:cs="Arial" w:eastAsia="Arial" w:hAnsi="Arial"/>
          <w:sz w:val="19"/>
          <w:szCs w:val="19"/>
          <w:color w:val="auto"/>
        </w:rPr>
        <w:t>”), when the same becomes due and payable (whether by scheduled maturity, required prepayment, acceleration, demand or otherwise) and such failure shall 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w:t>
      </w:r>
    </w:p>
    <w:p>
      <w:pPr>
        <w:spacing w:after="0" w:line="182" w:lineRule="exact"/>
        <w:rPr>
          <w:rFonts w:ascii="Arial" w:cs="Arial" w:eastAsia="Arial" w:hAnsi="Arial"/>
          <w:sz w:val="19"/>
          <w:szCs w:val="19"/>
          <w:color w:val="auto"/>
        </w:rPr>
      </w:pPr>
    </w:p>
    <w:p>
      <w:pPr>
        <w:ind w:right="140" w:firstLine="2276"/>
        <w:spacing w:after="0" w:line="263" w:lineRule="auto"/>
        <w:tabs>
          <w:tab w:leader="none" w:pos="2724" w:val="left"/>
        </w:tabs>
        <w:numPr>
          <w:ilvl w:val="2"/>
          <w:numId w:val="402"/>
        </w:numPr>
        <w:rPr>
          <w:rFonts w:ascii="Arial" w:cs="Arial" w:eastAsia="Arial" w:hAnsi="Arial"/>
          <w:sz w:val="22"/>
          <w:szCs w:val="22"/>
          <w:color w:val="auto"/>
        </w:rPr>
      </w:pPr>
      <w:r>
        <w:rPr>
          <w:rFonts w:ascii="Arial" w:cs="Arial" w:eastAsia="Arial" w:hAnsi="Arial"/>
          <w:sz w:val="22"/>
          <w:szCs w:val="22"/>
          <w:color w:val="auto"/>
        </w:rPr>
        <w:t>any change in the control of the Servicer that takes the form of either a merger or consolidation in which the Servicer is not the surviving entity;</w:t>
      </w:r>
    </w:p>
    <w:p>
      <w:pPr>
        <w:spacing w:after="0" w:line="215" w:lineRule="exact"/>
        <w:rPr>
          <w:rFonts w:ascii="Arial" w:cs="Arial" w:eastAsia="Arial" w:hAnsi="Arial"/>
          <w:sz w:val="22"/>
          <w:szCs w:val="22"/>
          <w:color w:val="auto"/>
        </w:rPr>
      </w:pPr>
    </w:p>
    <w:p>
      <w:pPr>
        <w:ind w:left="2200" w:hanging="464"/>
        <w:spacing w:after="0"/>
        <w:tabs>
          <w:tab w:leader="none" w:pos="2200" w:val="left"/>
        </w:tabs>
        <w:numPr>
          <w:ilvl w:val="1"/>
          <w:numId w:val="403"/>
        </w:numPr>
        <w:rPr>
          <w:rFonts w:ascii="Arial" w:cs="Arial" w:eastAsia="Arial" w:hAnsi="Arial"/>
          <w:sz w:val="22"/>
          <w:szCs w:val="22"/>
          <w:color w:val="auto"/>
        </w:rPr>
      </w:pPr>
      <w:r>
        <w:rPr>
          <w:rFonts w:ascii="Arial" w:cs="Arial" w:eastAsia="Arial" w:hAnsi="Arial"/>
          <w:sz w:val="22"/>
          <w:szCs w:val="22"/>
          <w:color w:val="auto"/>
        </w:rPr>
        <w:t>a Material Adverse Effect shall have occurred; or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94</w:t>
      </w:r>
    </w:p>
    <w:p>
      <w:pPr>
        <w:sectPr>
          <w:pgSz w:w="11900" w:h="16838" w:orient="portrait"/>
          <w:cols w:equalWidth="0" w:num="1">
            <w:col w:w="11240"/>
          </w:cols>
          <w:pgMar w:left="320" w:top="712" w:right="339" w:bottom="1440" w:gutter="0" w:footer="0" w:header="0"/>
        </w:sectPr>
      </w:pPr>
    </w:p>
    <w:bookmarkStart w:id="362" w:name="page363"/>
    <w:bookmarkEnd w:id="362"/>
    <w:p>
      <w:pPr>
        <w:ind w:left="2800" w:hanging="488"/>
        <w:spacing w:after="0"/>
        <w:tabs>
          <w:tab w:leader="none" w:pos="280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 Termination Event shall have occurred and such Termination Event has not been waived by</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Deal Agent; or</w:t>
      </w:r>
    </w:p>
    <w:p>
      <w:pPr>
        <w:spacing w:after="0" w:line="242" w:lineRule="exact"/>
        <w:rPr>
          <w:sz w:val="20"/>
          <w:szCs w:val="20"/>
          <w:color w:val="auto"/>
        </w:rPr>
      </w:pPr>
    </w:p>
    <w:p>
      <w:pPr>
        <w:ind w:left="2840" w:hanging="528"/>
        <w:spacing w:after="0"/>
        <w:tabs>
          <w:tab w:leader="none" w:pos="2840" w:val="left"/>
        </w:tabs>
        <w:numPr>
          <w:ilvl w:val="0"/>
          <w:numId w:val="405"/>
        </w:numPr>
        <w:rPr>
          <w:rFonts w:ascii="Arial" w:cs="Arial" w:eastAsia="Arial" w:hAnsi="Arial"/>
          <w:sz w:val="22"/>
          <w:szCs w:val="22"/>
          <w:color w:val="auto"/>
        </w:rPr>
      </w:pPr>
      <w:r>
        <w:rPr>
          <w:rFonts w:ascii="Arial" w:cs="Arial" w:eastAsia="Arial" w:hAnsi="Arial"/>
          <w:sz w:val="22"/>
          <w:szCs w:val="22"/>
          <w:color w:val="auto"/>
        </w:rPr>
        <w:t>[reserved];</w:t>
      </w:r>
    </w:p>
    <w:p>
      <w:pPr>
        <w:spacing w:after="0" w:line="247" w:lineRule="exact"/>
        <w:rPr>
          <w:sz w:val="20"/>
          <w:szCs w:val="20"/>
          <w:color w:val="auto"/>
        </w:rPr>
      </w:pPr>
    </w:p>
    <w:p>
      <w:pPr>
        <w:jc w:val="both"/>
        <w:ind w:left="700" w:right="40"/>
        <w:spacing w:after="0" w:line="248" w:lineRule="auto"/>
        <w:rPr>
          <w:sz w:val="20"/>
          <w:szCs w:val="20"/>
          <w:color w:val="auto"/>
        </w:rPr>
      </w:pPr>
      <w:r>
        <w:rPr>
          <w:rFonts w:ascii="Arial" w:cs="Arial" w:eastAsia="Arial" w:hAnsi="Arial"/>
          <w:sz w:val="22"/>
          <w:szCs w:val="22"/>
          <w:color w:val="auto"/>
        </w:rPr>
        <w:t>then notwithstanding anything herein to the contrary, so long as any such Servicer Termination Event shall not have been remedied, within any applicable cure period prior to the date of the Servicer Termination Notice (defined below), the Deal Agent may, or at the direction of the Required Lenders, by written notice to the Servicer (with a copy to the Backup Servicer) (a “</w:t>
      </w:r>
      <w:r>
        <w:rPr>
          <w:rFonts w:ascii="Arial" w:cs="Arial" w:eastAsia="Arial" w:hAnsi="Arial"/>
          <w:sz w:val="22"/>
          <w:szCs w:val="22"/>
          <w:u w:val="single" w:color="auto"/>
          <w:color w:val="auto"/>
        </w:rPr>
        <w:t>Servicer Termination Notice</w:t>
      </w:r>
      <w:r>
        <w:rPr>
          <w:rFonts w:ascii="Arial" w:cs="Arial" w:eastAsia="Arial" w:hAnsi="Arial"/>
          <w:sz w:val="22"/>
          <w:szCs w:val="22"/>
          <w:color w:val="auto"/>
        </w:rPr>
        <w:t>”), shall terminate all of the rights and obligations of the Servicer as Servicer under this Agreement.</w:t>
      </w:r>
    </w:p>
    <w:p>
      <w:pPr>
        <w:spacing w:after="0" w:line="232"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Appointment of Successor Servicer</w:t>
      </w:r>
      <w:r>
        <w:rPr>
          <w:rFonts w:ascii="Arial" w:cs="Arial" w:eastAsia="Arial" w:hAnsi="Arial"/>
          <w:sz w:val="22"/>
          <w:szCs w:val="22"/>
          <w:color w:val="auto"/>
        </w:rPr>
        <w:t>.</w:t>
      </w:r>
    </w:p>
    <w:p>
      <w:pPr>
        <w:spacing w:after="0" w:line="247" w:lineRule="exact"/>
        <w:rPr>
          <w:sz w:val="20"/>
          <w:szCs w:val="20"/>
          <w:color w:val="auto"/>
        </w:rPr>
      </w:pPr>
    </w:p>
    <w:p>
      <w:pPr>
        <w:jc w:val="both"/>
        <w:ind w:left="700" w:firstLine="1936"/>
        <w:spacing w:after="0" w:line="285" w:lineRule="auto"/>
        <w:tabs>
          <w:tab w:leader="none" w:pos="3249" w:val="left"/>
        </w:tabs>
        <w:numPr>
          <w:ilvl w:val="0"/>
          <w:numId w:val="406"/>
        </w:numPr>
        <w:rPr>
          <w:rFonts w:ascii="Arial" w:cs="Arial" w:eastAsia="Arial" w:hAnsi="Arial"/>
          <w:sz w:val="19"/>
          <w:szCs w:val="19"/>
          <w:color w:val="auto"/>
        </w:rPr>
      </w:pPr>
      <w:r>
        <w:rPr>
          <w:rFonts w:ascii="Arial" w:cs="Arial" w:eastAsia="Arial" w:hAnsi="Arial"/>
          <w:sz w:val="19"/>
          <w:szCs w:val="19"/>
          <w:color w:val="auto"/>
        </w:rPr>
        <w:t xml:space="preserve">On and after the receipt by the Servicer of a Servicer Termination Notice pursuant to </w:t>
      </w:r>
      <w:r>
        <w:rPr>
          <w:rFonts w:ascii="Arial" w:cs="Arial" w:eastAsia="Arial" w:hAnsi="Arial"/>
          <w:sz w:val="19"/>
          <w:szCs w:val="19"/>
          <w:u w:val="single" w:color="auto"/>
          <w:color w:val="auto"/>
        </w:rPr>
        <w:t>Section 6.11 or Section 10.2</w:t>
      </w:r>
      <w:r>
        <w:rPr>
          <w:rFonts w:ascii="Arial" w:cs="Arial" w:eastAsia="Arial" w:hAnsi="Arial"/>
          <w:sz w:val="19"/>
          <w:szCs w:val="19"/>
          <w:color w:val="auto"/>
        </w:rPr>
        <w:t xml:space="preserve">, the Servicer shall continue to perform all servicing functions under this Agreement until the date specified in the Servicer Termination Notice or otherwise specified by the Deal Agent in writing or, if no such date is specified in such Servicer Termination Notice or otherwise specified by the Deal Agent, until a date mutually agreed upon by the Servicer and the Deal Agent. The Deal Agent may at the time described in the immediately preceding sentence at the direction of the Required Lenders appoint the Backup Servicer by written notice as the Servicer hereunder, and the Backup Servicer shall on such date (which date shall be no less than </w:t>
      </w:r>
      <w:r>
        <w:rPr>
          <w:rFonts w:ascii="Arial" w:cs="Arial" w:eastAsia="Arial" w:hAnsi="Arial"/>
          <w:sz w:val="19"/>
          <w:szCs w:val="19"/>
          <w:color w:val="FF0000"/>
          <w:strike w:val="1"/>
        </w:rPr>
        <w:t>30</w:t>
      </w:r>
      <w:r>
        <w:rPr>
          <w:rFonts w:ascii="Arial" w:cs="Arial" w:eastAsia="Arial" w:hAnsi="Arial"/>
          <w:sz w:val="19"/>
          <w:szCs w:val="19"/>
          <w:u w:val="single" w:color="auto"/>
          <w:color w:val="0000FF"/>
        </w:rPr>
        <w:t>60</w:t>
      </w:r>
      <w:r>
        <w:rPr>
          <w:rFonts w:ascii="Arial" w:cs="Arial" w:eastAsia="Arial" w:hAnsi="Arial"/>
          <w:sz w:val="19"/>
          <w:szCs w:val="19"/>
          <w:color w:val="auto"/>
        </w:rPr>
        <w:t xml:space="preserve"> days after receipt of such written notice) assume all obligations of the Servicer hereunder (except as specifically set forth herein or in the Backup Servicing Agreement), and all authority and power of the Servicer under this Agreement shall pass to and be vested in the Backup Servicer. In the event that the Deal Agent does not so appoint the Backup Servicer, there is no Backup Servicer or the Backup Servicer is unable to assume such obligations on such date, the Deal Agent shall as promptly as possible appoint a successor servicer (the “</w:t>
      </w:r>
      <w:r>
        <w:rPr>
          <w:rFonts w:ascii="Arial" w:cs="Arial" w:eastAsia="Arial" w:hAnsi="Arial"/>
          <w:sz w:val="19"/>
          <w:szCs w:val="19"/>
          <w:u w:val="single" w:color="auto"/>
          <w:color w:val="auto"/>
        </w:rPr>
        <w:t>Successor Servicer</w:t>
      </w:r>
      <w:r>
        <w:rPr>
          <w:rFonts w:ascii="Arial" w:cs="Arial" w:eastAsia="Arial" w:hAnsi="Arial"/>
          <w:sz w:val="19"/>
          <w:szCs w:val="19"/>
          <w:color w:val="auto"/>
        </w:rPr>
        <w:t>”) who shall be acceptable to the Required Lenders, and such Successor Servicer shall accept its appointment by a written assumption in a form acceptable to the Deal Agent. In the event that a Successor Servicer has not accepted its appointment at the time when the Servicer ceases to act as Servicer, the Deal Agent shall petition a court of competent jurisdiction to appoint any established financial institution having a net worth of not less than United States $50,000,000 and whose regular business includes the servicing of Loans as the Successor Servicer hereunder.</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jc w:val="both"/>
        <w:ind w:left="700" w:firstLine="1936"/>
        <w:spacing w:after="0" w:line="292" w:lineRule="auto"/>
        <w:tabs>
          <w:tab w:leader="none" w:pos="3247" w:val="left"/>
        </w:tabs>
        <w:numPr>
          <w:ilvl w:val="0"/>
          <w:numId w:val="406"/>
        </w:numPr>
        <w:rPr>
          <w:rFonts w:ascii="Arial" w:cs="Arial" w:eastAsia="Arial" w:hAnsi="Arial"/>
          <w:sz w:val="19"/>
          <w:szCs w:val="19"/>
          <w:color w:val="auto"/>
        </w:rPr>
      </w:pPr>
      <w:r>
        <w:rPr>
          <w:rFonts w:ascii="Arial" w:cs="Arial" w:eastAsia="Arial" w:hAnsi="Arial"/>
          <w:sz w:val="19"/>
          <w:szCs w:val="19"/>
          <w:color w:val="auto"/>
        </w:rPr>
        <w:t xml:space="preserve">Upon its assumption as Successor Servicer, the Backup Servicer (except as specifically set forth herein or in the Backup Servicing Agreement and subject to </w:t>
      </w:r>
      <w:r>
        <w:rPr>
          <w:rFonts w:ascii="Arial" w:cs="Arial" w:eastAsia="Arial" w:hAnsi="Arial"/>
          <w:sz w:val="19"/>
          <w:szCs w:val="19"/>
          <w:u w:val="single" w:color="auto"/>
          <w:color w:val="auto"/>
        </w:rPr>
        <w:t>Section 6.12(a)</w:t>
      </w:r>
      <w:r>
        <w:rPr>
          <w:rFonts w:ascii="Arial" w:cs="Arial" w:eastAsia="Arial" w:hAnsi="Arial"/>
          <w:sz w:val="19"/>
          <w:szCs w:val="19"/>
          <w:color w:val="auto"/>
        </w:rPr>
        <w:t>) or any other Successor Servicer, as applicable, shall be the successor in all respects to the Servicer with respect to servicing functions as set forth in this Agreement and shall be subject to all the responsibilities, duties and liabilities relating thereto placed on the Servicer by the terms and provisions hereof, and all references in this Agreement and the other Transaction Documents to the Servicer shall be deemed to refer to the Backup Servicer or the Successor Servicer, as applicable. In no event shall the Backup Servicer be liable for any actions or omissions of any predecessor Servicer.</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95</w:t>
      </w:r>
    </w:p>
    <w:p>
      <w:pPr>
        <w:sectPr>
          <w:pgSz w:w="11900" w:h="16838" w:orient="portrait"/>
          <w:cols w:equalWidth="0" w:num="1">
            <w:col w:w="11140"/>
          </w:cols>
          <w:pgMar w:left="320" w:top="1428" w:right="439" w:bottom="1440" w:gutter="0" w:footer="0" w:header="0"/>
        </w:sectPr>
      </w:pPr>
    </w:p>
    <w:bookmarkStart w:id="363" w:name="page364"/>
    <w:bookmarkEnd w:id="363"/>
    <w:p>
      <w:pPr>
        <w:jc w:val="both"/>
        <w:ind w:left="700" w:firstLine="1936"/>
        <w:spacing w:after="0" w:line="246" w:lineRule="auto"/>
        <w:tabs>
          <w:tab w:leader="none" w:pos="3249" w:val="left"/>
        </w:tabs>
        <w:numPr>
          <w:ilvl w:val="0"/>
          <w:numId w:val="407"/>
        </w:numPr>
        <w:rPr>
          <w:rFonts w:ascii="Arial" w:cs="Arial" w:eastAsia="Arial" w:hAnsi="Arial"/>
          <w:sz w:val="22"/>
          <w:szCs w:val="22"/>
          <w:color w:val="auto"/>
        </w:rPr>
      </w:pPr>
      <w:r>
        <w:rPr>
          <w:rFonts w:ascii="Arial" w:cs="Arial" w:eastAsia="Arial" w:hAnsi="Arial"/>
          <w:sz w:val="22"/>
          <w:szCs w:val="22"/>
          <w:color w:val="auto"/>
        </w:rPr>
        <w:t>All authority and power granted to the Servicer under this Agreement shall automatically cease and terminate upon termination of this Agreement and shall pass to and be vested in the Borrower and, without limitation,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on the Loans and the Contracts.</w:t>
      </w:r>
    </w:p>
    <w:p>
      <w:pPr>
        <w:spacing w:after="0" w:line="236" w:lineRule="exact"/>
        <w:rPr>
          <w:rFonts w:ascii="Arial" w:cs="Arial" w:eastAsia="Arial" w:hAnsi="Arial"/>
          <w:sz w:val="22"/>
          <w:szCs w:val="22"/>
          <w:color w:val="auto"/>
        </w:rPr>
      </w:pPr>
    </w:p>
    <w:p>
      <w:pPr>
        <w:ind w:left="700" w:right="40" w:firstLine="1936"/>
        <w:spacing w:after="0" w:line="251" w:lineRule="auto"/>
        <w:tabs>
          <w:tab w:leader="none" w:pos="3247" w:val="left"/>
        </w:tabs>
        <w:numPr>
          <w:ilvl w:val="0"/>
          <w:numId w:val="407"/>
        </w:numPr>
        <w:rPr>
          <w:rFonts w:ascii="Arial" w:cs="Arial" w:eastAsia="Arial" w:hAnsi="Arial"/>
          <w:sz w:val="22"/>
          <w:szCs w:val="22"/>
          <w:color w:val="auto"/>
        </w:rPr>
      </w:pPr>
      <w:r>
        <w:rPr>
          <w:rFonts w:ascii="Arial" w:cs="Arial" w:eastAsia="Arial" w:hAnsi="Arial"/>
          <w:sz w:val="22"/>
          <w:szCs w:val="22"/>
          <w:color w:val="auto"/>
        </w:rPr>
        <w:t xml:space="preserve">Within </w:t>
      </w:r>
      <w:r>
        <w:rPr>
          <w:rFonts w:ascii="Arial" w:cs="Arial" w:eastAsia="Arial" w:hAnsi="Arial"/>
          <w:sz w:val="22"/>
          <w:szCs w:val="22"/>
          <w:color w:val="FF0000"/>
          <w:strike w:val="1"/>
        </w:rPr>
        <w:t>30</w:t>
      </w:r>
      <w:r>
        <w:rPr>
          <w:rFonts w:ascii="Arial" w:cs="Arial" w:eastAsia="Arial" w:hAnsi="Arial"/>
          <w:sz w:val="22"/>
          <w:szCs w:val="22"/>
          <w:u w:val="single" w:color="auto"/>
          <w:color w:val="0000FF"/>
        </w:rPr>
        <w:t>60</w:t>
      </w:r>
      <w:r>
        <w:rPr>
          <w:rFonts w:ascii="Arial" w:cs="Arial" w:eastAsia="Arial" w:hAnsi="Arial"/>
          <w:sz w:val="22"/>
          <w:szCs w:val="22"/>
          <w:color w:val="auto"/>
        </w:rPr>
        <w:t xml:space="preserve"> days of receiving notice that the Backup Servicer is required to serve as the Servicer hereunder pursuant to the foregoing provisions of this </w:t>
      </w:r>
      <w:r>
        <w:rPr>
          <w:rFonts w:ascii="Arial" w:cs="Arial" w:eastAsia="Arial" w:hAnsi="Arial"/>
          <w:sz w:val="22"/>
          <w:szCs w:val="22"/>
          <w:u w:val="single" w:color="auto"/>
          <w:color w:val="auto"/>
        </w:rPr>
        <w:t>Section</w:t>
      </w:r>
    </w:p>
    <w:p>
      <w:pPr>
        <w:spacing w:after="0" w:line="1"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u w:val="single" w:color="auto"/>
          <w:color w:val="auto"/>
        </w:rPr>
        <w:t>6.12</w:t>
      </w:r>
      <w:r>
        <w:rPr>
          <w:rFonts w:ascii="Arial" w:cs="Arial" w:eastAsia="Arial" w:hAnsi="Arial"/>
          <w:sz w:val="22"/>
          <w:szCs w:val="22"/>
          <w:color w:val="auto"/>
        </w:rPr>
        <w:t xml:space="preserve"> the Backup Servicer will </w:t>
      </w:r>
      <w:r>
        <w:rPr>
          <w:rFonts w:ascii="Arial" w:cs="Arial" w:eastAsia="Arial" w:hAnsi="Arial"/>
          <w:sz w:val="22"/>
          <w:szCs w:val="22"/>
          <w:color w:val="FF0000"/>
          <w:strike w:val="1"/>
        </w:rPr>
        <w:t>begin the</w:t>
      </w:r>
      <w:r>
        <w:rPr>
          <w:rFonts w:ascii="Arial" w:cs="Arial" w:eastAsia="Arial" w:hAnsi="Arial"/>
          <w:sz w:val="22"/>
          <w:szCs w:val="22"/>
          <w:color w:val="auto"/>
        </w:rPr>
        <w:t xml:space="preserve"> transition to its role as Servicer.</w:t>
      </w:r>
    </w:p>
    <w:p>
      <w:pPr>
        <w:spacing w:after="0" w:line="229" w:lineRule="exact"/>
        <w:rPr>
          <w:sz w:val="20"/>
          <w:szCs w:val="20"/>
          <w:color w:val="auto"/>
        </w:rPr>
      </w:pPr>
    </w:p>
    <w:p>
      <w:pPr>
        <w:jc w:val="both"/>
        <w:ind w:left="700" w:right="20" w:firstLine="648"/>
        <w:spacing w:after="0" w:line="297" w:lineRule="auto"/>
        <w:rPr>
          <w:sz w:val="20"/>
          <w:szCs w:val="20"/>
          <w:color w:val="auto"/>
        </w:rPr>
      </w:pPr>
      <w:r>
        <w:rPr>
          <w:rFonts w:ascii="Arial" w:cs="Arial" w:eastAsia="Arial" w:hAnsi="Arial"/>
          <w:sz w:val="19"/>
          <w:szCs w:val="19"/>
          <w:color w:val="auto"/>
        </w:rPr>
        <w:t xml:space="preserve">Section 6.13. </w:t>
      </w:r>
      <w:r>
        <w:rPr>
          <w:rFonts w:ascii="Arial" w:cs="Arial" w:eastAsia="Arial" w:hAnsi="Arial"/>
          <w:sz w:val="19"/>
          <w:szCs w:val="19"/>
          <w:u w:val="single" w:color="auto"/>
          <w:color w:val="auto"/>
        </w:rPr>
        <w:t>Responsibilities of the Borrower</w:t>
      </w:r>
      <w:r>
        <w:rPr>
          <w:rFonts w:ascii="Arial" w:cs="Arial" w:eastAsia="Arial" w:hAnsi="Arial"/>
          <w:sz w:val="19"/>
          <w:szCs w:val="19"/>
          <w:color w:val="auto"/>
        </w:rPr>
        <w:t>. Anything herein to the contrary notwithstanding, the Borrower shall (i) perform all of its obligations under the Loans to the same extent as if a security interest in such Loans had not been granted hereunder and (ii) pay when due, from funds available to the Borrower under Section 2.7 hereto, any taxes. Neither the Deal Agent, Collateral Agent nor any Secured Party shall have any obligation or liability with respect to any Loan, nor shall any of them be obligated to perform any of the obligations of the Borrower thereunder.</w:t>
      </w:r>
    </w:p>
    <w:p>
      <w:pPr>
        <w:spacing w:after="0" w:line="187" w:lineRule="exact"/>
        <w:rPr>
          <w:sz w:val="20"/>
          <w:szCs w:val="20"/>
          <w:color w:val="auto"/>
        </w:rPr>
      </w:pPr>
    </w:p>
    <w:p>
      <w:pPr>
        <w:jc w:val="both"/>
        <w:ind w:left="700" w:right="40" w:firstLine="648"/>
        <w:spacing w:after="0" w:line="265" w:lineRule="auto"/>
        <w:rPr>
          <w:sz w:val="20"/>
          <w:szCs w:val="20"/>
          <w:color w:val="auto"/>
        </w:rPr>
      </w:pPr>
      <w:r>
        <w:rPr>
          <w:rFonts w:ascii="Arial" w:cs="Arial" w:eastAsia="Arial" w:hAnsi="Arial"/>
          <w:sz w:val="21"/>
          <w:szCs w:val="21"/>
          <w:color w:val="auto"/>
        </w:rPr>
        <w:t xml:space="preserve">Section 6.14. </w:t>
      </w:r>
      <w:r>
        <w:rPr>
          <w:rFonts w:ascii="Arial" w:cs="Arial" w:eastAsia="Arial" w:hAnsi="Arial"/>
          <w:sz w:val="21"/>
          <w:szCs w:val="21"/>
          <w:u w:val="single" w:color="auto"/>
          <w:color w:val="auto"/>
        </w:rPr>
        <w:t>Segregated Payment Account</w:t>
      </w:r>
      <w:r>
        <w:rPr>
          <w:rFonts w:ascii="Arial" w:cs="Arial" w:eastAsia="Arial" w:hAnsi="Arial"/>
          <w:sz w:val="21"/>
          <w:szCs w:val="21"/>
          <w:color w:val="auto"/>
        </w:rPr>
        <w:t>. Upon the occurrence of a Servicer Termination Event, a potential Servicer Termination Event or an Unsatisfactory Audit, the Deal Agent shall have the right to require the Borrower and the Servicer (i) to establish a segregated payment trust account in the name of the Collateral Agent for Collections related to the Collateral and (ii) to direct all Obligors to make payments into such account.</w:t>
      </w:r>
    </w:p>
    <w:p>
      <w:pPr>
        <w:spacing w:after="0" w:line="216" w:lineRule="exact"/>
        <w:rPr>
          <w:sz w:val="20"/>
          <w:szCs w:val="20"/>
          <w:color w:val="auto"/>
        </w:rPr>
      </w:pPr>
    </w:p>
    <w:p>
      <w:pPr>
        <w:jc w:val="both"/>
        <w:ind w:left="700" w:right="40" w:firstLine="648"/>
        <w:spacing w:after="0" w:line="263" w:lineRule="auto"/>
        <w:rPr>
          <w:sz w:val="20"/>
          <w:szCs w:val="20"/>
          <w:color w:val="auto"/>
        </w:rPr>
      </w:pPr>
      <w:r>
        <w:rPr>
          <w:rFonts w:ascii="Arial" w:cs="Arial" w:eastAsia="Arial" w:hAnsi="Arial"/>
          <w:sz w:val="22"/>
          <w:szCs w:val="22"/>
          <w:color w:val="auto"/>
        </w:rPr>
        <w:t xml:space="preserve">Section 6.15. </w:t>
      </w:r>
      <w:r>
        <w:rPr>
          <w:rFonts w:ascii="Arial" w:cs="Arial" w:eastAsia="Arial" w:hAnsi="Arial"/>
          <w:sz w:val="22"/>
          <w:szCs w:val="22"/>
          <w:u w:val="single" w:color="auto"/>
          <w:color w:val="auto"/>
        </w:rPr>
        <w:t>Dealer Collections Purchase; Replacement of Dealer Loan with Related Purchased Loans</w:t>
      </w:r>
      <w:r>
        <w:rPr>
          <w:rFonts w:ascii="Arial" w:cs="Arial" w:eastAsia="Arial" w:hAnsi="Arial"/>
          <w:sz w:val="22"/>
          <w:szCs w:val="22"/>
          <w:color w:val="auto"/>
        </w:rPr>
        <w:t>. The parties hereto acknowledge the following:</w:t>
      </w:r>
    </w:p>
    <w:p>
      <w:pPr>
        <w:spacing w:after="0" w:line="202" w:lineRule="exact"/>
        <w:rPr>
          <w:sz w:val="20"/>
          <w:szCs w:val="20"/>
          <w:color w:val="auto"/>
        </w:rPr>
      </w:pPr>
    </w:p>
    <w:p>
      <w:pPr>
        <w:jc w:val="both"/>
        <w:ind w:left="700" w:right="40" w:firstLine="1288"/>
        <w:spacing w:after="0" w:line="294" w:lineRule="auto"/>
        <w:tabs>
          <w:tab w:leader="none" w:pos="2600" w:val="left"/>
        </w:tabs>
        <w:numPr>
          <w:ilvl w:val="0"/>
          <w:numId w:val="408"/>
        </w:numPr>
        <w:rPr>
          <w:rFonts w:ascii="Arial" w:cs="Arial" w:eastAsia="Arial" w:hAnsi="Arial"/>
          <w:sz w:val="19"/>
          <w:szCs w:val="19"/>
          <w:color w:val="auto"/>
        </w:rPr>
      </w:pPr>
      <w:r>
        <w:rPr>
          <w:rFonts w:ascii="Arial" w:cs="Arial" w:eastAsia="Arial" w:hAnsi="Arial"/>
          <w:sz w:val="19"/>
          <w:szCs w:val="19"/>
          <w:color w:val="auto"/>
        </w:rPr>
        <w:t>During its ordinary course of business in managing its serviced portfolio of Dealer Loans (and not based on poor credit quality of the Dealer Loan Contracts), Credit Acceptance may from time to time agree to enter into an agreement (a “Dealer Collections Purchase Agreement”) with a Dealer, pursuant to which the Dealer agrees to sell and assign to Credit Acceptance all of its rights, interests and entitlement in and to one or more Pools of Dealer Loan Contracts securing the related Dealer Loans, including such Dealer’s ownership interest in such Dealer Loan Contracts and rights to receive the related Dealer Collections (a “Dealer Collections Purchase”).</w:t>
      </w:r>
    </w:p>
    <w:p>
      <w:pPr>
        <w:spacing w:after="0" w:line="189" w:lineRule="exact"/>
        <w:rPr>
          <w:rFonts w:ascii="Arial" w:cs="Arial" w:eastAsia="Arial" w:hAnsi="Arial"/>
          <w:sz w:val="19"/>
          <w:szCs w:val="19"/>
          <w:color w:val="auto"/>
        </w:rPr>
      </w:pPr>
    </w:p>
    <w:p>
      <w:pPr>
        <w:jc w:val="both"/>
        <w:ind w:left="700" w:firstLine="1288"/>
        <w:spacing w:after="0" w:line="260" w:lineRule="auto"/>
        <w:tabs>
          <w:tab w:leader="none" w:pos="2600" w:val="left"/>
        </w:tabs>
        <w:numPr>
          <w:ilvl w:val="0"/>
          <w:numId w:val="408"/>
        </w:numPr>
        <w:rPr>
          <w:rFonts w:ascii="Arial" w:cs="Arial" w:eastAsia="Arial" w:hAnsi="Arial"/>
          <w:sz w:val="21"/>
          <w:szCs w:val="21"/>
          <w:color w:val="auto"/>
        </w:rPr>
      </w:pPr>
      <w:r>
        <w:rPr>
          <w:rFonts w:ascii="Arial" w:cs="Arial" w:eastAsia="Arial" w:hAnsi="Arial"/>
          <w:sz w:val="21"/>
          <w:szCs w:val="21"/>
          <w:color w:val="auto"/>
        </w:rPr>
        <w:t>Credit Acceptance has assigned all of its rights under any Dealer Collections Purchase Agreements to the Borrower pursuant to the Contribution Agreement. Upon the payment by Credit Acceptance to the applicable Dealer under a Dealer Collections Purchase Agreement of the purchase price thereunder (the “Dealer Collections Purchase Price”), the related Dealer Loans (including the rights to the related Dealer Loan Collections thereunder) shall be deemed to be extinguished and pursuant to the Contribution Agreement the Dealer Loan Contracts securing such Dealer Loans shall be assigned by Credit Acceptance to the Borrower as Purchased Loan Contracts and the loans thereunder shall be deemed Purchased Loans. For the</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96</w:t>
      </w:r>
    </w:p>
    <w:p>
      <w:pPr>
        <w:sectPr>
          <w:pgSz w:w="11900" w:h="16838" w:orient="portrait"/>
          <w:cols w:equalWidth="0" w:num="1">
            <w:col w:w="11140"/>
          </w:cols>
          <w:pgMar w:left="320" w:top="1428" w:right="439" w:bottom="1440" w:gutter="0" w:footer="0" w:header="0"/>
        </w:sectPr>
      </w:pPr>
    </w:p>
    <w:bookmarkStart w:id="364" w:name="page365"/>
    <w:bookmarkEnd w:id="364"/>
    <w:p>
      <w:pPr>
        <w:ind w:left="120"/>
        <w:spacing w:after="0"/>
        <w:rPr>
          <w:sz w:val="20"/>
          <w:szCs w:val="20"/>
          <w:color w:val="auto"/>
        </w:rPr>
      </w:pPr>
      <w:r>
        <w:rPr>
          <w:rFonts w:ascii="Arial" w:cs="Arial" w:eastAsia="Arial" w:hAnsi="Arial"/>
          <w:sz w:val="22"/>
          <w:szCs w:val="22"/>
          <w:color w:val="auto"/>
        </w:rPr>
        <w:t>avoidance of doubt, all Collections on such Purchased Loan Contracts shall be included in Available Funds.</w:t>
      </w:r>
    </w:p>
    <w:p>
      <w:pPr>
        <w:spacing w:after="0" w:line="260" w:lineRule="exact"/>
        <w:rPr>
          <w:sz w:val="20"/>
          <w:szCs w:val="20"/>
          <w:color w:val="auto"/>
        </w:rPr>
      </w:pPr>
    </w:p>
    <w:p>
      <w:pPr>
        <w:ind w:left="120" w:right="160" w:firstLine="1292"/>
        <w:spacing w:after="0" w:line="294" w:lineRule="auto"/>
        <w:tabs>
          <w:tab w:leader="none" w:pos="1953" w:val="left"/>
        </w:tabs>
        <w:numPr>
          <w:ilvl w:val="0"/>
          <w:numId w:val="409"/>
        </w:numPr>
        <w:rPr>
          <w:rFonts w:ascii="Arial" w:cs="Arial" w:eastAsia="Arial" w:hAnsi="Arial"/>
          <w:sz w:val="19"/>
          <w:szCs w:val="19"/>
          <w:color w:val="auto"/>
        </w:rPr>
      </w:pPr>
      <w:r>
        <w:rPr>
          <w:rFonts w:ascii="Arial" w:cs="Arial" w:eastAsia="Arial" w:hAnsi="Arial"/>
          <w:sz w:val="19"/>
          <w:szCs w:val="19"/>
          <w:color w:val="auto"/>
        </w:rPr>
        <w:t>On the date of each Dealer Collections Purchase, Credit Acceptance shall deliver to the Collateral Agent a list identifying (A) all Dealer Loans extinguished as a result of such Dealer Collections Purchase, (B) each Dealer Loan Contract previously securing such Dealer Loans and (C) the Purchased Loans and Purchased Loan Contracts evidencing such Purchased Loans resulting from such Dealer Collections Purchase, in each case, identified by account number, dealer number and pool number, as applicable. Such list shall be deemed to supplement Exhibit A to the Contribution Agreement and Schedule IV hereto as of the date of such Dealer Collections Purchase.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 BACKUP SERVICER</w:t>
      </w:r>
    </w:p>
    <w:p>
      <w:pPr>
        <w:spacing w:after="0" w:line="260" w:lineRule="exact"/>
        <w:rPr>
          <w:sz w:val="20"/>
          <w:szCs w:val="20"/>
          <w:color w:val="auto"/>
        </w:rPr>
      </w:pPr>
    </w:p>
    <w:p>
      <w:pPr>
        <w:jc w:val="both"/>
        <w:ind w:left="120" w:right="40" w:firstLine="648"/>
        <w:spacing w:after="0" w:line="253"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Designation of the Backup Servicer</w:t>
      </w:r>
      <w:r>
        <w:rPr>
          <w:rFonts w:ascii="Arial" w:cs="Arial" w:eastAsia="Arial" w:hAnsi="Arial"/>
          <w:sz w:val="22"/>
          <w:szCs w:val="22"/>
          <w:color w:val="auto"/>
        </w:rPr>
        <w:t>. The backup servicing role with respect to the Collateral shall be conducted by the Person designated as Backup Servicer under the Backup Servicing Agreement, which shall initially be Wells Fargo.</w:t>
      </w:r>
    </w:p>
    <w:p>
      <w:pPr>
        <w:spacing w:after="0" w:line="226" w:lineRule="exact"/>
        <w:rPr>
          <w:sz w:val="20"/>
          <w:szCs w:val="20"/>
          <w:color w:val="auto"/>
        </w:rPr>
      </w:pPr>
    </w:p>
    <w:p>
      <w:pPr>
        <w:jc w:val="both"/>
        <w:ind w:left="120" w:right="60" w:firstLine="648"/>
        <w:spacing w:after="0" w:line="312" w:lineRule="auto"/>
        <w:rPr>
          <w:sz w:val="20"/>
          <w:szCs w:val="20"/>
          <w:color w:val="auto"/>
        </w:rPr>
      </w:pPr>
      <w:r>
        <w:rPr>
          <w:rFonts w:ascii="Arial" w:cs="Arial" w:eastAsia="Arial" w:hAnsi="Arial"/>
          <w:sz w:val="19"/>
          <w:szCs w:val="19"/>
          <w:color w:val="auto"/>
        </w:rPr>
        <w:t xml:space="preserve">Section 7.2. </w:t>
      </w:r>
      <w:r>
        <w:rPr>
          <w:rFonts w:ascii="Arial" w:cs="Arial" w:eastAsia="Arial" w:hAnsi="Arial"/>
          <w:sz w:val="19"/>
          <w:szCs w:val="19"/>
          <w:u w:val="single" w:color="auto"/>
          <w:color w:val="auto"/>
        </w:rPr>
        <w:t>Duties of the Backup Servicer</w:t>
      </w:r>
      <w:r>
        <w:rPr>
          <w:rFonts w:ascii="Arial" w:cs="Arial" w:eastAsia="Arial" w:hAnsi="Arial"/>
          <w:sz w:val="19"/>
          <w:szCs w:val="19"/>
          <w:color w:val="auto"/>
        </w:rPr>
        <w:t>. (a) On or before the Closing Date, and until its removal pursuant to the Backup Servicing Agreement, the Backup Servicer shall perform, on behalf of the Servicer, the Borrower, the Deal Agent, the Collateral Agent and the Secured Parties, the duties and obligations set forth in the Backup Servicing Agreement.</w:t>
      </w:r>
    </w:p>
    <w:p>
      <w:pPr>
        <w:spacing w:after="0" w:line="160" w:lineRule="exact"/>
        <w:rPr>
          <w:sz w:val="20"/>
          <w:szCs w:val="20"/>
          <w:color w:val="auto"/>
        </w:rPr>
      </w:pPr>
    </w:p>
    <w:p>
      <w:pPr>
        <w:ind w:left="120" w:right="180" w:firstLine="1940"/>
        <w:spacing w:after="0" w:line="265" w:lineRule="auto"/>
        <w:tabs>
          <w:tab w:leader="none" w:pos="2532" w:val="left"/>
        </w:tabs>
        <w:numPr>
          <w:ilvl w:val="0"/>
          <w:numId w:val="410"/>
        </w:numPr>
        <w:rPr>
          <w:rFonts w:ascii="Arial" w:cs="Arial" w:eastAsia="Arial" w:hAnsi="Arial"/>
          <w:sz w:val="21"/>
          <w:szCs w:val="21"/>
          <w:color w:val="auto"/>
        </w:rPr>
      </w:pPr>
      <w:r>
        <w:rPr>
          <w:rFonts w:ascii="Arial" w:cs="Arial" w:eastAsia="Arial" w:hAnsi="Arial"/>
          <w:sz w:val="21"/>
          <w:szCs w:val="21"/>
          <w:color w:val="auto"/>
        </w:rPr>
        <w:t xml:space="preserve">Except as otherwise expressly set forth herein, and without duplication, the Backup Servicer shall be entitled to the protections, privileges and indemnities afforded to the Collateral Agent in </w:t>
      </w:r>
      <w:r>
        <w:rPr>
          <w:rFonts w:ascii="Arial" w:cs="Arial" w:eastAsia="Arial" w:hAnsi="Arial"/>
          <w:sz w:val="21"/>
          <w:szCs w:val="21"/>
          <w:u w:val="single" w:color="auto"/>
          <w:color w:val="auto"/>
        </w:rPr>
        <w:t>Sections 12.3(b)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12.3(c)</w:t>
      </w:r>
      <w:r>
        <w:rPr>
          <w:rFonts w:ascii="Arial" w:cs="Arial" w:eastAsia="Arial" w:hAnsi="Arial"/>
          <w:sz w:val="21"/>
          <w:szCs w:val="21"/>
          <w:color w:val="auto"/>
        </w:rPr>
        <w:t xml:space="preserve"> (except that the Backup Servicer shall be responsible for any costs and expenses related to performance of the Backup Servicer’s duties under the Backup Servicing Agreement), as if restated herein.</w:t>
      </w:r>
    </w:p>
    <w:p>
      <w:pPr>
        <w:spacing w:after="0" w:line="202" w:lineRule="exact"/>
        <w:rPr>
          <w:sz w:val="20"/>
          <w:szCs w:val="20"/>
          <w:color w:val="auto"/>
        </w:rPr>
      </w:pPr>
    </w:p>
    <w:p>
      <w:pPr>
        <w:jc w:val="both"/>
        <w:ind w:left="120" w:firstLine="648"/>
        <w:spacing w:after="0" w:line="297"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Backup Servicing Compensation</w:t>
      </w:r>
      <w:r>
        <w:rPr>
          <w:rFonts w:ascii="Arial" w:cs="Arial" w:eastAsia="Arial" w:hAnsi="Arial"/>
          <w:sz w:val="19"/>
          <w:szCs w:val="19"/>
          <w:color w:val="auto"/>
        </w:rPr>
        <w:t>. As compensation for its backup servicing activities hereunder and under the Backup Servicing Agreement, the Backup Servicer shall be entitled to receive the Backup Servicing Fee pursuant to the provisions of Section 2.7(a). The Backup Servicer’s entitlement to receive the Backup Servicing Fee shall cease on the earliest to occur of: (i) it becoming the Successor Servicer; (ii) its removal as Backup Servicer pursuant to the terms of the Backup Servicing Agreement; or (iii) the termination of this Agreement or the Backup Servicing Agreement.</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VIII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[Reserved]</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IX SECURITY INTEREST</w:t>
      </w:r>
    </w:p>
    <w:p>
      <w:pPr>
        <w:spacing w:after="0" w:line="21" w:lineRule="exact"/>
        <w:rPr>
          <w:sz w:val="20"/>
          <w:szCs w:val="20"/>
          <w:color w:val="auto"/>
        </w:rPr>
      </w:pPr>
    </w:p>
    <w:p>
      <w:pPr>
        <w:ind w:left="120" w:right="60" w:firstLine="648"/>
        <w:spacing w:after="0" w:line="323"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Security Agreement</w:t>
      </w:r>
      <w:r>
        <w:rPr>
          <w:rFonts w:ascii="Arial" w:cs="Arial" w:eastAsia="Arial" w:hAnsi="Arial"/>
          <w:sz w:val="19"/>
          <w:szCs w:val="19"/>
          <w:color w:val="auto"/>
        </w:rPr>
        <w:t>. (a) The parties hereto intend that this Agreement constitute a security agreement and the transactions effected hereby constitute secured loans by the Lender to the Borrower under Applicable Law.</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97</w:t>
      </w:r>
    </w:p>
    <w:p>
      <w:pPr>
        <w:sectPr>
          <w:pgSz w:w="11900" w:h="16838" w:orient="portrait"/>
          <w:cols w:equalWidth="0" w:num="1">
            <w:col w:w="11140"/>
          </w:cols>
          <w:pgMar w:left="320" w:top="1428" w:right="439" w:bottom="1440" w:gutter="0" w:footer="0" w:header="0"/>
        </w:sectPr>
      </w:pPr>
    </w:p>
    <w:bookmarkStart w:id="365" w:name="page366"/>
    <w:bookmarkEnd w:id="365"/>
    <w:p>
      <w:pPr>
        <w:jc w:val="both"/>
        <w:ind w:left="120" w:right="40" w:firstLine="1939"/>
        <w:spacing w:after="0" w:line="302" w:lineRule="auto"/>
        <w:tabs>
          <w:tab w:leader="none" w:pos="2384" w:val="left"/>
        </w:tabs>
        <w:numPr>
          <w:ilvl w:val="0"/>
          <w:numId w:val="411"/>
        </w:numPr>
        <w:rPr>
          <w:rFonts w:ascii="Arial" w:cs="Arial" w:eastAsia="Arial" w:hAnsi="Arial"/>
          <w:sz w:val="19"/>
          <w:szCs w:val="19"/>
          <w:color w:val="auto"/>
        </w:rPr>
      </w:pPr>
      <w:r>
        <w:rPr>
          <w:rFonts w:ascii="Arial" w:cs="Arial" w:eastAsia="Arial" w:hAnsi="Arial"/>
          <w:sz w:val="19"/>
          <w:szCs w:val="19"/>
          <w:color w:val="auto"/>
        </w:rPr>
        <w:t>The Borrower hereby authorizes the Collateral Agent to file one or more financing or continuation statements, and amendments thereto, relating to all or any part of the Collateral and Proceeds thereof without the signature of the Borrower where permitted by law. A photographic or other reproduction of this Agreement or any financing statement covering the Collateral or any part thereof shall be sufficient as a financing statement where permitted by law.</w:t>
      </w:r>
    </w:p>
    <w:p>
      <w:pPr>
        <w:spacing w:after="0" w:line="183"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Release of Lien</w:t>
      </w:r>
      <w:r>
        <w:rPr>
          <w:rFonts w:ascii="Arial" w:cs="Arial" w:eastAsia="Arial" w:hAnsi="Arial"/>
          <w:sz w:val="19"/>
          <w:szCs w:val="19"/>
          <w:color w:val="auto"/>
        </w:rPr>
        <w:t xml:space="preserve">. At the same time as any Loan by its terms and all amounts in respect thereof has been paid by the related Obligor and deposited in the Collection Account, the Collateral Agent as agent for the Secured Parties will, to the extent requested by the Servicer, release its interest in such Loan and Related Security. The Collateral Agent as agent for the Secured Parties will after the deposit by the Servicer of such payment into the Collection Account, at the sole expense of the Servicer, execute and deliver to the Servicer any assignments, termination statements and any other releases and instruments as the Servicer may reasonably request in order to effect such release and transfer;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Collateral Agent as agent for the Secured Parties will make no representation or warranty, express or implied, with respect to any such Loan and Related Security in connection with such sale or transfer and assignment.</w:t>
      </w:r>
    </w:p>
    <w:p>
      <w:pPr>
        <w:spacing w:after="0" w:line="183" w:lineRule="exact"/>
        <w:rPr>
          <w:sz w:val="20"/>
          <w:szCs w:val="20"/>
          <w:color w:val="auto"/>
        </w:rPr>
      </w:pPr>
    </w:p>
    <w:p>
      <w:pPr>
        <w:ind w:left="120" w:right="60" w:firstLine="648"/>
        <w:spacing w:after="0" w:line="263"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 14.12</w:t>
      </w:r>
      <w:r>
        <w:rPr>
          <w:rFonts w:ascii="Arial" w:cs="Arial" w:eastAsia="Arial" w:hAnsi="Arial"/>
          <w:sz w:val="22"/>
          <w:szCs w:val="22"/>
          <w:color w:val="auto"/>
        </w:rPr>
        <w:t xml:space="preserve"> shall apply to the security interest granted under Section 2.2(a) as well as to each Funding hereunder.</w:t>
      </w:r>
    </w:p>
    <w:p>
      <w:pPr>
        <w:spacing w:after="0" w:line="215" w:lineRule="exact"/>
        <w:rPr>
          <w:sz w:val="20"/>
          <w:szCs w:val="20"/>
          <w:color w:val="auto"/>
        </w:rPr>
      </w:pPr>
    </w:p>
    <w:p>
      <w:pPr>
        <w:jc w:val="both"/>
        <w:ind w:left="120" w:firstLine="648"/>
        <w:spacing w:after="0" w:line="265" w:lineRule="auto"/>
        <w:rPr>
          <w:sz w:val="20"/>
          <w:szCs w:val="20"/>
          <w:color w:val="auto"/>
        </w:rPr>
      </w:pPr>
      <w:r>
        <w:rPr>
          <w:rFonts w:ascii="Arial" w:cs="Arial" w:eastAsia="Arial" w:hAnsi="Arial"/>
          <w:sz w:val="21"/>
          <w:szCs w:val="21"/>
          <w:color w:val="auto"/>
        </w:rPr>
        <w:t xml:space="preserve">Section 9.4. </w:t>
      </w:r>
      <w:r>
        <w:rPr>
          <w:rFonts w:ascii="Arial" w:cs="Arial" w:eastAsia="Arial" w:hAnsi="Arial"/>
          <w:sz w:val="21"/>
          <w:szCs w:val="21"/>
          <w:u w:val="single" w:color="auto"/>
          <w:color w:val="auto"/>
        </w:rPr>
        <w:t>Remedies</w:t>
      </w:r>
      <w:r>
        <w:rPr>
          <w:rFonts w:ascii="Arial" w:cs="Arial" w:eastAsia="Arial" w:hAnsi="Arial"/>
          <w:sz w:val="21"/>
          <w:szCs w:val="21"/>
          <w:color w:val="auto"/>
        </w:rPr>
        <w:t xml:space="preserve">. Upon the occurrence of a Termination Event, the Deal Agent, the Collateral Agent and the other Secured Parties shall have, with respect to the Collateral granted pursuant to </w:t>
      </w:r>
      <w:r>
        <w:rPr>
          <w:rFonts w:ascii="Arial" w:cs="Arial" w:eastAsia="Arial" w:hAnsi="Arial"/>
          <w:sz w:val="21"/>
          <w:szCs w:val="21"/>
          <w:u w:val="single" w:color="auto"/>
          <w:color w:val="auto"/>
        </w:rPr>
        <w:t>Section 2.2(a)</w:t>
      </w:r>
      <w:r>
        <w:rPr>
          <w:rFonts w:ascii="Arial" w:cs="Arial" w:eastAsia="Arial" w:hAnsi="Arial"/>
          <w:sz w:val="21"/>
          <w:szCs w:val="21"/>
          <w:color w:val="auto"/>
        </w:rPr>
        <w:t>, and in addition to all other rights and remedies available to the Deal Agent, the Collateral Agent and the other Secured Parties under this Agreement or other Applicable Law, all rights and remedies of a secured party upon default under the UCC.</w:t>
      </w:r>
    </w:p>
    <w:p>
      <w:pPr>
        <w:spacing w:after="0" w:line="202" w:lineRule="exact"/>
        <w:rPr>
          <w:sz w:val="20"/>
          <w:szCs w:val="20"/>
          <w:color w:val="auto"/>
        </w:rPr>
      </w:pPr>
    </w:p>
    <w:p>
      <w:pPr>
        <w:jc w:val="both"/>
        <w:ind w:left="120" w:right="20" w:firstLine="648"/>
        <w:spacing w:after="0" w:line="288"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Waiver of Certain Laws</w:t>
      </w:r>
      <w:r>
        <w:rPr>
          <w:rFonts w:ascii="Arial" w:cs="Arial" w:eastAsia="Arial" w:hAnsi="Arial"/>
          <w:sz w:val="19"/>
          <w:szCs w:val="19"/>
          <w:color w:val="auto"/>
        </w:rPr>
        <w:t>. Each of the Borrower and the Servicer agrees, to the full extent that it may lawfully so agree, that neither it nor anyone claiming through or under it will set up, claim or seek to take advantage of any appraisement, valuation, stay, extension or redemption law now or hereafter in force in any locality where all or any portion of the Collateral may be situated in order to prevent, hinder or delay the enforcement or foreclosure of this Agreement, or the absolute sale of all or any portion of the Collateral, or the final and absolute putting into possession thereof, immediately after such sale, of the purchasers thereof, and each of the Borrower and the Servicer,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Deal Agent, the Collateral Agent or any court having jurisdiction to foreclosure the security interests granted in this Agreement may sell the Collateral as an entirety or in such parcels as the Deal Agent, the Collateral Agent or such court may determine.</w:t>
      </w:r>
    </w:p>
    <w:p>
      <w:pPr>
        <w:spacing w:after="0" w:line="200" w:lineRule="exact"/>
        <w:rPr>
          <w:sz w:val="20"/>
          <w:szCs w:val="20"/>
          <w:color w:val="auto"/>
        </w:rPr>
      </w:pPr>
    </w:p>
    <w:p>
      <w:pPr>
        <w:jc w:val="both"/>
        <w:ind w:left="120" w:right="40" w:firstLine="648"/>
        <w:spacing w:after="0" w:line="312" w:lineRule="auto"/>
        <w:rPr>
          <w:sz w:val="20"/>
          <w:szCs w:val="20"/>
          <w:color w:val="auto"/>
        </w:rPr>
      </w:pPr>
      <w:r>
        <w:rPr>
          <w:rFonts w:ascii="Arial" w:cs="Arial" w:eastAsia="Arial" w:hAnsi="Arial"/>
          <w:sz w:val="19"/>
          <w:szCs w:val="19"/>
          <w:color w:val="auto"/>
        </w:rPr>
        <w:t xml:space="preserve">Section 9.6. </w:t>
      </w:r>
      <w:r>
        <w:rPr>
          <w:rFonts w:ascii="Arial" w:cs="Arial" w:eastAsia="Arial" w:hAnsi="Arial"/>
          <w:sz w:val="19"/>
          <w:szCs w:val="19"/>
          <w:u w:val="single" w:color="auto"/>
          <w:color w:val="auto"/>
        </w:rPr>
        <w:t>Power of Attorney</w:t>
      </w:r>
      <w:r>
        <w:rPr>
          <w:rFonts w:ascii="Arial" w:cs="Arial" w:eastAsia="Arial" w:hAnsi="Arial"/>
          <w:sz w:val="19"/>
          <w:szCs w:val="19"/>
          <w:color w:val="auto"/>
        </w:rPr>
        <w:t>. The Borrower hereby irrevocably appoints the Deal Agent and the Servicer and any Successor Servicer as its true and lawful attorney (with full power of substitution) in its name, place and stead and at its expense, in connection with the enforcement of the rights and remedies provided for in this Agreement, including without</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98</w:t>
      </w:r>
    </w:p>
    <w:p>
      <w:pPr>
        <w:sectPr>
          <w:pgSz w:w="11900" w:h="16838" w:orient="portrait"/>
          <w:cols w:equalWidth="0" w:num="1">
            <w:col w:w="11140"/>
          </w:cols>
          <w:pgMar w:left="320" w:top="1428" w:right="439" w:bottom="1440" w:gutter="0" w:footer="0" w:header="0"/>
        </w:sectPr>
      </w:pPr>
    </w:p>
    <w:bookmarkStart w:id="366" w:name="page367"/>
    <w:bookmarkEnd w:id="366"/>
    <w:p>
      <w:pPr>
        <w:ind w:left="120"/>
        <w:spacing w:after="0"/>
        <w:rPr>
          <w:sz w:val="20"/>
          <w:szCs w:val="20"/>
          <w:color w:val="auto"/>
        </w:rPr>
      </w:pPr>
      <w:r>
        <w:rPr>
          <w:rFonts w:ascii="Arial" w:cs="Arial" w:eastAsia="Arial" w:hAnsi="Arial"/>
          <w:sz w:val="19"/>
          <w:szCs w:val="19"/>
          <w:color w:val="auto"/>
        </w:rPr>
        <w:t>limitation the following powers: (a) to give any necessary receipts or acquittance for amounts collected or received hereunder,</w:t>
      </w:r>
    </w:p>
    <w:p>
      <w:pPr>
        <w:spacing w:after="0" w:line="56" w:lineRule="exact"/>
        <w:rPr>
          <w:sz w:val="20"/>
          <w:szCs w:val="20"/>
          <w:color w:val="auto"/>
        </w:rPr>
      </w:pPr>
    </w:p>
    <w:p>
      <w:pPr>
        <w:ind w:left="420" w:hanging="304"/>
        <w:spacing w:after="0"/>
        <w:tabs>
          <w:tab w:leader="none" w:pos="420" w:val="left"/>
        </w:tabs>
        <w:numPr>
          <w:ilvl w:val="0"/>
          <w:numId w:val="412"/>
        </w:numPr>
        <w:rPr>
          <w:rFonts w:ascii="Arial" w:cs="Arial" w:eastAsia="Arial" w:hAnsi="Arial"/>
          <w:sz w:val="19"/>
          <w:szCs w:val="19"/>
          <w:color w:val="auto"/>
        </w:rPr>
      </w:pPr>
      <w:r>
        <w:rPr>
          <w:rFonts w:ascii="Arial" w:cs="Arial" w:eastAsia="Arial" w:hAnsi="Arial"/>
          <w:sz w:val="19"/>
          <w:szCs w:val="19"/>
          <w:color w:val="auto"/>
        </w:rPr>
        <w:t>to make all necessary transfers of the Collateral in connection with any such sale or other disposition made pursuant hereto,</w:t>
      </w:r>
    </w:p>
    <w:p>
      <w:pPr>
        <w:spacing w:after="0" w:line="38" w:lineRule="exact"/>
        <w:rPr>
          <w:rFonts w:ascii="Arial" w:cs="Arial" w:eastAsia="Arial" w:hAnsi="Arial"/>
          <w:sz w:val="19"/>
          <w:szCs w:val="19"/>
          <w:color w:val="auto"/>
        </w:rPr>
      </w:pPr>
    </w:p>
    <w:p>
      <w:pPr>
        <w:jc w:val="both"/>
        <w:ind w:left="120" w:hanging="4"/>
        <w:spacing w:after="0" w:line="288" w:lineRule="auto"/>
        <w:tabs>
          <w:tab w:leader="none" w:pos="424" w:val="left"/>
        </w:tabs>
        <w:numPr>
          <w:ilvl w:val="0"/>
          <w:numId w:val="412"/>
        </w:numPr>
        <w:rPr>
          <w:rFonts w:ascii="Arial" w:cs="Arial" w:eastAsia="Arial" w:hAnsi="Arial"/>
          <w:sz w:val="19"/>
          <w:szCs w:val="19"/>
          <w:color w:val="auto"/>
        </w:rPr>
      </w:pPr>
      <w:r>
        <w:rPr>
          <w:rFonts w:ascii="Arial" w:cs="Arial" w:eastAsia="Arial" w:hAnsi="Arial"/>
          <w:sz w:val="19"/>
          <w:szCs w:val="19"/>
          <w:color w:val="auto"/>
        </w:rPr>
        <w:t>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and (d) to sign any agreements, orders or other documents in connection with or pursuant to any Transaction Document. Nevertheless, if so requested by the Deal Agent, the Servicer or any Successor Servicer, the Collateral Agent or a purchaser of the Collateral, the Borrower shall ratify and confirm any such sale or other disposition by executing and delivering to the Deal Agent, the Collateral Agent or such purchaser all proper bills of sale, assignments, releases and other instruments as may be designated in any such request.</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X TERMINATION EVENTS</w:t>
      </w:r>
    </w:p>
    <w:p>
      <w:pPr>
        <w:spacing w:after="0" w:line="247" w:lineRule="exact"/>
        <w:rPr>
          <w:sz w:val="20"/>
          <w:szCs w:val="20"/>
          <w:color w:val="auto"/>
        </w:rPr>
      </w:pPr>
    </w:p>
    <w:p>
      <w:pPr>
        <w:ind w:left="760"/>
        <w:spacing w:after="0"/>
        <w:tabs>
          <w:tab w:leader="none" w:pos="3900" w:val="left"/>
        </w:tabs>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Termination Events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following events shall be termination events (“</w:t>
      </w:r>
      <w:r>
        <w:rPr>
          <w:rFonts w:ascii="Arial" w:cs="Arial" w:eastAsia="Arial" w:hAnsi="Arial"/>
          <w:sz w:val="19"/>
          <w:szCs w:val="19"/>
          <w:u w:val="single" w:color="auto"/>
          <w:color w:val="auto"/>
        </w:rPr>
        <w:t>Termination Events</w:t>
      </w:r>
      <w:r>
        <w:rPr>
          <w:rFonts w:ascii="Arial" w:cs="Arial" w:eastAsia="Arial" w:hAnsi="Arial"/>
          <w:sz w:val="19"/>
          <w:szCs w:val="19"/>
          <w:color w:val="auto"/>
        </w:rPr>
        <w: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hereunder:</w:t>
      </w:r>
    </w:p>
    <w:p>
      <w:pPr>
        <w:spacing w:after="0" w:line="242" w:lineRule="exact"/>
        <w:rPr>
          <w:sz w:val="20"/>
          <w:szCs w:val="20"/>
          <w:color w:val="auto"/>
        </w:rPr>
      </w:pPr>
    </w:p>
    <w:p>
      <w:pPr>
        <w:ind w:left="120" w:right="60" w:firstLine="1940"/>
        <w:spacing w:after="0" w:line="263" w:lineRule="auto"/>
        <w:tabs>
          <w:tab w:leader="none" w:pos="2601" w:val="left"/>
        </w:tabs>
        <w:numPr>
          <w:ilvl w:val="1"/>
          <w:numId w:val="413"/>
        </w:numPr>
        <w:rPr>
          <w:rFonts w:ascii="Arial" w:cs="Arial" w:eastAsia="Arial" w:hAnsi="Arial"/>
          <w:sz w:val="22"/>
          <w:szCs w:val="22"/>
          <w:color w:val="auto"/>
        </w:rPr>
      </w:pPr>
      <w:r>
        <w:rPr>
          <w:rFonts w:ascii="Arial" w:cs="Arial" w:eastAsia="Arial" w:hAnsi="Arial"/>
          <w:sz w:val="22"/>
          <w:szCs w:val="22"/>
          <w:color w:val="auto"/>
        </w:rPr>
        <w:t>On any Determination Date, the average Payment Rate for the preceding three (3) Collection Periods with respect to which Payment Rate was calculated is less than 2.0%; or</w:t>
      </w:r>
    </w:p>
    <w:p>
      <w:pPr>
        <w:spacing w:after="0" w:line="282" w:lineRule="exact"/>
        <w:rPr>
          <w:rFonts w:ascii="Arial" w:cs="Arial" w:eastAsia="Arial" w:hAnsi="Arial"/>
          <w:sz w:val="22"/>
          <w:szCs w:val="22"/>
          <w:color w:val="auto"/>
        </w:rPr>
      </w:pPr>
    </w:p>
    <w:p>
      <w:pPr>
        <w:jc w:val="both"/>
        <w:ind w:left="120" w:right="60" w:firstLine="1940"/>
        <w:spacing w:after="0" w:line="253" w:lineRule="auto"/>
        <w:tabs>
          <w:tab w:leader="none" w:pos="2599" w:val="left"/>
        </w:tabs>
        <w:numPr>
          <w:ilvl w:val="1"/>
          <w:numId w:val="413"/>
        </w:numPr>
        <w:rPr>
          <w:rFonts w:ascii="Arial" w:cs="Arial" w:eastAsia="Arial" w:hAnsi="Arial"/>
          <w:sz w:val="22"/>
          <w:szCs w:val="22"/>
          <w:color w:val="auto"/>
        </w:rPr>
      </w:pPr>
      <w:r>
        <w:rPr>
          <w:rFonts w:ascii="Arial" w:cs="Arial" w:eastAsia="Arial" w:hAnsi="Arial"/>
          <w:sz w:val="22"/>
          <w:szCs w:val="22"/>
          <w:color w:val="auto"/>
        </w:rPr>
        <w:t>the aggregate amount of Capital exceeds, for a period of two (2) Business Days or more, the sum of (A) the Borrowing Base and (B) all Collections on deposit in the Collection Account relating to the immediately preceding Collection Period; or</w:t>
      </w:r>
    </w:p>
    <w:p>
      <w:pPr>
        <w:spacing w:after="0" w:line="225" w:lineRule="exact"/>
        <w:rPr>
          <w:rFonts w:ascii="Arial" w:cs="Arial" w:eastAsia="Arial" w:hAnsi="Arial"/>
          <w:sz w:val="22"/>
          <w:szCs w:val="22"/>
          <w:color w:val="auto"/>
        </w:rPr>
      </w:pPr>
    </w:p>
    <w:p>
      <w:pPr>
        <w:ind w:left="2700" w:hanging="640"/>
        <w:spacing w:after="0"/>
        <w:tabs>
          <w:tab w:leader="none" w:pos="2700" w:val="left"/>
        </w:tabs>
        <w:numPr>
          <w:ilvl w:val="1"/>
          <w:numId w:val="413"/>
        </w:numPr>
        <w:rPr>
          <w:rFonts w:ascii="Arial" w:cs="Arial" w:eastAsia="Arial" w:hAnsi="Arial"/>
          <w:sz w:val="22"/>
          <w:szCs w:val="22"/>
          <w:color w:val="auto"/>
        </w:rPr>
      </w:pPr>
      <w:r>
        <w:rPr>
          <w:rFonts w:ascii="Arial" w:cs="Arial" w:eastAsia="Arial" w:hAnsi="Arial"/>
          <w:sz w:val="22"/>
          <w:szCs w:val="22"/>
          <w:color w:val="auto"/>
        </w:rPr>
        <w:t>a Servicer Termination Event occurs and is continuing; or</w:t>
      </w:r>
    </w:p>
    <w:p>
      <w:pPr>
        <w:spacing w:after="0" w:line="246" w:lineRule="exact"/>
        <w:rPr>
          <w:rFonts w:ascii="Arial" w:cs="Arial" w:eastAsia="Arial" w:hAnsi="Arial"/>
          <w:sz w:val="22"/>
          <w:szCs w:val="22"/>
          <w:color w:val="auto"/>
        </w:rPr>
      </w:pPr>
    </w:p>
    <w:p>
      <w:pPr>
        <w:ind w:left="120" w:right="60" w:firstLine="1940"/>
        <w:spacing w:after="0" w:line="287" w:lineRule="auto"/>
        <w:tabs>
          <w:tab w:leader="none" w:pos="2599" w:val="left"/>
        </w:tabs>
        <w:numPr>
          <w:ilvl w:val="1"/>
          <w:numId w:val="413"/>
        </w:numPr>
        <w:rPr>
          <w:rFonts w:ascii="Arial" w:cs="Arial" w:eastAsia="Arial" w:hAnsi="Arial"/>
          <w:sz w:val="21"/>
          <w:szCs w:val="21"/>
          <w:color w:val="auto"/>
        </w:rPr>
      </w:pPr>
      <w:r>
        <w:rPr>
          <w:rFonts w:ascii="Arial" w:cs="Arial" w:eastAsia="Arial" w:hAnsi="Arial"/>
          <w:sz w:val="21"/>
          <w:szCs w:val="21"/>
          <w:color w:val="auto"/>
        </w:rPr>
        <w:t>(i) failure on the part of the Borrower or the Originator to make any payment or deposit required by the terms of any Transaction Document on the day such payment or deposit is required to be made; or</w:t>
      </w:r>
    </w:p>
    <w:p>
      <w:pPr>
        <w:spacing w:after="0" w:line="191" w:lineRule="exact"/>
        <w:rPr>
          <w:rFonts w:ascii="Arial" w:cs="Arial" w:eastAsia="Arial" w:hAnsi="Arial"/>
          <w:sz w:val="21"/>
          <w:szCs w:val="21"/>
          <w:color w:val="auto"/>
        </w:rPr>
      </w:pPr>
    </w:p>
    <w:p>
      <w:pPr>
        <w:jc w:val="both"/>
        <w:ind w:left="120" w:right="40" w:firstLine="1292"/>
        <w:spacing w:after="0" w:line="253" w:lineRule="auto"/>
        <w:tabs>
          <w:tab w:leader="none" w:pos="1950" w:val="left"/>
        </w:tabs>
        <w:numPr>
          <w:ilvl w:val="0"/>
          <w:numId w:val="414"/>
        </w:numPr>
        <w:rPr>
          <w:rFonts w:ascii="Arial" w:cs="Arial" w:eastAsia="Arial" w:hAnsi="Arial"/>
          <w:sz w:val="22"/>
          <w:szCs w:val="22"/>
          <w:color w:val="auto"/>
        </w:rPr>
      </w:pPr>
      <w:r>
        <w:rPr>
          <w:rFonts w:ascii="Arial" w:cs="Arial" w:eastAsia="Arial" w:hAnsi="Arial"/>
          <w:sz w:val="22"/>
          <w:szCs w:val="22"/>
          <w:color w:val="auto"/>
        </w:rPr>
        <w:t>failure on the part of the Borrower or the Originator to materially observe or perform any of its covenants or agreements set forth in this Agreement or any other Transaction Document and such failure continues unremedied for more than five (5) Business Days after written notice to the Borrower or the Originator;</w:t>
      </w:r>
    </w:p>
    <w:p>
      <w:pPr>
        <w:spacing w:after="0" w:line="212" w:lineRule="exact"/>
        <w:rPr>
          <w:rFonts w:ascii="Arial" w:cs="Arial" w:eastAsia="Arial" w:hAnsi="Arial"/>
          <w:sz w:val="22"/>
          <w:szCs w:val="22"/>
          <w:color w:val="auto"/>
        </w:rPr>
      </w:pPr>
    </w:p>
    <w:p>
      <w:pPr>
        <w:jc w:val="both"/>
        <w:ind w:left="120" w:firstLine="1940"/>
        <w:spacing w:after="0" w:line="246" w:lineRule="auto"/>
        <w:tabs>
          <w:tab w:leader="none" w:pos="2601" w:val="left"/>
        </w:tabs>
        <w:numPr>
          <w:ilvl w:val="1"/>
          <w:numId w:val="414"/>
        </w:numPr>
        <w:rPr>
          <w:rFonts w:ascii="Arial" w:cs="Arial" w:eastAsia="Arial" w:hAnsi="Arial"/>
          <w:sz w:val="22"/>
          <w:szCs w:val="22"/>
          <w:color w:val="auto"/>
        </w:rPr>
      </w:pPr>
      <w:r>
        <w:rPr>
          <w:rFonts w:ascii="Arial" w:cs="Arial" w:eastAsia="Arial" w:hAnsi="Arial"/>
          <w:sz w:val="22"/>
          <w:szCs w:val="22"/>
          <w:color w:val="auto"/>
        </w:rPr>
        <w:t>any representation or warranty made or deemed to be made by the Borrower or the Originator under or in connection with this Agreement, any of the other Transaction Documents or any information required to be given by the Borrower or the Originator to the Deal Agent or the Collateral Agent to identify Loans or Contracts pursuant to any Transaction Document, shall prove to have been false or incorrect in any material respect when made, deemed made or delivered and such failure continues unremedied for more than thirty (30) days after the earlier of (x) the date on which the Borrower or the Originator discovers such breach and (y) the date on which the Borrower or the Originator receives written notice of such breach; or</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99</w:t>
      </w:r>
    </w:p>
    <w:p>
      <w:pPr>
        <w:sectPr>
          <w:pgSz w:w="11900" w:h="16838" w:orient="portrait"/>
          <w:cols w:equalWidth="0" w:num="1">
            <w:col w:w="11140"/>
          </w:cols>
          <w:pgMar w:left="320" w:top="1428" w:right="439" w:bottom="1440" w:gutter="0" w:footer="0" w:header="0"/>
        </w:sectPr>
      </w:pPr>
    </w:p>
    <w:bookmarkStart w:id="367" w:name="page368"/>
    <w:bookmarkEnd w:id="367"/>
    <w:p>
      <w:pPr>
        <w:ind w:left="2600" w:hanging="540"/>
        <w:spacing w:after="0"/>
        <w:tabs>
          <w:tab w:leader="none" w:pos="2600" w:val="left"/>
        </w:tabs>
        <w:numPr>
          <w:ilvl w:val="0"/>
          <w:numId w:val="415"/>
        </w:numPr>
        <w:rPr>
          <w:rFonts w:ascii="Arial" w:cs="Arial" w:eastAsia="Arial" w:hAnsi="Arial"/>
          <w:sz w:val="19"/>
          <w:szCs w:val="19"/>
          <w:color w:val="auto"/>
        </w:rPr>
      </w:pPr>
      <w:r>
        <w:rPr>
          <w:rFonts w:ascii="Arial" w:cs="Arial" w:eastAsia="Arial" w:hAnsi="Arial"/>
          <w:sz w:val="19"/>
          <w:szCs w:val="19"/>
          <w:color w:val="auto"/>
        </w:rPr>
        <w:t>the occurrence of an Insolvency Event relating to the Originator, the Borrower or the Servicer; or</w:t>
      </w:r>
    </w:p>
    <w:p>
      <w:pPr>
        <w:spacing w:after="0" w:line="294" w:lineRule="exact"/>
        <w:rPr>
          <w:rFonts w:ascii="Arial" w:cs="Arial" w:eastAsia="Arial" w:hAnsi="Arial"/>
          <w:sz w:val="19"/>
          <w:szCs w:val="19"/>
          <w:color w:val="auto"/>
        </w:rPr>
      </w:pPr>
    </w:p>
    <w:p>
      <w:pPr>
        <w:jc w:val="both"/>
        <w:ind w:left="120" w:firstLine="1940"/>
        <w:spacing w:after="0" w:line="253" w:lineRule="auto"/>
        <w:tabs>
          <w:tab w:leader="none" w:pos="2599" w:val="left"/>
        </w:tabs>
        <w:numPr>
          <w:ilvl w:val="0"/>
          <w:numId w:val="415"/>
        </w:numPr>
        <w:rPr>
          <w:rFonts w:ascii="Arial" w:cs="Arial" w:eastAsia="Arial" w:hAnsi="Arial"/>
          <w:sz w:val="22"/>
          <w:szCs w:val="22"/>
          <w:color w:val="auto"/>
        </w:rPr>
      </w:pPr>
      <w:r>
        <w:rPr>
          <w:rFonts w:ascii="Arial" w:cs="Arial" w:eastAsia="Arial" w:hAnsi="Arial"/>
          <w:sz w:val="22"/>
          <w:szCs w:val="22"/>
          <w:color w:val="auto"/>
        </w:rPr>
        <w:t>the Borrower shall become an “investment company” within the meaning of the Investment Company Act or the arrangements contemplated by the Transaction Documents shall require registration as an “investment company” within the meaning of the Investment Company Act; or</w:t>
      </w:r>
    </w:p>
    <w:p>
      <w:pPr>
        <w:spacing w:after="0" w:line="212" w:lineRule="exact"/>
        <w:rPr>
          <w:rFonts w:ascii="Arial" w:cs="Arial" w:eastAsia="Arial" w:hAnsi="Arial"/>
          <w:sz w:val="22"/>
          <w:szCs w:val="22"/>
          <w:color w:val="auto"/>
        </w:rPr>
      </w:pPr>
    </w:p>
    <w:p>
      <w:pPr>
        <w:jc w:val="both"/>
        <w:ind w:left="120" w:firstLine="1940"/>
        <w:spacing w:after="0" w:line="265" w:lineRule="auto"/>
        <w:tabs>
          <w:tab w:leader="none" w:pos="2599" w:val="left"/>
        </w:tabs>
        <w:numPr>
          <w:ilvl w:val="0"/>
          <w:numId w:val="415"/>
        </w:numPr>
        <w:rPr>
          <w:rFonts w:ascii="Arial" w:cs="Arial" w:eastAsia="Arial" w:hAnsi="Arial"/>
          <w:sz w:val="21"/>
          <w:szCs w:val="21"/>
          <w:color w:val="auto"/>
        </w:rPr>
      </w:pPr>
      <w:r>
        <w:rPr>
          <w:rFonts w:ascii="Arial" w:cs="Arial" w:eastAsia="Arial" w:hAnsi="Arial"/>
          <w:sz w:val="21"/>
          <w:szCs w:val="21"/>
          <w:color w:val="auto"/>
        </w:rPr>
        <w:t>a regulatory, tax or accounting body has ordered that the activities of the Borrower or any Affiliate of the Borrower contemplated hereby be terminated or, as a result of any other event or circumstance, the activities of the Borrower contemplated hereby may reasonably be expected to cause the Borrower or any of its respective Affiliates to suffer materially adverse regulatory, accounting or tax consequences; or</w:t>
      </w:r>
    </w:p>
    <w:p>
      <w:pPr>
        <w:spacing w:after="0" w:line="215" w:lineRule="exact"/>
        <w:rPr>
          <w:rFonts w:ascii="Arial" w:cs="Arial" w:eastAsia="Arial" w:hAnsi="Arial"/>
          <w:sz w:val="21"/>
          <w:szCs w:val="21"/>
          <w:color w:val="auto"/>
        </w:rPr>
      </w:pPr>
    </w:p>
    <w:p>
      <w:pPr>
        <w:ind w:left="2580" w:hanging="520"/>
        <w:spacing w:after="0"/>
        <w:tabs>
          <w:tab w:leader="none" w:pos="2580" w:val="left"/>
        </w:tabs>
        <w:numPr>
          <w:ilvl w:val="0"/>
          <w:numId w:val="415"/>
        </w:numPr>
        <w:rPr>
          <w:rFonts w:ascii="Arial" w:cs="Arial" w:eastAsia="Arial" w:hAnsi="Arial"/>
          <w:sz w:val="19"/>
          <w:szCs w:val="19"/>
          <w:color w:val="auto"/>
        </w:rPr>
      </w:pPr>
      <w:r>
        <w:rPr>
          <w:rFonts w:ascii="Arial" w:cs="Arial" w:eastAsia="Arial" w:hAnsi="Arial"/>
          <w:sz w:val="19"/>
          <w:szCs w:val="19"/>
          <w:color w:val="auto"/>
        </w:rPr>
        <w:t>there shall exist any event or occurrence that has a reasonable possibility of causing a Material</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Adverse Effect; or</w:t>
      </w:r>
    </w:p>
    <w:p>
      <w:pPr>
        <w:spacing w:after="0" w:line="228" w:lineRule="exact"/>
        <w:rPr>
          <w:rFonts w:ascii="Arial" w:cs="Arial" w:eastAsia="Arial" w:hAnsi="Arial"/>
          <w:sz w:val="19"/>
          <w:szCs w:val="19"/>
          <w:color w:val="auto"/>
        </w:rPr>
      </w:pPr>
    </w:p>
    <w:p>
      <w:pPr>
        <w:jc w:val="both"/>
        <w:ind w:left="120" w:firstLine="1940"/>
        <w:spacing w:after="0" w:line="253" w:lineRule="auto"/>
        <w:tabs>
          <w:tab w:leader="none" w:pos="2592" w:val="left"/>
        </w:tabs>
        <w:numPr>
          <w:ilvl w:val="0"/>
          <w:numId w:val="415"/>
        </w:numPr>
        <w:rPr>
          <w:rFonts w:ascii="Arial" w:cs="Arial" w:eastAsia="Arial" w:hAnsi="Arial"/>
          <w:sz w:val="22"/>
          <w:szCs w:val="22"/>
          <w:color w:val="auto"/>
        </w:rPr>
      </w:pPr>
      <w:r>
        <w:rPr>
          <w:rFonts w:ascii="Arial" w:cs="Arial" w:eastAsia="Arial" w:hAnsi="Arial"/>
          <w:sz w:val="22"/>
          <w:szCs w:val="22"/>
          <w:color w:val="auto"/>
        </w:rPr>
        <w:t>the Borrower, the Servicer or Credit Acceptance shall enter into any merger, consolidation or conveyance transaction, unless in the case of Credit Acceptance or the Servicer, the Servicer or Credit Acceptance, as applicable, is the surviving entity; or</w:t>
      </w:r>
    </w:p>
    <w:p>
      <w:pPr>
        <w:spacing w:after="0" w:line="225" w:lineRule="exact"/>
        <w:rPr>
          <w:rFonts w:ascii="Arial" w:cs="Arial" w:eastAsia="Arial" w:hAnsi="Arial"/>
          <w:sz w:val="22"/>
          <w:szCs w:val="22"/>
          <w:color w:val="auto"/>
        </w:rPr>
      </w:pPr>
    </w:p>
    <w:p>
      <w:pPr>
        <w:jc w:val="both"/>
        <w:ind w:left="120" w:firstLine="1940"/>
        <w:spacing w:after="0" w:line="248" w:lineRule="auto"/>
        <w:tabs>
          <w:tab w:leader="none" w:pos="2599" w:val="left"/>
        </w:tabs>
        <w:numPr>
          <w:ilvl w:val="0"/>
          <w:numId w:val="415"/>
        </w:numPr>
        <w:rPr>
          <w:rFonts w:ascii="Arial" w:cs="Arial" w:eastAsia="Arial" w:hAnsi="Arial"/>
          <w:sz w:val="22"/>
          <w:szCs w:val="22"/>
          <w:color w:val="auto"/>
        </w:rPr>
      </w:pPr>
      <w:r>
        <w:rPr>
          <w:rFonts w:ascii="Arial" w:cs="Arial" w:eastAsia="Arial" w:hAnsi="Arial"/>
          <w:sz w:val="22"/>
          <w:szCs w:val="22"/>
          <w:color w:val="auto"/>
        </w:rPr>
        <w:t>the United States Internal Revenue Service shall file notice of a lien pursuant to Section 6323 of the Code with regard to any assets of the Borrower or the Originator and such lien shall not have been released within five (5) Business Days, or the Pension Benefit Guaranty Corporation shall file notice of a lien pursuant to Section 4068 of ERISA with regard to any of the assets of the Borrower or the Originator and such lien shall not have been released within five (5) Business Days; or</w:t>
      </w:r>
    </w:p>
    <w:p>
      <w:pPr>
        <w:spacing w:after="0" w:line="232" w:lineRule="exact"/>
        <w:rPr>
          <w:rFonts w:ascii="Arial" w:cs="Arial" w:eastAsia="Arial" w:hAnsi="Arial"/>
          <w:sz w:val="22"/>
          <w:szCs w:val="22"/>
          <w:color w:val="auto"/>
        </w:rPr>
      </w:pPr>
    </w:p>
    <w:p>
      <w:pPr>
        <w:jc w:val="both"/>
        <w:ind w:left="120" w:firstLine="1940"/>
        <w:spacing w:after="0" w:line="248" w:lineRule="auto"/>
        <w:tabs>
          <w:tab w:leader="none" w:pos="2593" w:val="left"/>
        </w:tabs>
        <w:numPr>
          <w:ilvl w:val="0"/>
          <w:numId w:val="415"/>
        </w:numPr>
        <w:rPr>
          <w:rFonts w:ascii="Arial" w:cs="Arial" w:eastAsia="Arial" w:hAnsi="Arial"/>
          <w:sz w:val="22"/>
          <w:szCs w:val="22"/>
          <w:color w:val="auto"/>
        </w:rPr>
      </w:pPr>
      <w:r>
        <w:rPr>
          <w:rFonts w:ascii="Arial" w:cs="Arial" w:eastAsia="Arial" w:hAnsi="Arial"/>
          <w:sz w:val="22"/>
          <w:szCs w:val="22"/>
          <w:color w:val="auto"/>
        </w:rPr>
        <w:t>the Collateral Agent ceases to have a valid and perfected first priority security interest in a material portion of the Collateral and such failure has not been remedied within ten (10) Business Days; provided that, the portion of the Collateral in which the Collateral Agent does not have a valid and perfected first priority security interest will be material if the outstanding balance of the related Contracts exceeds 3% of the Aggregate Outstanding Eligible Loan Balance of all Eligible Contracts; or</w:t>
      </w:r>
    </w:p>
    <w:p>
      <w:pPr>
        <w:spacing w:after="0" w:line="218" w:lineRule="exact"/>
        <w:rPr>
          <w:rFonts w:ascii="Arial" w:cs="Arial" w:eastAsia="Arial" w:hAnsi="Arial"/>
          <w:sz w:val="22"/>
          <w:szCs w:val="22"/>
          <w:color w:val="auto"/>
        </w:rPr>
      </w:pPr>
    </w:p>
    <w:p>
      <w:pPr>
        <w:ind w:left="2700" w:hanging="640"/>
        <w:spacing w:after="0"/>
        <w:tabs>
          <w:tab w:leader="none" w:pos="270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any Change-in-Control shall occur; or</w:t>
      </w:r>
    </w:p>
    <w:p>
      <w:pPr>
        <w:spacing w:after="0" w:line="260" w:lineRule="exact"/>
        <w:rPr>
          <w:rFonts w:ascii="Arial" w:cs="Arial" w:eastAsia="Arial" w:hAnsi="Arial"/>
          <w:sz w:val="22"/>
          <w:szCs w:val="22"/>
          <w:color w:val="auto"/>
        </w:rPr>
      </w:pPr>
    </w:p>
    <w:p>
      <w:pPr>
        <w:jc w:val="both"/>
        <w:ind w:left="120" w:firstLine="1940"/>
        <w:spacing w:after="0" w:line="247" w:lineRule="auto"/>
        <w:tabs>
          <w:tab w:leader="none" w:pos="2599" w:val="left"/>
        </w:tabs>
        <w:numPr>
          <w:ilvl w:val="0"/>
          <w:numId w:val="415"/>
        </w:numPr>
        <w:rPr>
          <w:rFonts w:ascii="Arial" w:cs="Arial" w:eastAsia="Arial" w:hAnsi="Arial"/>
          <w:sz w:val="22"/>
          <w:szCs w:val="22"/>
          <w:color w:val="auto"/>
        </w:rPr>
      </w:pPr>
      <w:r>
        <w:rPr>
          <w:rFonts w:ascii="Arial" w:cs="Arial" w:eastAsia="Arial" w:hAnsi="Arial"/>
          <w:sz w:val="22"/>
          <w:szCs w:val="22"/>
          <w:color w:val="auto"/>
        </w:rPr>
        <w:t>(i) any Transaction Document, or any lien or security interest granted thereunder, shall (except in accordance with its terms), in whole or in part, terminate, cease to be effective or cease to be the legally valid, binding and enforceable obligation of the Borrower, the Originator, or the Servicer, (ii) the Borrower, the Originator or the Servicer shall, directly or indirectly, contest in any manner such effectiveness, validity, binding nature or enforceability or (iii) any security interest securing any obligation under any Transaction Document shall, in whole or in part, cease to be a perfected first priority security interest; or</w:t>
      </w:r>
    </w:p>
    <w:p>
      <w:pPr>
        <w:spacing w:after="0" w:line="219" w:lineRule="exact"/>
        <w:rPr>
          <w:rFonts w:ascii="Arial" w:cs="Arial" w:eastAsia="Arial" w:hAnsi="Arial"/>
          <w:sz w:val="22"/>
          <w:szCs w:val="22"/>
          <w:color w:val="auto"/>
        </w:rPr>
      </w:pPr>
    </w:p>
    <w:p>
      <w:pPr>
        <w:jc w:val="both"/>
        <w:ind w:left="120" w:firstLine="1940"/>
        <w:spacing w:after="0" w:line="253" w:lineRule="auto"/>
        <w:tabs>
          <w:tab w:leader="none" w:pos="2599" w:val="left"/>
        </w:tabs>
        <w:numPr>
          <w:ilvl w:val="0"/>
          <w:numId w:val="415"/>
        </w:numPr>
        <w:rPr>
          <w:rFonts w:ascii="Arial" w:cs="Arial" w:eastAsia="Arial" w:hAnsi="Arial"/>
          <w:sz w:val="22"/>
          <w:szCs w:val="22"/>
          <w:color w:val="auto"/>
        </w:rPr>
      </w:pPr>
      <w:r>
        <w:rPr>
          <w:rFonts w:ascii="Arial" w:cs="Arial" w:eastAsia="Arial" w:hAnsi="Arial"/>
          <w:sz w:val="22"/>
          <w:szCs w:val="22"/>
          <w:color w:val="auto"/>
        </w:rPr>
        <w:t>Credit Acceptance shall fail to pay any principal of or premium or interest on any Material Debt, when the same becomes due and payable (whether by scheduled maturity, required prepayment, acceleration, demand or otherwise) and such failure shall</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140"/>
          </w:cols>
          <w:pgMar w:left="320" w:top="1428" w:right="439" w:bottom="1440" w:gutter="0" w:footer="0" w:header="0"/>
        </w:sectPr>
      </w:pPr>
    </w:p>
    <w:bookmarkStart w:id="368" w:name="page369"/>
    <w:bookmarkEnd w:id="368"/>
    <w:p>
      <w:pPr>
        <w:jc w:val="both"/>
        <w:ind w:left="120" w:right="40"/>
        <w:spacing w:after="0" w:line="247" w:lineRule="auto"/>
        <w:rPr>
          <w:sz w:val="20"/>
          <w:szCs w:val="20"/>
          <w:color w:val="auto"/>
        </w:rPr>
      </w:pPr>
      <w:r>
        <w:rPr>
          <w:rFonts w:ascii="Arial" w:cs="Arial" w:eastAsia="Arial" w:hAnsi="Arial"/>
          <w:sz w:val="22"/>
          <w:szCs w:val="22"/>
          <w:color w:val="auto"/>
        </w:rPr>
        <w:t>continue after the applicable grace period, if any, specified in the agreement or instrument relating to such Material Debt; or any other default under any agreement or instrument relating to any Material Debt or any other event, shall occur and shall continue after the applicable grace period, if any, specified in such agreement or instrument if the effect of such default or event is to accelerate, or to permit the acceleration of, the maturity of such Material Debt; or any such Material Debt shall be declared to be due and payable or required to be prepaid (other than by a regularly scheduled required prepayment) prior to the stated maturity thereof; or</w:t>
      </w:r>
    </w:p>
    <w:p>
      <w:pPr>
        <w:spacing w:after="0" w:line="233" w:lineRule="exact"/>
        <w:rPr>
          <w:sz w:val="20"/>
          <w:szCs w:val="20"/>
          <w:color w:val="auto"/>
        </w:rPr>
      </w:pPr>
    </w:p>
    <w:p>
      <w:pPr>
        <w:ind w:left="2600" w:hanging="540"/>
        <w:spacing w:after="0"/>
        <w:tabs>
          <w:tab w:leader="none" w:pos="2600" w:val="left"/>
        </w:tabs>
        <w:numPr>
          <w:ilvl w:val="0"/>
          <w:numId w:val="416"/>
        </w:numPr>
        <w:rPr>
          <w:rFonts w:ascii="Arial" w:cs="Arial" w:eastAsia="Arial" w:hAnsi="Arial"/>
          <w:sz w:val="19"/>
          <w:szCs w:val="19"/>
          <w:color w:val="auto"/>
        </w:rPr>
      </w:pPr>
      <w:r>
        <w:rPr>
          <w:rFonts w:ascii="Arial" w:cs="Arial" w:eastAsia="Arial" w:hAnsi="Arial"/>
          <w:sz w:val="19"/>
          <w:szCs w:val="19"/>
          <w:color w:val="auto"/>
        </w:rPr>
        <w:t>Collections are less than 70.0% of Forecasted Collections for any three consecutive Collection</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Periods.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Remedies</w:t>
      </w:r>
      <w:r>
        <w:rPr>
          <w:rFonts w:ascii="Arial" w:cs="Arial" w:eastAsia="Arial" w:hAnsi="Arial"/>
          <w:sz w:val="22"/>
          <w:szCs w:val="22"/>
          <w:color w:val="auto"/>
        </w:rPr>
        <w:t>.</w:t>
      </w:r>
    </w:p>
    <w:p>
      <w:pPr>
        <w:spacing w:after="0" w:line="260" w:lineRule="exact"/>
        <w:rPr>
          <w:sz w:val="20"/>
          <w:szCs w:val="20"/>
          <w:color w:val="auto"/>
        </w:rPr>
      </w:pPr>
    </w:p>
    <w:p>
      <w:pPr>
        <w:jc w:val="both"/>
        <w:ind w:left="120" w:right="40" w:firstLine="1940"/>
        <w:spacing w:after="0" w:line="253" w:lineRule="auto"/>
        <w:tabs>
          <w:tab w:leader="none" w:pos="2601" w:val="left"/>
        </w:tabs>
        <w:numPr>
          <w:ilvl w:val="1"/>
          <w:numId w:val="417"/>
        </w:numPr>
        <w:rPr>
          <w:rFonts w:ascii="Arial" w:cs="Arial" w:eastAsia="Arial" w:hAnsi="Arial"/>
          <w:sz w:val="22"/>
          <w:szCs w:val="22"/>
          <w:color w:val="auto"/>
        </w:rPr>
      </w:pPr>
      <w:r>
        <w:rPr>
          <w:rFonts w:ascii="Arial" w:cs="Arial" w:eastAsia="Arial" w:hAnsi="Arial"/>
          <w:sz w:val="22"/>
          <w:szCs w:val="22"/>
          <w:color w:val="auto"/>
        </w:rPr>
        <w:t xml:space="preserve">Upon the occurrence of a Termination Event (other than a Termination Event described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10.1(f)</w:t>
      </w:r>
      <w:r>
        <w:rPr>
          <w:rFonts w:ascii="Arial" w:cs="Arial" w:eastAsia="Arial" w:hAnsi="Arial"/>
          <w:sz w:val="22"/>
          <w:szCs w:val="22"/>
          <w:color w:val="auto"/>
        </w:rPr>
        <w:t>, the Deal Agent may, or at the direction of the Required Lenders shall, by notice to the Borrower declare the Termination Date to have occurred.</w:t>
      </w:r>
    </w:p>
    <w:p>
      <w:pPr>
        <w:spacing w:after="0" w:line="293" w:lineRule="exact"/>
        <w:rPr>
          <w:rFonts w:ascii="Arial" w:cs="Arial" w:eastAsia="Arial" w:hAnsi="Arial"/>
          <w:sz w:val="22"/>
          <w:szCs w:val="22"/>
          <w:color w:val="auto"/>
        </w:rPr>
      </w:pPr>
    </w:p>
    <w:p>
      <w:pPr>
        <w:ind w:left="2600" w:hanging="540"/>
        <w:spacing w:after="0"/>
        <w:tabs>
          <w:tab w:leader="none" w:pos="2600" w:val="left"/>
        </w:tabs>
        <w:numPr>
          <w:ilvl w:val="1"/>
          <w:numId w:val="417"/>
        </w:numPr>
        <w:rPr>
          <w:rFonts w:ascii="Arial" w:cs="Arial" w:eastAsia="Arial" w:hAnsi="Arial"/>
          <w:sz w:val="19"/>
          <w:szCs w:val="19"/>
          <w:color w:val="auto"/>
        </w:rPr>
      </w:pPr>
      <w:r>
        <w:rPr>
          <w:rFonts w:ascii="Arial" w:cs="Arial" w:eastAsia="Arial" w:hAnsi="Arial"/>
          <w:sz w:val="19"/>
          <w:szCs w:val="19"/>
          <w:color w:val="auto"/>
        </w:rPr>
        <w:t xml:space="preserve">Upon the occurrence of a Termination Event described in </w:t>
      </w:r>
      <w:r>
        <w:rPr>
          <w:rFonts w:ascii="Arial" w:cs="Arial" w:eastAsia="Arial" w:hAnsi="Arial"/>
          <w:sz w:val="19"/>
          <w:szCs w:val="19"/>
          <w:u w:val="single" w:color="auto"/>
          <w:color w:val="auto"/>
        </w:rPr>
        <w:t>Section 10.1(f)</w:t>
      </w:r>
      <w:r>
        <w:rPr>
          <w:rFonts w:ascii="Arial" w:cs="Arial" w:eastAsia="Arial" w:hAnsi="Arial"/>
          <w:sz w:val="19"/>
          <w:szCs w:val="19"/>
          <w:color w:val="auto"/>
        </w:rPr>
        <w:t>, the Termination Date</w:t>
      </w:r>
    </w:p>
    <w:p>
      <w:pPr>
        <w:spacing w:after="0" w:line="55" w:lineRule="exact"/>
        <w:rPr>
          <w:rFonts w:ascii="Arial" w:cs="Arial" w:eastAsia="Arial" w:hAnsi="Arial"/>
          <w:sz w:val="19"/>
          <w:szCs w:val="19"/>
          <w:color w:val="auto"/>
        </w:rPr>
      </w:pPr>
    </w:p>
    <w:p>
      <w:pPr>
        <w:ind w:left="120"/>
        <w:spacing w:after="0"/>
        <w:rPr>
          <w:rFonts w:ascii="Arial" w:cs="Arial" w:eastAsia="Arial" w:hAnsi="Arial"/>
          <w:sz w:val="19"/>
          <w:szCs w:val="19"/>
          <w:color w:val="auto"/>
        </w:rPr>
      </w:pPr>
      <w:r>
        <w:rPr>
          <w:rFonts w:ascii="Arial" w:cs="Arial" w:eastAsia="Arial" w:hAnsi="Arial"/>
          <w:sz w:val="22"/>
          <w:szCs w:val="22"/>
          <w:color w:val="auto"/>
        </w:rPr>
        <w:t>shall automatically occur.</w:t>
      </w:r>
    </w:p>
    <w:p>
      <w:pPr>
        <w:spacing w:after="0" w:line="242" w:lineRule="exact"/>
        <w:rPr>
          <w:rFonts w:ascii="Arial" w:cs="Arial" w:eastAsia="Arial" w:hAnsi="Arial"/>
          <w:sz w:val="19"/>
          <w:szCs w:val="19"/>
          <w:color w:val="auto"/>
        </w:rPr>
      </w:pPr>
    </w:p>
    <w:p>
      <w:pPr>
        <w:jc w:val="both"/>
        <w:ind w:left="120" w:right="20" w:firstLine="1940"/>
        <w:spacing w:after="0" w:line="249" w:lineRule="auto"/>
        <w:tabs>
          <w:tab w:leader="none" w:pos="2601" w:val="left"/>
        </w:tabs>
        <w:numPr>
          <w:ilvl w:val="1"/>
          <w:numId w:val="417"/>
        </w:numPr>
        <w:rPr>
          <w:rFonts w:ascii="Arial" w:cs="Arial" w:eastAsia="Arial" w:hAnsi="Arial"/>
          <w:sz w:val="22"/>
          <w:szCs w:val="22"/>
          <w:color w:val="auto"/>
        </w:rPr>
      </w:pPr>
      <w:r>
        <w:rPr>
          <w:rFonts w:ascii="Arial" w:cs="Arial" w:eastAsia="Arial" w:hAnsi="Arial"/>
          <w:sz w:val="22"/>
          <w:szCs w:val="22"/>
          <w:color w:val="auto"/>
        </w:rPr>
        <w:t xml:space="preserve">Upon any Termination Date that occurs following a Termination Event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10.2</w:t>
      </w:r>
      <w:r>
        <w:rPr>
          <w:rFonts w:ascii="Arial" w:cs="Arial" w:eastAsia="Arial" w:hAnsi="Arial"/>
          <w:sz w:val="22"/>
          <w:szCs w:val="22"/>
          <w:color w:val="auto"/>
        </w:rPr>
        <w:t>: (i) the applicable Yield Rate on the Capital outstanding with respect to each Lender shall be equal to the rate set forth in the Fee Letter related to such Lender;</w:t>
      </w:r>
    </w:p>
    <w:p>
      <w:pPr>
        <w:jc w:val="both"/>
        <w:ind w:left="120" w:hanging="5"/>
        <w:spacing w:after="0" w:line="244" w:lineRule="auto"/>
        <w:tabs>
          <w:tab w:leader="none" w:pos="469" w:val="left"/>
        </w:tabs>
        <w:numPr>
          <w:ilvl w:val="0"/>
          <w:numId w:val="418"/>
        </w:numPr>
        <w:rPr>
          <w:rFonts w:ascii="Arial" w:cs="Arial" w:eastAsia="Arial" w:hAnsi="Arial"/>
          <w:sz w:val="22"/>
          <w:szCs w:val="22"/>
          <w:color w:val="auto"/>
        </w:rPr>
      </w:pPr>
      <w:r>
        <w:rPr>
          <w:rFonts w:ascii="Arial" w:cs="Arial" w:eastAsia="Arial" w:hAnsi="Arial"/>
          <w:sz w:val="22"/>
          <w:szCs w:val="22"/>
          <w:color w:val="auto"/>
        </w:rPr>
        <w:t>the Deal Agent may, and shall at the direction of the Required Lenders by delivery of a Servicer Termination Notice, terminate the Servicer; and (iii) the Deal Agent may, and at the direction of the Required Lenders shall, declare the entire outstanding principal amount of the Notes be immediately due and payable. The Deal Agent, the Collateral Agent and the Secured Parties shall have, in addition to all other rights and remedies under this Agreement or otherwise, all other rights and remedies provided of a secured party under the UCC of each applicable jurisdiction and other applicable laws, which rights shall be cumulative.</w:t>
      </w:r>
    </w:p>
    <w:p>
      <w:pPr>
        <w:spacing w:after="0" w:line="220" w:lineRule="exact"/>
        <w:rPr>
          <w:rFonts w:ascii="Arial" w:cs="Arial" w:eastAsia="Arial" w:hAnsi="Arial"/>
          <w:sz w:val="22"/>
          <w:szCs w:val="22"/>
          <w:color w:val="auto"/>
        </w:rPr>
      </w:pPr>
    </w:p>
    <w:p>
      <w:pPr>
        <w:jc w:val="both"/>
        <w:ind w:left="120" w:right="40" w:firstLine="1940"/>
        <w:spacing w:after="0" w:line="250" w:lineRule="auto"/>
        <w:tabs>
          <w:tab w:leader="none" w:pos="2599" w:val="left"/>
        </w:tabs>
        <w:numPr>
          <w:ilvl w:val="1"/>
          <w:numId w:val="418"/>
        </w:numPr>
        <w:rPr>
          <w:rFonts w:ascii="Arial" w:cs="Arial" w:eastAsia="Arial" w:hAnsi="Arial"/>
          <w:sz w:val="22"/>
          <w:szCs w:val="22"/>
          <w:color w:val="auto"/>
        </w:rPr>
      </w:pPr>
      <w:r>
        <w:rPr>
          <w:rFonts w:ascii="Arial" w:cs="Arial" w:eastAsia="Arial" w:hAnsi="Arial"/>
          <w:sz w:val="22"/>
          <w:szCs w:val="22"/>
          <w:color w:val="auto"/>
        </w:rPr>
        <w:t>If the Notes have been declared due and payable pursuant to Section 10.2(c), the Collateral Agent may institute proceedings to collect amounts due, exercise remedies as a secured party (including foreclosure or sale of the Collateral) or elect to maintain the Collateral and continue to apply the proceeds from the Collateral as if there had been no declaration of acceleration.</w:t>
      </w:r>
    </w:p>
    <w:p>
      <w:pPr>
        <w:spacing w:after="0" w:line="228" w:lineRule="exact"/>
        <w:rPr>
          <w:rFonts w:ascii="Arial" w:cs="Arial" w:eastAsia="Arial" w:hAnsi="Arial"/>
          <w:sz w:val="22"/>
          <w:szCs w:val="22"/>
          <w:color w:val="auto"/>
        </w:rPr>
      </w:pPr>
    </w:p>
    <w:p>
      <w:pPr>
        <w:ind w:left="120" w:right="60" w:firstLine="1940"/>
        <w:spacing w:after="0" w:line="263" w:lineRule="auto"/>
        <w:tabs>
          <w:tab w:leader="none" w:pos="2601" w:val="left"/>
        </w:tabs>
        <w:numPr>
          <w:ilvl w:val="1"/>
          <w:numId w:val="418"/>
        </w:numPr>
        <w:rPr>
          <w:rFonts w:ascii="Arial" w:cs="Arial" w:eastAsia="Arial" w:hAnsi="Arial"/>
          <w:sz w:val="22"/>
          <w:szCs w:val="22"/>
          <w:color w:val="auto"/>
        </w:rPr>
      </w:pPr>
      <w:r>
        <w:rPr>
          <w:rFonts w:ascii="Arial" w:cs="Arial" w:eastAsia="Arial" w:hAnsi="Arial"/>
          <w:sz w:val="22"/>
          <w:szCs w:val="22"/>
          <w:color w:val="auto"/>
        </w:rPr>
        <w:t>Upon the occurrence of an Amortization Event or the occurrence or declaration of the Termination Date, the Borrower may not request and no Lender shall be required to effect any Funding.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101</w:t>
      </w:r>
    </w:p>
    <w:p>
      <w:pPr>
        <w:sectPr>
          <w:pgSz w:w="11900" w:h="16838" w:orient="portrait"/>
          <w:cols w:equalWidth="0" w:num="1">
            <w:col w:w="11140"/>
          </w:cols>
          <w:pgMar w:left="320" w:top="1428" w:right="439" w:bottom="1440" w:gutter="0" w:footer="0" w:header="0"/>
        </w:sectPr>
      </w:pPr>
    </w:p>
    <w:bookmarkStart w:id="369" w:name="page370"/>
    <w:bookmarkEnd w:id="369"/>
    <w:p>
      <w:pPr>
        <w:ind w:left="4040"/>
        <w:spacing w:after="0"/>
        <w:rPr>
          <w:sz w:val="20"/>
          <w:szCs w:val="20"/>
          <w:color w:val="auto"/>
        </w:rPr>
      </w:pPr>
      <w:r>
        <w:rPr>
          <w:rFonts w:ascii="Arial" w:cs="Arial" w:eastAsia="Arial" w:hAnsi="Arial"/>
          <w:sz w:val="22"/>
          <w:szCs w:val="22"/>
          <w:color w:val="auto"/>
        </w:rPr>
        <w:t>ARTICLE XI INDEMNIFICATION</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u w:val="single" w:color="auto"/>
          <w:color w:val="auto"/>
        </w:rPr>
        <w:t>Indemnities by the Borrower</w:t>
      </w:r>
      <w:r>
        <w:rPr>
          <w:rFonts w:ascii="Arial" w:cs="Arial" w:eastAsia="Arial" w:hAnsi="Arial"/>
          <w:sz w:val="22"/>
          <w:szCs w:val="22"/>
          <w:color w:val="auto"/>
        </w:rPr>
        <w:t>.</w:t>
      </w:r>
    </w:p>
    <w:p>
      <w:pPr>
        <w:spacing w:after="0" w:line="247" w:lineRule="exact"/>
        <w:rPr>
          <w:sz w:val="20"/>
          <w:szCs w:val="20"/>
          <w:color w:val="auto"/>
        </w:rPr>
      </w:pPr>
    </w:p>
    <w:p>
      <w:pPr>
        <w:jc w:val="both"/>
        <w:ind w:left="120" w:firstLine="1940"/>
        <w:spacing w:after="0" w:line="285" w:lineRule="auto"/>
        <w:tabs>
          <w:tab w:leader="none" w:pos="2601" w:val="left"/>
        </w:tabs>
        <w:numPr>
          <w:ilvl w:val="0"/>
          <w:numId w:val="419"/>
        </w:numPr>
        <w:rPr>
          <w:rFonts w:ascii="Arial" w:cs="Arial" w:eastAsia="Arial" w:hAnsi="Arial"/>
          <w:sz w:val="19"/>
          <w:szCs w:val="19"/>
          <w:color w:val="auto"/>
        </w:rPr>
      </w:pPr>
      <w:r>
        <w:rPr>
          <w:rFonts w:ascii="Arial" w:cs="Arial" w:eastAsia="Arial" w:hAnsi="Arial"/>
          <w:sz w:val="19"/>
          <w:szCs w:val="19"/>
          <w:color w:val="auto"/>
        </w:rPr>
        <w:t>Without limiting any other rights that any such Person may have hereunder or under Applicable Law, the Borrower hereby agrees to indemnify the Deal Agent, the Backup Servicer, the Collateral Agent, the Successor Servicer, the Secured Parties, and each of their respective Affiliates and officers, directors, employees and agents thereof (collectively, the “</w:t>
      </w:r>
      <w:r>
        <w:rPr>
          <w:rFonts w:ascii="Arial" w:cs="Arial" w:eastAsia="Arial" w:hAnsi="Arial"/>
          <w:sz w:val="19"/>
          <w:szCs w:val="19"/>
          <w:u w:val="single" w:color="auto"/>
          <w:color w:val="auto"/>
        </w:rPr>
        <w:t>Indemnified Parties</w:t>
      </w:r>
      <w:r>
        <w:rPr>
          <w:rFonts w:ascii="Arial" w:cs="Arial" w:eastAsia="Arial" w:hAnsi="Arial"/>
          <w:sz w:val="19"/>
          <w:szCs w:val="19"/>
          <w:color w:val="auto"/>
        </w:rPr>
        <w:t>”), forthwith on demand, from and against any and all damages, losses, claims, liabilities and related costs and expenses, including reasonable and documented attorneys’ fees and disbursements (all of the foregoing being collectively referred to as the “</w:t>
      </w:r>
      <w:r>
        <w:rPr>
          <w:rFonts w:ascii="Arial" w:cs="Arial" w:eastAsia="Arial" w:hAnsi="Arial"/>
          <w:sz w:val="19"/>
          <w:szCs w:val="19"/>
          <w:u w:val="single" w:color="auto"/>
          <w:color w:val="auto"/>
        </w:rPr>
        <w:t>Indemnified Amounts</w:t>
      </w:r>
      <w:r>
        <w:rPr>
          <w:rFonts w:ascii="Arial" w:cs="Arial" w:eastAsia="Arial" w:hAnsi="Arial"/>
          <w:sz w:val="19"/>
          <w:szCs w:val="19"/>
          <w:color w:val="auto"/>
        </w:rPr>
        <w:t xml:space="preserve">”) awarded against or incurred by such Indemnified Party or other non- monetary damages of any such Indemnified Party any of them arising out of or as a result of this Agreement or the financing or maintenance of the Capital or in respect of any Loan or any Contract (including any reasonable and documented legal fees and expenses incurred in connection with any action or suit brought by an Indemnified Party to enforce any indemnification or other obligation of the Borrower by such Indemnified Party for any indemnification or other obligation of the Borrower), </w:t>
      </w:r>
      <w:r>
        <w:rPr>
          <w:rFonts w:ascii="Arial" w:cs="Arial" w:eastAsia="Arial" w:hAnsi="Arial"/>
          <w:sz w:val="19"/>
          <w:szCs w:val="19"/>
          <w:u w:val="single" w:color="auto"/>
          <w:color w:val="auto"/>
        </w:rPr>
        <w:t>excluding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(a) Indemnified Amounts to the extent resulting from gross negligence or willful misconduct on the part of such Indemnified Party or (b) Indemnified Amounts that have the effect of recourse for non-payment of the Loans due to credit problems of the Obligors (except as otherwise specifically provided in this Agreement). If the Borrower has made any indemnity payment pursuant to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such payment fully indemnified the recipient thereof and the recipient thereafter collects any payments from others in respect of such Indemnified Amounts, then the recipient shall repay to the Borrower an amount equal to the amount it has collected from others in respect of such indemnified amounts. Without limiting the foregoing, the Borrower shall indemnify each Indemnified Party for Indemnified Amounts relating to or resulting from:</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ind w:left="120" w:right="60" w:firstLine="2384"/>
        <w:spacing w:after="0" w:line="343" w:lineRule="auto"/>
        <w:tabs>
          <w:tab w:leader="none" w:pos="3252" w:val="left"/>
        </w:tabs>
        <w:numPr>
          <w:ilvl w:val="1"/>
          <w:numId w:val="419"/>
        </w:numPr>
        <w:rPr>
          <w:rFonts w:ascii="Arial" w:cs="Arial" w:eastAsia="Arial" w:hAnsi="Arial"/>
          <w:sz w:val="19"/>
          <w:szCs w:val="19"/>
          <w:color w:val="auto"/>
        </w:rPr>
      </w:pPr>
      <w:r>
        <w:rPr>
          <w:rFonts w:ascii="Arial" w:cs="Arial" w:eastAsia="Arial" w:hAnsi="Arial"/>
          <w:sz w:val="19"/>
          <w:szCs w:val="19"/>
          <w:color w:val="auto"/>
        </w:rPr>
        <w:t>any Contract or Loan treated as or represented by Credit Acceptance to be an Eligible Dealer Loan Contract or Eligible Loan that is not at the applicable time an Eligible Dealer Loan Contract or Eligible Loan;</w:t>
      </w:r>
    </w:p>
    <w:p>
      <w:pPr>
        <w:spacing w:after="0" w:line="131" w:lineRule="exact"/>
        <w:rPr>
          <w:rFonts w:ascii="Arial" w:cs="Arial" w:eastAsia="Arial" w:hAnsi="Arial"/>
          <w:sz w:val="19"/>
          <w:szCs w:val="19"/>
          <w:color w:val="auto"/>
        </w:rPr>
      </w:pPr>
    </w:p>
    <w:p>
      <w:pPr>
        <w:jc w:val="both"/>
        <w:ind w:left="120" w:right="40" w:firstLine="2324"/>
        <w:spacing w:after="0" w:line="253" w:lineRule="auto"/>
        <w:tabs>
          <w:tab w:leader="none" w:pos="3252" w:val="left"/>
        </w:tabs>
        <w:numPr>
          <w:ilvl w:val="1"/>
          <w:numId w:val="419"/>
        </w:numPr>
        <w:rPr>
          <w:rFonts w:ascii="Arial" w:cs="Arial" w:eastAsia="Arial" w:hAnsi="Arial"/>
          <w:sz w:val="22"/>
          <w:szCs w:val="22"/>
          <w:color w:val="auto"/>
        </w:rPr>
      </w:pPr>
      <w:r>
        <w:rPr>
          <w:rFonts w:ascii="Arial" w:cs="Arial" w:eastAsia="Arial" w:hAnsi="Arial"/>
          <w:sz w:val="22"/>
          <w:szCs w:val="22"/>
          <w:color w:val="auto"/>
        </w:rPr>
        <w:t>reliance on any representation or warranty made or deemed made by the Borrower or any of its officers under or in connection with this Agreement, which shall have been false or incorrect in any material respect when made or deemed made or delivered;</w:t>
      </w:r>
    </w:p>
    <w:p>
      <w:pPr>
        <w:spacing w:after="0" w:line="293" w:lineRule="exact"/>
        <w:rPr>
          <w:rFonts w:ascii="Arial" w:cs="Arial" w:eastAsia="Arial" w:hAnsi="Arial"/>
          <w:sz w:val="22"/>
          <w:szCs w:val="22"/>
          <w:color w:val="auto"/>
        </w:rPr>
      </w:pPr>
    </w:p>
    <w:p>
      <w:pPr>
        <w:jc w:val="both"/>
        <w:ind w:left="120" w:right="40" w:firstLine="2264"/>
        <w:spacing w:after="0" w:line="250" w:lineRule="auto"/>
        <w:tabs>
          <w:tab w:leader="none" w:pos="3253" w:val="left"/>
        </w:tabs>
        <w:numPr>
          <w:ilvl w:val="1"/>
          <w:numId w:val="419"/>
        </w:numPr>
        <w:rPr>
          <w:rFonts w:ascii="Arial" w:cs="Arial" w:eastAsia="Arial" w:hAnsi="Arial"/>
          <w:sz w:val="22"/>
          <w:szCs w:val="22"/>
          <w:color w:val="auto"/>
        </w:rPr>
      </w:pPr>
      <w:r>
        <w:rPr>
          <w:rFonts w:ascii="Arial" w:cs="Arial" w:eastAsia="Arial" w:hAnsi="Arial"/>
          <w:sz w:val="22"/>
          <w:szCs w:val="22"/>
          <w:color w:val="auto"/>
        </w:rPr>
        <w:t>the failure by the Borrower to comply with any term, provision or covenant contained in this Agreement or any agreement executed in connection with this Agreement, or with any Applicable Law, with respect to any Loan, Dealer Agreement, Purchase Agreement, or Contract, or the nonconformity of any Loan, Dealer Agreement, Purchase Agreement or Contract with any such Applicable Law;</w:t>
      </w:r>
    </w:p>
    <w:p>
      <w:pPr>
        <w:spacing w:after="0" w:line="228" w:lineRule="exact"/>
        <w:rPr>
          <w:rFonts w:ascii="Arial" w:cs="Arial" w:eastAsia="Arial" w:hAnsi="Arial"/>
          <w:sz w:val="22"/>
          <w:szCs w:val="22"/>
          <w:color w:val="auto"/>
        </w:rPr>
      </w:pPr>
    </w:p>
    <w:p>
      <w:pPr>
        <w:ind w:left="120" w:right="40" w:firstLine="2276"/>
        <w:spacing w:after="0" w:line="263" w:lineRule="auto"/>
        <w:tabs>
          <w:tab w:leader="none" w:pos="3252" w:val="left"/>
        </w:tabs>
        <w:numPr>
          <w:ilvl w:val="1"/>
          <w:numId w:val="419"/>
        </w:numPr>
        <w:rPr>
          <w:rFonts w:ascii="Arial" w:cs="Arial" w:eastAsia="Arial" w:hAnsi="Arial"/>
          <w:sz w:val="22"/>
          <w:szCs w:val="22"/>
          <w:color w:val="auto"/>
        </w:rPr>
      </w:pPr>
      <w:r>
        <w:rPr>
          <w:rFonts w:ascii="Arial" w:cs="Arial" w:eastAsia="Arial" w:hAnsi="Arial"/>
          <w:sz w:val="22"/>
          <w:szCs w:val="22"/>
          <w:color w:val="auto"/>
        </w:rPr>
        <w:t>the failure to vest and maintain vested in the Collateral Agent for the Secured Parties a first priority perfected security interest in the Collateral, together</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102</w:t>
      </w:r>
    </w:p>
    <w:p>
      <w:pPr>
        <w:sectPr>
          <w:pgSz w:w="11900" w:h="16838" w:orient="portrait"/>
          <w:cols w:equalWidth="0" w:num="1">
            <w:col w:w="11140"/>
          </w:cols>
          <w:pgMar w:left="320" w:top="1428" w:right="439" w:bottom="1440" w:gutter="0" w:footer="0" w:header="0"/>
        </w:sectPr>
      </w:pPr>
    </w:p>
    <w:bookmarkStart w:id="370" w:name="page371"/>
    <w:bookmarkEnd w:id="370"/>
    <w:p>
      <w:pPr>
        <w:ind w:left="120"/>
        <w:spacing w:after="0"/>
        <w:rPr>
          <w:sz w:val="20"/>
          <w:szCs w:val="20"/>
          <w:color w:val="auto"/>
        </w:rPr>
      </w:pPr>
      <w:r>
        <w:rPr>
          <w:rFonts w:ascii="Arial" w:cs="Arial" w:eastAsia="Arial" w:hAnsi="Arial"/>
          <w:sz w:val="21"/>
          <w:szCs w:val="21"/>
          <w:color w:val="auto"/>
        </w:rPr>
        <w:t>with all Collections, free and clear of any Lien whether existing at the time of any Funding or at any time thereafter;</w:t>
      </w:r>
    </w:p>
    <w:p>
      <w:pPr>
        <w:spacing w:after="0" w:line="339" w:lineRule="exact"/>
        <w:rPr>
          <w:sz w:val="20"/>
          <w:szCs w:val="20"/>
          <w:color w:val="auto"/>
        </w:rPr>
      </w:pPr>
    </w:p>
    <w:p>
      <w:pPr>
        <w:jc w:val="both"/>
        <w:ind w:left="120" w:right="20" w:firstLine="2588"/>
        <w:spacing w:after="0" w:line="253" w:lineRule="auto"/>
        <w:tabs>
          <w:tab w:leader="none" w:pos="3241" w:val="left"/>
        </w:tabs>
        <w:numPr>
          <w:ilvl w:val="0"/>
          <w:numId w:val="420"/>
        </w:numPr>
        <w:rPr>
          <w:rFonts w:ascii="Arial" w:cs="Arial" w:eastAsia="Arial" w:hAnsi="Arial"/>
          <w:sz w:val="22"/>
          <w:szCs w:val="22"/>
          <w:color w:val="auto"/>
        </w:rPr>
      </w:pPr>
      <w:r>
        <w:rPr>
          <w:rFonts w:ascii="Arial" w:cs="Arial" w:eastAsia="Arial" w:hAnsi="Arial"/>
          <w:sz w:val="22"/>
          <w:szCs w:val="22"/>
          <w:color w:val="auto"/>
        </w:rPr>
        <w:t>the failure to file, or any delay in filing, financing statements or other similar instruments or documents under the UCC of any applicable jurisdiction or other Applicable Laws with respect to the Collateral, whether at the time of the Funding or at any subsequent time;</w:t>
      </w:r>
    </w:p>
    <w:p>
      <w:pPr>
        <w:spacing w:after="0" w:line="225" w:lineRule="exact"/>
        <w:rPr>
          <w:rFonts w:ascii="Arial" w:cs="Arial" w:eastAsia="Arial" w:hAnsi="Arial"/>
          <w:sz w:val="22"/>
          <w:szCs w:val="22"/>
          <w:color w:val="auto"/>
        </w:rPr>
      </w:pPr>
    </w:p>
    <w:p>
      <w:pPr>
        <w:jc w:val="both"/>
        <w:ind w:left="120" w:right="40" w:firstLine="2588"/>
        <w:spacing w:after="0" w:line="312" w:lineRule="auto"/>
        <w:tabs>
          <w:tab w:leader="none" w:pos="3246" w:val="left"/>
        </w:tabs>
        <w:numPr>
          <w:ilvl w:val="0"/>
          <w:numId w:val="420"/>
        </w:numPr>
        <w:rPr>
          <w:rFonts w:ascii="Arial" w:cs="Arial" w:eastAsia="Arial" w:hAnsi="Arial"/>
          <w:sz w:val="19"/>
          <w:szCs w:val="19"/>
          <w:color w:val="auto"/>
        </w:rPr>
      </w:pPr>
      <w:r>
        <w:rPr>
          <w:rFonts w:ascii="Arial" w:cs="Arial" w:eastAsia="Arial" w:hAnsi="Arial"/>
          <w:sz w:val="19"/>
          <w:szCs w:val="19"/>
          <w:color w:val="auto"/>
        </w:rPr>
        <w:t>any dispute, claim, offset or defense (other than the discharge in bankruptcy of the Obligor) of the Obligor to the payment of any Loan or Contract (including, without limitation, a defense based on such Loan or Contract not being a legal, valid and binding obligation of such Obligor enforceable against it in accordance with its terms);</w:t>
      </w:r>
    </w:p>
    <w:p>
      <w:pPr>
        <w:spacing w:after="0" w:line="160" w:lineRule="exact"/>
        <w:rPr>
          <w:rFonts w:ascii="Arial" w:cs="Arial" w:eastAsia="Arial" w:hAnsi="Arial"/>
          <w:sz w:val="19"/>
          <w:szCs w:val="19"/>
          <w:color w:val="auto"/>
        </w:rPr>
      </w:pPr>
    </w:p>
    <w:p>
      <w:pPr>
        <w:ind w:left="120" w:right="40" w:firstLine="2588"/>
        <w:spacing w:after="0" w:line="263" w:lineRule="auto"/>
        <w:tabs>
          <w:tab w:leader="none" w:pos="3252" w:val="left"/>
        </w:tabs>
        <w:numPr>
          <w:ilvl w:val="0"/>
          <w:numId w:val="420"/>
        </w:numPr>
        <w:rPr>
          <w:rFonts w:ascii="Arial" w:cs="Arial" w:eastAsia="Arial" w:hAnsi="Arial"/>
          <w:sz w:val="22"/>
          <w:szCs w:val="22"/>
          <w:color w:val="auto"/>
        </w:rPr>
      </w:pPr>
      <w:r>
        <w:rPr>
          <w:rFonts w:ascii="Arial" w:cs="Arial" w:eastAsia="Arial" w:hAnsi="Arial"/>
          <w:sz w:val="22"/>
          <w:szCs w:val="22"/>
          <w:color w:val="auto"/>
        </w:rPr>
        <w:t>any failure of the Borrower to perform its duties or obligations in accordance with the provisions of this Agreement or any failure by the Borrower to perform its respective duties under the Loans;</w:t>
      </w:r>
    </w:p>
    <w:p>
      <w:pPr>
        <w:spacing w:after="0" w:line="215" w:lineRule="exact"/>
        <w:rPr>
          <w:rFonts w:ascii="Arial" w:cs="Arial" w:eastAsia="Arial" w:hAnsi="Arial"/>
          <w:sz w:val="22"/>
          <w:szCs w:val="22"/>
          <w:color w:val="auto"/>
        </w:rPr>
      </w:pPr>
    </w:p>
    <w:p>
      <w:pPr>
        <w:ind w:left="120" w:right="40" w:firstLine="2588"/>
        <w:spacing w:after="0" w:line="287" w:lineRule="auto"/>
        <w:tabs>
          <w:tab w:leader="none" w:pos="3240" w:val="left"/>
        </w:tabs>
        <w:numPr>
          <w:ilvl w:val="0"/>
          <w:numId w:val="420"/>
        </w:numPr>
        <w:rPr>
          <w:rFonts w:ascii="Arial" w:cs="Arial" w:eastAsia="Arial" w:hAnsi="Arial"/>
          <w:sz w:val="21"/>
          <w:szCs w:val="21"/>
          <w:color w:val="auto"/>
        </w:rPr>
      </w:pPr>
      <w:r>
        <w:rPr>
          <w:rFonts w:ascii="Arial" w:cs="Arial" w:eastAsia="Arial" w:hAnsi="Arial"/>
          <w:sz w:val="21"/>
          <w:szCs w:val="21"/>
          <w:color w:val="auto"/>
        </w:rPr>
        <w:t>the failure by Borrower to pay when due any Taxes for which the Borrower is liable, including without limitation, sales, excise or personal property taxes payable in connection with the Collateral;</w:t>
      </w:r>
    </w:p>
    <w:p>
      <w:pPr>
        <w:spacing w:after="0" w:line="191" w:lineRule="exact"/>
        <w:rPr>
          <w:rFonts w:ascii="Arial" w:cs="Arial" w:eastAsia="Arial" w:hAnsi="Arial"/>
          <w:sz w:val="21"/>
          <w:szCs w:val="21"/>
          <w:color w:val="auto"/>
        </w:rPr>
      </w:pPr>
    </w:p>
    <w:p>
      <w:pPr>
        <w:jc w:val="both"/>
        <w:ind w:left="120" w:firstLine="2588"/>
        <w:spacing w:after="0" w:line="312" w:lineRule="auto"/>
        <w:tabs>
          <w:tab w:leader="none" w:pos="3247" w:val="left"/>
        </w:tabs>
        <w:numPr>
          <w:ilvl w:val="0"/>
          <w:numId w:val="420"/>
        </w:numPr>
        <w:rPr>
          <w:rFonts w:ascii="Arial" w:cs="Arial" w:eastAsia="Arial" w:hAnsi="Arial"/>
          <w:sz w:val="19"/>
          <w:szCs w:val="19"/>
          <w:color w:val="auto"/>
        </w:rPr>
      </w:pPr>
      <w:r>
        <w:rPr>
          <w:rFonts w:ascii="Arial" w:cs="Arial" w:eastAsia="Arial" w:hAnsi="Arial"/>
          <w:sz w:val="19"/>
          <w:szCs w:val="19"/>
          <w:color w:val="auto"/>
        </w:rPr>
        <w:t>any repayment by the Deal Agent or a Secured Party of any amount previously distributed in reduction of Capital or payment of Yield or any other amount due hereunder or under any Hedging Agreement, in each case which amount the Deal Agent or a Secured Party believes in good faith is required to be repaid;</w:t>
      </w:r>
    </w:p>
    <w:p>
      <w:pPr>
        <w:spacing w:after="0" w:line="160" w:lineRule="exact"/>
        <w:rPr>
          <w:rFonts w:ascii="Arial" w:cs="Arial" w:eastAsia="Arial" w:hAnsi="Arial"/>
          <w:sz w:val="19"/>
          <w:szCs w:val="19"/>
          <w:color w:val="auto"/>
        </w:rPr>
      </w:pPr>
    </w:p>
    <w:p>
      <w:pPr>
        <w:ind w:left="3340" w:hanging="632"/>
        <w:spacing w:after="0"/>
        <w:tabs>
          <w:tab w:leader="none" w:pos="3340" w:val="left"/>
        </w:tabs>
        <w:numPr>
          <w:ilvl w:val="0"/>
          <w:numId w:val="420"/>
        </w:numPr>
        <w:rPr>
          <w:rFonts w:ascii="Arial" w:cs="Arial" w:eastAsia="Arial" w:hAnsi="Arial"/>
          <w:sz w:val="22"/>
          <w:szCs w:val="22"/>
          <w:color w:val="auto"/>
        </w:rPr>
      </w:pPr>
      <w:r>
        <w:rPr>
          <w:rFonts w:ascii="Arial" w:cs="Arial" w:eastAsia="Arial" w:hAnsi="Arial"/>
          <w:sz w:val="22"/>
          <w:szCs w:val="22"/>
          <w:color w:val="auto"/>
        </w:rPr>
        <w:t>the commingling of Collections of the Collateral at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time with other funds;</w:t>
      </w:r>
    </w:p>
    <w:p>
      <w:pPr>
        <w:spacing w:after="0" w:line="242" w:lineRule="exact"/>
        <w:rPr>
          <w:sz w:val="20"/>
          <w:szCs w:val="20"/>
          <w:color w:val="auto"/>
        </w:rPr>
      </w:pPr>
    </w:p>
    <w:p>
      <w:pPr>
        <w:ind w:left="3340" w:hanging="632"/>
        <w:spacing w:after="0"/>
        <w:tabs>
          <w:tab w:leader="none" w:pos="3340" w:val="left"/>
        </w:tabs>
        <w:numPr>
          <w:ilvl w:val="0"/>
          <w:numId w:val="421"/>
        </w:numPr>
        <w:rPr>
          <w:rFonts w:ascii="Arial" w:cs="Arial" w:eastAsia="Arial" w:hAnsi="Arial"/>
          <w:sz w:val="22"/>
          <w:szCs w:val="22"/>
          <w:color w:val="auto"/>
        </w:rPr>
      </w:pPr>
      <w:r>
        <w:rPr>
          <w:rFonts w:ascii="Arial" w:cs="Arial" w:eastAsia="Arial" w:hAnsi="Arial"/>
          <w:sz w:val="22"/>
          <w:szCs w:val="22"/>
          <w:color w:val="auto"/>
        </w:rPr>
        <w:t>any investigation, litigation or proceeding related to this</w:t>
      </w:r>
    </w:p>
    <w:p>
      <w:pPr>
        <w:spacing w:after="0" w:line="21" w:lineRule="exact"/>
        <w:rPr>
          <w:sz w:val="20"/>
          <w:szCs w:val="20"/>
          <w:color w:val="auto"/>
        </w:rPr>
      </w:pPr>
    </w:p>
    <w:p>
      <w:pPr>
        <w:ind w:left="120" w:right="540"/>
        <w:spacing w:after="0" w:line="246" w:lineRule="auto"/>
        <w:rPr>
          <w:sz w:val="20"/>
          <w:szCs w:val="20"/>
          <w:color w:val="auto"/>
        </w:rPr>
      </w:pPr>
      <w:r>
        <w:rPr>
          <w:rFonts w:ascii="Arial" w:cs="Arial" w:eastAsia="Arial" w:hAnsi="Arial"/>
          <w:sz w:val="22"/>
          <w:szCs w:val="22"/>
          <w:color w:val="auto"/>
        </w:rPr>
        <w:t>Agreement or the use of proceeds of the Funding or the funding of or maintenance of Capital or in respect of any Loan or Contract;</w:t>
      </w:r>
    </w:p>
    <w:p>
      <w:pPr>
        <w:spacing w:after="0" w:line="233" w:lineRule="exact"/>
        <w:rPr>
          <w:sz w:val="20"/>
          <w:szCs w:val="20"/>
          <w:color w:val="auto"/>
        </w:rPr>
      </w:pPr>
    </w:p>
    <w:p>
      <w:pPr>
        <w:jc w:val="both"/>
        <w:ind w:left="120" w:firstLine="2588"/>
        <w:spacing w:after="0" w:line="250" w:lineRule="auto"/>
        <w:tabs>
          <w:tab w:leader="none" w:pos="3252" w:val="left"/>
        </w:tabs>
        <w:numPr>
          <w:ilvl w:val="0"/>
          <w:numId w:val="422"/>
        </w:numPr>
        <w:rPr>
          <w:rFonts w:ascii="Arial" w:cs="Arial" w:eastAsia="Arial" w:hAnsi="Arial"/>
          <w:sz w:val="22"/>
          <w:szCs w:val="22"/>
          <w:color w:val="auto"/>
        </w:rPr>
      </w:pPr>
      <w:r>
        <w:rPr>
          <w:rFonts w:ascii="Arial" w:cs="Arial" w:eastAsia="Arial" w:hAnsi="Arial"/>
          <w:sz w:val="22"/>
          <w:szCs w:val="22"/>
          <w:color w:val="auto"/>
        </w:rPr>
        <w:t>any failure by the Borrower to give reasonably equivalent value to the Originator in consideration for the transfer by the Originator to the Borrower of the Loans, Related Security or any portion thereof or any attempt by any Person to void or otherwise avoid any such transfer under any statutory provision or common law or equitable action, including, without limitation, any provision of the Bankruptcy Code;</w:t>
      </w:r>
    </w:p>
    <w:p>
      <w:pPr>
        <w:spacing w:after="0" w:line="214" w:lineRule="exact"/>
        <w:rPr>
          <w:rFonts w:ascii="Arial" w:cs="Arial" w:eastAsia="Arial" w:hAnsi="Arial"/>
          <w:sz w:val="22"/>
          <w:szCs w:val="22"/>
          <w:color w:val="auto"/>
        </w:rPr>
      </w:pPr>
    </w:p>
    <w:p>
      <w:pPr>
        <w:ind w:left="120" w:right="20" w:firstLine="2588"/>
        <w:spacing w:after="0" w:line="263" w:lineRule="auto"/>
        <w:tabs>
          <w:tab w:leader="none" w:pos="3240" w:val="left"/>
        </w:tabs>
        <w:numPr>
          <w:ilvl w:val="0"/>
          <w:numId w:val="422"/>
        </w:numPr>
        <w:rPr>
          <w:rFonts w:ascii="Arial" w:cs="Arial" w:eastAsia="Arial" w:hAnsi="Arial"/>
          <w:sz w:val="22"/>
          <w:szCs w:val="22"/>
          <w:color w:val="auto"/>
        </w:rPr>
      </w:pPr>
      <w:r>
        <w:rPr>
          <w:rFonts w:ascii="Arial" w:cs="Arial" w:eastAsia="Arial" w:hAnsi="Arial"/>
          <w:sz w:val="22"/>
          <w:szCs w:val="22"/>
          <w:color w:val="auto"/>
        </w:rPr>
        <w:t>the use of the Proceeds of the Funding in a manner other than as provided in this Agreement and the Contribution Agreement; or</w:t>
      </w:r>
    </w:p>
    <w:p>
      <w:pPr>
        <w:spacing w:after="0" w:line="215" w:lineRule="exact"/>
        <w:rPr>
          <w:rFonts w:ascii="Arial" w:cs="Arial" w:eastAsia="Arial" w:hAnsi="Arial"/>
          <w:sz w:val="22"/>
          <w:szCs w:val="22"/>
          <w:color w:val="auto"/>
        </w:rPr>
      </w:pPr>
    </w:p>
    <w:p>
      <w:pPr>
        <w:jc w:val="both"/>
        <w:ind w:left="120" w:right="40" w:firstLine="2588"/>
        <w:spacing w:after="0" w:line="253" w:lineRule="auto"/>
        <w:tabs>
          <w:tab w:leader="none" w:pos="3247" w:val="left"/>
        </w:tabs>
        <w:numPr>
          <w:ilvl w:val="0"/>
          <w:numId w:val="422"/>
        </w:numPr>
        <w:rPr>
          <w:rFonts w:ascii="Arial" w:cs="Arial" w:eastAsia="Arial" w:hAnsi="Arial"/>
          <w:sz w:val="22"/>
          <w:szCs w:val="22"/>
          <w:color w:val="auto"/>
        </w:rPr>
      </w:pPr>
      <w:r>
        <w:rPr>
          <w:rFonts w:ascii="Arial" w:cs="Arial" w:eastAsia="Arial" w:hAnsi="Arial"/>
          <w:sz w:val="22"/>
          <w:szCs w:val="22"/>
          <w:color w:val="auto"/>
        </w:rPr>
        <w:t>the failure of the Borrower or any of its agents or representatives to remit to the Servicer, the Deal Agent, the Collateral Agent or any other Secured Party, any Collections of the Collateral remitted to the Borrower or any such agent or representative.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103</w:t>
      </w:r>
    </w:p>
    <w:p>
      <w:pPr>
        <w:sectPr>
          <w:pgSz w:w="11900" w:h="16838" w:orient="portrait"/>
          <w:cols w:equalWidth="0" w:num="1">
            <w:col w:w="11140"/>
          </w:cols>
          <w:pgMar w:left="320" w:top="1428" w:right="439" w:bottom="1440" w:gutter="0" w:footer="0" w:header="0"/>
        </w:sectPr>
      </w:pPr>
    </w:p>
    <w:bookmarkStart w:id="371" w:name="page372"/>
    <w:bookmarkEnd w:id="371"/>
    <w:p>
      <w:pPr>
        <w:ind w:left="120" w:right="60" w:firstLine="1940"/>
        <w:spacing w:after="0" w:line="263" w:lineRule="auto"/>
        <w:tabs>
          <w:tab w:leader="none" w:pos="2592" w:val="left"/>
        </w:tabs>
        <w:numPr>
          <w:ilvl w:val="0"/>
          <w:numId w:val="423"/>
        </w:numPr>
        <w:rPr>
          <w:rFonts w:ascii="Arial" w:cs="Arial" w:eastAsia="Arial" w:hAnsi="Arial"/>
          <w:sz w:val="22"/>
          <w:szCs w:val="22"/>
          <w:color w:val="auto"/>
        </w:rPr>
      </w:pPr>
      <w:r>
        <w:rPr>
          <w:rFonts w:ascii="Arial" w:cs="Arial" w:eastAsia="Arial" w:hAnsi="Arial"/>
          <w:sz w:val="22"/>
          <w:szCs w:val="22"/>
          <w:color w:val="auto"/>
        </w:rPr>
        <w:t>Any amounts subject to the indemnification provisions of this Section 11.1 shall be paid by the Borrower to the relevant Indemnified Party on the next Payment Date pursuant to Section 2.7.</w:t>
      </w:r>
    </w:p>
    <w:p>
      <w:pPr>
        <w:spacing w:after="0" w:line="215" w:lineRule="exact"/>
        <w:rPr>
          <w:rFonts w:ascii="Arial" w:cs="Arial" w:eastAsia="Arial" w:hAnsi="Arial"/>
          <w:sz w:val="22"/>
          <w:szCs w:val="22"/>
          <w:color w:val="auto"/>
        </w:rPr>
      </w:pPr>
    </w:p>
    <w:p>
      <w:pPr>
        <w:jc w:val="both"/>
        <w:ind w:left="120" w:right="20" w:firstLine="1940"/>
        <w:spacing w:after="0" w:line="253" w:lineRule="auto"/>
        <w:tabs>
          <w:tab w:leader="none" w:pos="2598" w:val="left"/>
        </w:tabs>
        <w:numPr>
          <w:ilvl w:val="0"/>
          <w:numId w:val="423"/>
        </w:numPr>
        <w:rPr>
          <w:rFonts w:ascii="Arial" w:cs="Arial" w:eastAsia="Arial" w:hAnsi="Arial"/>
          <w:sz w:val="22"/>
          <w:szCs w:val="22"/>
          <w:color w:val="auto"/>
        </w:rPr>
      </w:pPr>
      <w:r>
        <w:rPr>
          <w:rFonts w:ascii="Arial" w:cs="Arial" w:eastAsia="Arial" w:hAnsi="Arial"/>
          <w:sz w:val="22"/>
          <w:szCs w:val="22"/>
          <w:color w:val="auto"/>
        </w:rPr>
        <w:t>The obligations of the Borrower under this Section 11.1 shall survive the resignation or removal of the Deal Agent, the Collateral Agent, the Successor Servicer, any Lender or the Backup Servicer or the assignment or termination of this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Indemnities by the Servicer</w:t>
      </w:r>
      <w:r>
        <w:rPr>
          <w:rFonts w:ascii="Arial" w:cs="Arial" w:eastAsia="Arial" w:hAnsi="Arial"/>
          <w:sz w:val="22"/>
          <w:szCs w:val="22"/>
          <w:color w:val="auto"/>
        </w:rPr>
        <w:t>.</w:t>
      </w:r>
    </w:p>
    <w:p>
      <w:pPr>
        <w:spacing w:after="0" w:line="260" w:lineRule="exact"/>
        <w:rPr>
          <w:sz w:val="20"/>
          <w:szCs w:val="20"/>
          <w:color w:val="auto"/>
        </w:rPr>
      </w:pPr>
    </w:p>
    <w:p>
      <w:pPr>
        <w:jc w:val="both"/>
        <w:ind w:left="120" w:firstLine="1940"/>
        <w:spacing w:after="0" w:line="245" w:lineRule="auto"/>
        <w:tabs>
          <w:tab w:leader="none" w:pos="2601" w:val="left"/>
        </w:tabs>
        <w:numPr>
          <w:ilvl w:val="1"/>
          <w:numId w:val="424"/>
        </w:numPr>
        <w:rPr>
          <w:rFonts w:ascii="Arial" w:cs="Arial" w:eastAsia="Arial" w:hAnsi="Arial"/>
          <w:sz w:val="22"/>
          <w:szCs w:val="22"/>
          <w:color w:val="auto"/>
        </w:rPr>
      </w:pPr>
      <w:r>
        <w:rPr>
          <w:rFonts w:ascii="Arial" w:cs="Arial" w:eastAsia="Arial" w:hAnsi="Arial"/>
          <w:sz w:val="22"/>
          <w:szCs w:val="22"/>
          <w:color w:val="auto"/>
        </w:rPr>
        <w:t>Without limiting any other rights that any such Person may have hereunder or under Applicable Law, the initial Servicer hereby agrees to indemnify each Indemnified Party, forthwith on demand, from and against any and all Indemnified Amounts (including any reasonable and documented legal fees and expenses incurred in connection with any action or suit brought by an Indemnified Party to enforce any indemnification or other obligation of the Borrower by such Indemnified Party for any indemnification or other obligation of the Borrower) awarded against or incurred by any such Indemnified Party by reason of any acts, omissions or alleged acts or omissions of the initial Servicer, including, but not limited to:</w:t>
      </w:r>
    </w:p>
    <w:p>
      <w:pPr>
        <w:spacing w:after="0" w:line="5" w:lineRule="exact"/>
        <w:rPr>
          <w:rFonts w:ascii="Arial" w:cs="Arial" w:eastAsia="Arial" w:hAnsi="Arial"/>
          <w:sz w:val="22"/>
          <w:szCs w:val="22"/>
          <w:color w:val="auto"/>
        </w:rPr>
      </w:pPr>
    </w:p>
    <w:p>
      <w:pPr>
        <w:jc w:val="both"/>
        <w:ind w:left="120" w:right="40" w:hanging="4"/>
        <w:spacing w:after="0" w:line="256" w:lineRule="auto"/>
        <w:tabs>
          <w:tab w:leader="none" w:pos="399" w:val="left"/>
        </w:tabs>
        <w:numPr>
          <w:ilvl w:val="0"/>
          <w:numId w:val="425"/>
        </w:numPr>
        <w:rPr>
          <w:rFonts w:ascii="Arial" w:cs="Arial" w:eastAsia="Arial" w:hAnsi="Arial"/>
          <w:sz w:val="21"/>
          <w:szCs w:val="21"/>
          <w:color w:val="auto"/>
        </w:rPr>
      </w:pPr>
      <w:r>
        <w:rPr>
          <w:rFonts w:ascii="Arial" w:cs="Arial" w:eastAsia="Arial" w:hAnsi="Arial"/>
          <w:sz w:val="21"/>
          <w:szCs w:val="21"/>
          <w:color w:val="auto"/>
        </w:rPr>
        <w:t>any representation or warranty made by the initial Servicer under or in connection with any Transaction Document, any Monthly Report or any other information or report delivered by or on behalf of the Servicer pursuant hereto, which shall have been false, incorrect or misleading in any material respect when made or deemed made; (ii) the failure by the initial Servicer to comply with any Applicable Law; (iii) the failure of the Servicer to comply with its duties or obligations in accordance with this Agreement or any other Transaction Document to which it is a party; (iv) any litigation, proceedings or investigation against the initial Servicer; (v) the commingling by the Servicer of Collections at any time with other funds; or (vi) the failure of the initial Servicer or any of its agents or representatives to remit to the Collection Account, Deal Agent or Collateral Agent any Collections or Proceeds of the Collateral. The provisions of this indemnity shall run directly to and be enforceable by an Indemnified Party subject to the limitations hereof.</w:t>
      </w:r>
    </w:p>
    <w:p>
      <w:pPr>
        <w:spacing w:after="0" w:line="296" w:lineRule="exact"/>
        <w:rPr>
          <w:rFonts w:ascii="Arial" w:cs="Arial" w:eastAsia="Arial" w:hAnsi="Arial"/>
          <w:sz w:val="21"/>
          <w:szCs w:val="21"/>
          <w:color w:val="auto"/>
        </w:rPr>
      </w:pPr>
    </w:p>
    <w:p>
      <w:pPr>
        <w:ind w:left="120" w:right="40" w:firstLine="1940"/>
        <w:spacing w:after="0" w:line="343" w:lineRule="auto"/>
        <w:tabs>
          <w:tab w:leader="none" w:pos="2599" w:val="left"/>
        </w:tabs>
        <w:numPr>
          <w:ilvl w:val="1"/>
          <w:numId w:val="425"/>
        </w:numPr>
        <w:rPr>
          <w:rFonts w:ascii="Arial" w:cs="Arial" w:eastAsia="Arial" w:hAnsi="Arial"/>
          <w:sz w:val="19"/>
          <w:szCs w:val="19"/>
          <w:color w:val="auto"/>
        </w:rPr>
      </w:pPr>
      <w:r>
        <w:rPr>
          <w:rFonts w:ascii="Arial" w:cs="Arial" w:eastAsia="Arial" w:hAnsi="Arial"/>
          <w:sz w:val="19"/>
          <w:szCs w:val="19"/>
          <w:color w:val="auto"/>
        </w:rPr>
        <w:t xml:space="preserve">Any amounts subject to the indemnification provisions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be paid by the initial Servicer to the relevant Indemnified Party within five (5) Business Days following such Person’s demand therefor.</w:t>
      </w:r>
    </w:p>
    <w:p>
      <w:pPr>
        <w:spacing w:after="0" w:line="144" w:lineRule="exact"/>
        <w:rPr>
          <w:rFonts w:ascii="Arial" w:cs="Arial" w:eastAsia="Arial" w:hAnsi="Arial"/>
          <w:sz w:val="19"/>
          <w:szCs w:val="19"/>
          <w:color w:val="auto"/>
        </w:rPr>
      </w:pPr>
    </w:p>
    <w:p>
      <w:pPr>
        <w:ind w:left="120" w:right="60" w:firstLine="1940"/>
        <w:spacing w:after="0" w:line="263" w:lineRule="auto"/>
        <w:tabs>
          <w:tab w:leader="none" w:pos="2601" w:val="left"/>
        </w:tabs>
        <w:numPr>
          <w:ilvl w:val="1"/>
          <w:numId w:val="425"/>
        </w:numPr>
        <w:rPr>
          <w:rFonts w:ascii="Arial" w:cs="Arial" w:eastAsia="Arial" w:hAnsi="Arial"/>
          <w:sz w:val="22"/>
          <w:szCs w:val="22"/>
          <w:color w:val="auto"/>
        </w:rPr>
      </w:pPr>
      <w:r>
        <w:rPr>
          <w:rFonts w:ascii="Arial" w:cs="Arial" w:eastAsia="Arial" w:hAnsi="Arial"/>
          <w:sz w:val="22"/>
          <w:szCs w:val="22"/>
          <w:color w:val="auto"/>
        </w:rPr>
        <w:t>The initial Servicer shall have no liability for making indemnification hereunder to the extent any such indemnification constitutes recourse for uncollectible Contracts.</w:t>
      </w:r>
    </w:p>
    <w:p>
      <w:pPr>
        <w:spacing w:after="0" w:line="201" w:lineRule="exact"/>
        <w:rPr>
          <w:rFonts w:ascii="Arial" w:cs="Arial" w:eastAsia="Arial" w:hAnsi="Arial"/>
          <w:sz w:val="22"/>
          <w:szCs w:val="22"/>
          <w:color w:val="auto"/>
        </w:rPr>
      </w:pPr>
    </w:p>
    <w:p>
      <w:pPr>
        <w:jc w:val="both"/>
        <w:ind w:left="120" w:right="60" w:firstLine="1940"/>
        <w:spacing w:after="0" w:line="253" w:lineRule="auto"/>
        <w:tabs>
          <w:tab w:leader="none" w:pos="2599" w:val="left"/>
        </w:tabs>
        <w:numPr>
          <w:ilvl w:val="1"/>
          <w:numId w:val="425"/>
        </w:numPr>
        <w:rPr>
          <w:rFonts w:ascii="Arial" w:cs="Arial" w:eastAsia="Arial" w:hAnsi="Arial"/>
          <w:sz w:val="22"/>
          <w:szCs w:val="22"/>
          <w:color w:val="auto"/>
        </w:rPr>
      </w:pPr>
      <w:r>
        <w:rPr>
          <w:rFonts w:ascii="Arial" w:cs="Arial" w:eastAsia="Arial" w:hAnsi="Arial"/>
          <w:sz w:val="22"/>
          <w:szCs w:val="22"/>
          <w:color w:val="auto"/>
        </w:rPr>
        <w:t>The obligations of the initial Servicer under this Section 11.2 shall survive the resignation or removal of the Deal Agent, the Collateral Agent, the Successor Servicer, any Lender or the Backup Servicer and the assignment or termination of this Agreement.</w:t>
      </w:r>
    </w:p>
    <w:p>
      <w:pPr>
        <w:spacing w:after="0" w:line="293" w:lineRule="exact"/>
        <w:rPr>
          <w:rFonts w:ascii="Arial" w:cs="Arial" w:eastAsia="Arial" w:hAnsi="Arial"/>
          <w:sz w:val="22"/>
          <w:szCs w:val="22"/>
          <w:color w:val="auto"/>
        </w:rPr>
      </w:pPr>
    </w:p>
    <w:p>
      <w:pPr>
        <w:ind w:left="2600" w:hanging="540"/>
        <w:spacing w:after="0"/>
        <w:tabs>
          <w:tab w:leader="none" w:pos="2600" w:val="left"/>
        </w:tabs>
        <w:numPr>
          <w:ilvl w:val="1"/>
          <w:numId w:val="425"/>
        </w:numPr>
        <w:rPr>
          <w:rFonts w:ascii="Arial" w:cs="Arial" w:eastAsia="Arial" w:hAnsi="Arial"/>
          <w:sz w:val="21"/>
          <w:szCs w:val="21"/>
          <w:color w:val="auto"/>
        </w:rPr>
      </w:pPr>
      <w:r>
        <w:rPr>
          <w:rFonts w:ascii="Arial" w:cs="Arial" w:eastAsia="Arial" w:hAnsi="Arial"/>
          <w:sz w:val="21"/>
          <w:szCs w:val="21"/>
          <w:color w:val="auto"/>
        </w:rPr>
        <w:t xml:space="preserve">Any indemnification pursuant to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not be payable from the Collateral.</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104</w:t>
      </w:r>
    </w:p>
    <w:p>
      <w:pPr>
        <w:sectPr>
          <w:pgSz w:w="11900" w:h="16838" w:orient="portrait"/>
          <w:cols w:equalWidth="0" w:num="1">
            <w:col w:w="11140"/>
          </w:cols>
          <w:pgMar w:left="320" w:top="1428" w:right="439" w:bottom="1440" w:gutter="0" w:footer="0" w:header="0"/>
        </w:sectPr>
      </w:pPr>
    </w:p>
    <w:bookmarkStart w:id="372" w:name="page373"/>
    <w:bookmarkEnd w:id="372"/>
    <w:p>
      <w:pPr>
        <w:jc w:val="both"/>
        <w:ind w:left="120" w:right="20" w:firstLine="648"/>
        <w:spacing w:after="0" w:line="250" w:lineRule="auto"/>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u w:val="single" w:color="auto"/>
          <w:color w:val="auto"/>
        </w:rPr>
        <w:t>After-Tax Basis</w:t>
      </w:r>
      <w:r>
        <w:rPr>
          <w:rFonts w:ascii="Arial" w:cs="Arial" w:eastAsia="Arial" w:hAnsi="Arial"/>
          <w:sz w:val="22"/>
          <w:szCs w:val="22"/>
          <w:color w:val="auto"/>
        </w:rPr>
        <w:t xml:space="preserve">. Indemnification under </w:t>
      </w:r>
      <w:r>
        <w:rPr>
          <w:rFonts w:ascii="Arial" w:cs="Arial" w:eastAsia="Arial" w:hAnsi="Arial"/>
          <w:sz w:val="22"/>
          <w:szCs w:val="22"/>
          <w:u w:val="single" w:color="auto"/>
          <w:color w:val="auto"/>
        </w:rPr>
        <w:t>Sections 11.1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11.2</w:t>
      </w:r>
      <w:r>
        <w:rPr>
          <w:rFonts w:ascii="Arial" w:cs="Arial" w:eastAsia="Arial" w:hAnsi="Arial"/>
          <w:sz w:val="22"/>
          <w:szCs w:val="22"/>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ARTICLE XII</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THE DEAL AGENT AND THE COLLATERAL AGENT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12.1. </w:t>
      </w:r>
      <w:r>
        <w:rPr>
          <w:rFonts w:ascii="Arial" w:cs="Arial" w:eastAsia="Arial" w:hAnsi="Arial"/>
          <w:sz w:val="22"/>
          <w:szCs w:val="22"/>
          <w:u w:val="single" w:color="auto"/>
          <w:color w:val="auto"/>
        </w:rPr>
        <w:t>Authorization and Action</w:t>
      </w:r>
      <w:r>
        <w:rPr>
          <w:rFonts w:ascii="Arial" w:cs="Arial" w:eastAsia="Arial" w:hAnsi="Arial"/>
          <w:sz w:val="22"/>
          <w:szCs w:val="22"/>
          <w:color w:val="auto"/>
        </w:rPr>
        <w:t>.</w:t>
      </w:r>
    </w:p>
    <w:p>
      <w:pPr>
        <w:spacing w:after="0" w:line="260" w:lineRule="exact"/>
        <w:rPr>
          <w:sz w:val="20"/>
          <w:szCs w:val="20"/>
          <w:color w:val="auto"/>
        </w:rPr>
      </w:pPr>
    </w:p>
    <w:p>
      <w:pPr>
        <w:jc w:val="both"/>
        <w:ind w:left="120" w:firstLine="1940"/>
        <w:spacing w:after="0" w:line="258" w:lineRule="auto"/>
        <w:tabs>
          <w:tab w:leader="none" w:pos="2601" w:val="left"/>
        </w:tabs>
        <w:numPr>
          <w:ilvl w:val="0"/>
          <w:numId w:val="426"/>
        </w:numPr>
        <w:rPr>
          <w:rFonts w:ascii="Arial" w:cs="Arial" w:eastAsia="Arial" w:hAnsi="Arial"/>
          <w:sz w:val="21"/>
          <w:szCs w:val="21"/>
          <w:color w:val="auto"/>
        </w:rPr>
      </w:pPr>
      <w:r>
        <w:rPr>
          <w:rFonts w:ascii="Arial" w:cs="Arial" w:eastAsia="Arial" w:hAnsi="Arial"/>
          <w:sz w:val="21"/>
          <w:szCs w:val="21"/>
          <w:color w:val="auto"/>
        </w:rPr>
        <w:t>Each Secured Party hereby designates and appoints Wells Fargo as Deal Agent hereunder, and authorizes the Deal Agent to take such actions as agent on its behalf and to exercise such powers as are delegated to the Deal Agent by the terms of this Agreement together with such powers as are reasonably incidental thereto. The Deal Agent shall not have any duties or responsibilities, except those expressly set forth herein, or any fiduciary relationship with any Secured Party, and no implied covenants, functions, responsibilities, duties, obligations or liabilities on the part of the Deal Agent shall be read into this Agreement or otherwise exist for the Deal Agent. In performing its functions and duties hereunder, the Deal Agent shall act solely as agent for the Secured Parties and does not assume nor shall be deemed to have assumed any obligation or relationship of trust or agency with or for the Borrower or any of its successors or assigns. The Deal Agent shall not be required to take any action that exposes the Deal Agent to personal liability or that is contrary to this Agreement or Applicable Law. The appointment and authority of the Deal Agent hereunder shall terminate upon the indefeasible payment in full of the Aggregate Unpaids.</w:t>
      </w:r>
    </w:p>
    <w:p>
      <w:pPr>
        <w:spacing w:after="0" w:line="222" w:lineRule="exact"/>
        <w:rPr>
          <w:rFonts w:ascii="Arial" w:cs="Arial" w:eastAsia="Arial" w:hAnsi="Arial"/>
          <w:sz w:val="21"/>
          <w:szCs w:val="21"/>
          <w:color w:val="auto"/>
        </w:rPr>
      </w:pPr>
    </w:p>
    <w:p>
      <w:pPr>
        <w:ind w:left="2700" w:hanging="640"/>
        <w:spacing w:after="0"/>
        <w:tabs>
          <w:tab w:leader="none" w:pos="270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[Reserved.]</w:t>
      </w:r>
    </w:p>
    <w:p>
      <w:pPr>
        <w:spacing w:after="0" w:line="246" w:lineRule="exact"/>
        <w:rPr>
          <w:rFonts w:ascii="Arial" w:cs="Arial" w:eastAsia="Arial" w:hAnsi="Arial"/>
          <w:sz w:val="22"/>
          <w:szCs w:val="22"/>
          <w:color w:val="auto"/>
        </w:rPr>
      </w:pPr>
    </w:p>
    <w:p>
      <w:pPr>
        <w:jc w:val="both"/>
        <w:ind w:left="120" w:firstLine="1940"/>
        <w:spacing w:after="0" w:line="287" w:lineRule="auto"/>
        <w:tabs>
          <w:tab w:leader="none" w:pos="2601" w:val="left"/>
        </w:tabs>
        <w:numPr>
          <w:ilvl w:val="0"/>
          <w:numId w:val="426"/>
        </w:numPr>
        <w:rPr>
          <w:rFonts w:ascii="Arial" w:cs="Arial" w:eastAsia="Arial" w:hAnsi="Arial"/>
          <w:sz w:val="19"/>
          <w:szCs w:val="19"/>
          <w:color w:val="auto"/>
        </w:rPr>
      </w:pPr>
      <w:r>
        <w:rPr>
          <w:rFonts w:ascii="Arial" w:cs="Arial" w:eastAsia="Arial" w:hAnsi="Arial"/>
          <w:sz w:val="19"/>
          <w:szCs w:val="19"/>
          <w:color w:val="auto"/>
        </w:rPr>
        <w:t>Each Secured Party hereby designates and appoints Wells Fargo as Collateral Agent hereunder, and authorizes the Collateral Agent to take such actions as agent on its behalf and to exercise such powers as are delegated to the Collateral Agent by the terms of this Agreement together with such powers as are reasonably incidental thereto. The Collateral Agent shall not have any duties or responsibilities, except those expressly set forth herein, or any fiduciary relationship with any Secured Party, and no implied covenants, functions, responsibilities, duties, obligations or liabilities on the part of the Collateral Agent shall be read into this Agreement or otherwise exist for the Collateral Agent. In performing its functions and duties hereunder, the Collateral Agent shall act solely as agent for the Secured Parties and does not assume nor shall be deemed to have assumed any obligation or relationship of trust or agency with or for the Borrower or any of its successors or assigns. The Collateral Agent shall not be required to take any action that exposes the Collateral Agent to personal liability or that is contrary to this Agreement or Applicable Law. The appointment and authority of the Collateral Agent hereunder shall terminate upon the indefeasible payment in full of the Aggregate Unpaids.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105</w:t>
      </w:r>
    </w:p>
    <w:p>
      <w:pPr>
        <w:sectPr>
          <w:pgSz w:w="11900" w:h="16838" w:orient="portrait"/>
          <w:cols w:equalWidth="0" w:num="1">
            <w:col w:w="11140"/>
          </w:cols>
          <w:pgMar w:left="320" w:top="1428" w:right="439" w:bottom="1440" w:gutter="0" w:footer="0" w:header="0"/>
        </w:sectPr>
      </w:pPr>
    </w:p>
    <w:bookmarkStart w:id="373" w:name="page374"/>
    <w:bookmarkEnd w:id="373"/>
    <w:p>
      <w:pPr>
        <w:ind w:left="740"/>
        <w:spacing w:after="0"/>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w:t>
      </w:r>
    </w:p>
    <w:p>
      <w:pPr>
        <w:spacing w:after="0" w:line="260" w:lineRule="exact"/>
        <w:rPr>
          <w:sz w:val="20"/>
          <w:szCs w:val="20"/>
          <w:color w:val="auto"/>
        </w:rPr>
      </w:pPr>
    </w:p>
    <w:p>
      <w:pPr>
        <w:jc w:val="both"/>
        <w:ind w:left="100" w:right="60" w:firstLine="1942"/>
        <w:spacing w:after="0" w:line="312" w:lineRule="auto"/>
        <w:tabs>
          <w:tab w:leader="none" w:pos="2594"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The Deal Agent may execute any of its duties under this Agreement by or through agents or attorneys-in-fact and shall be entitled to advice of counsel concerning all matters pertaining to such duties. The Deal Agent shall not be responsible for the negligence or misconduct of any agents or attorneys-in-fact selected by it with reasonable care.</w:t>
      </w:r>
    </w:p>
    <w:p>
      <w:pPr>
        <w:spacing w:after="0" w:line="160" w:lineRule="exact"/>
        <w:rPr>
          <w:rFonts w:ascii="Arial" w:cs="Arial" w:eastAsia="Arial" w:hAnsi="Arial"/>
          <w:sz w:val="19"/>
          <w:szCs w:val="19"/>
          <w:color w:val="auto"/>
        </w:rPr>
      </w:pPr>
    </w:p>
    <w:p>
      <w:pPr>
        <w:jc w:val="both"/>
        <w:ind w:left="100" w:right="20" w:firstLine="1942"/>
        <w:spacing w:after="0" w:line="250" w:lineRule="auto"/>
        <w:tabs>
          <w:tab w:leader="none" w:pos="2593" w:val="left"/>
        </w:tabs>
        <w:numPr>
          <w:ilvl w:val="0"/>
          <w:numId w:val="427"/>
        </w:numPr>
        <w:rPr>
          <w:rFonts w:ascii="Arial" w:cs="Arial" w:eastAsia="Arial" w:hAnsi="Arial"/>
          <w:sz w:val="22"/>
          <w:szCs w:val="22"/>
          <w:color w:val="auto"/>
        </w:rPr>
      </w:pPr>
      <w:r>
        <w:rPr>
          <w:rFonts w:ascii="Arial" w:cs="Arial" w:eastAsia="Arial" w:hAnsi="Arial"/>
          <w:sz w:val="22"/>
          <w:szCs w:val="22"/>
          <w:color w:val="auto"/>
        </w:rPr>
        <w:t>The Collateral Agent may execute any of its duties under this Agreement by or through agents or attorneys-in-fact and shall be entitled to advice of counsel concerning all matters pertaining to such duties. The Collateral Agent shall not be responsible for the negligence or misconduct of any agents or attorneys-in-fact selected by it with reasonable care.</w:t>
      </w:r>
    </w:p>
    <w:p>
      <w:pPr>
        <w:spacing w:after="0" w:line="29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12.3.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w:t>
      </w:r>
    </w:p>
    <w:p>
      <w:pPr>
        <w:spacing w:after="0" w:line="260" w:lineRule="exact"/>
        <w:rPr>
          <w:sz w:val="20"/>
          <w:szCs w:val="20"/>
          <w:color w:val="auto"/>
        </w:rPr>
      </w:pPr>
    </w:p>
    <w:p>
      <w:pPr>
        <w:jc w:val="both"/>
        <w:ind w:left="100" w:right="40" w:firstLine="1942"/>
        <w:spacing w:after="0" w:line="286" w:lineRule="auto"/>
        <w:tabs>
          <w:tab w:leader="none" w:pos="2594" w:val="left"/>
        </w:tabs>
        <w:numPr>
          <w:ilvl w:val="0"/>
          <w:numId w:val="428"/>
        </w:numPr>
        <w:rPr>
          <w:rFonts w:ascii="Arial" w:cs="Arial" w:eastAsia="Arial" w:hAnsi="Arial"/>
          <w:sz w:val="19"/>
          <w:szCs w:val="19"/>
          <w:color w:val="auto"/>
        </w:rPr>
      </w:pPr>
      <w:r>
        <w:rPr>
          <w:rFonts w:ascii="Arial" w:cs="Arial" w:eastAsia="Arial" w:hAnsi="Arial"/>
          <w:sz w:val="19"/>
          <w:szCs w:val="19"/>
          <w:color w:val="auto"/>
        </w:rPr>
        <w:t>Neither the Deal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Deal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The Deal Agent shall not be under any obligation to any Secured Party to ascertain or to inquire as to the observance or performance of any of the agreements or covenants contained in, or conditions of, this Agreement, or to inspect the properties, books or records of the Borrower. The Deal Agent shall not be deemed to have knowledge of any Amortization Event, Unmatured Termination Event, Termination Event or Servicer Termination Event unless the Deal Agent has received notice from the Borrower or a Secured Party.</w:t>
      </w:r>
    </w:p>
    <w:p>
      <w:pPr>
        <w:spacing w:after="0" w:line="206" w:lineRule="exact"/>
        <w:rPr>
          <w:rFonts w:ascii="Arial" w:cs="Arial" w:eastAsia="Arial" w:hAnsi="Arial"/>
          <w:sz w:val="19"/>
          <w:szCs w:val="19"/>
          <w:color w:val="auto"/>
        </w:rPr>
      </w:pPr>
    </w:p>
    <w:p>
      <w:pPr>
        <w:jc w:val="both"/>
        <w:ind w:left="100" w:firstLine="1942"/>
        <w:spacing w:after="0" w:line="287" w:lineRule="auto"/>
        <w:tabs>
          <w:tab w:leader="none" w:pos="2593" w:val="left"/>
        </w:tabs>
        <w:numPr>
          <w:ilvl w:val="0"/>
          <w:numId w:val="428"/>
        </w:numPr>
        <w:rPr>
          <w:rFonts w:ascii="Arial" w:cs="Arial" w:eastAsia="Arial" w:hAnsi="Arial"/>
          <w:sz w:val="19"/>
          <w:szCs w:val="19"/>
          <w:color w:val="auto"/>
        </w:rPr>
      </w:pPr>
      <w:r>
        <w:rPr>
          <w:rFonts w:ascii="Arial" w:cs="Arial" w:eastAsia="Arial" w:hAnsi="Arial"/>
          <w:sz w:val="19"/>
          <w:szCs w:val="19"/>
          <w:color w:val="auto"/>
        </w:rPr>
        <w:t>Neither the Collateral Agent nor any of its directors, officers, agents or employees shall be (i) liable for any action lawfully taken or omitted to be taken by it or them under or in connection with this Agreement (except for its, their or such Person’s own gross negligence or willful misconduct or, in the case of the Collateral Agent, the breach of its obligations expressly set forth in this Agreement resulting from the gross negligence or willful misconduct of the Collateral Agent), or (ii) responsible in any manner to any of the Secured Parties for any recitals, statements, representations or warranties made by the Borrower, the Servicer, the Originator, the Custodian, the Deal Agent, any Lender or any other Person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the acts or omissions of any other party hereto or for any failure of the Borrower, the Servicer, the Originator, the Custodian, the Deal Agent, any Lender or any other Person to perform its obligations hereunder, or for the satisfaction of</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106</w:t>
      </w:r>
    </w:p>
    <w:p>
      <w:pPr>
        <w:sectPr>
          <w:pgSz w:w="11900" w:h="16838" w:orient="portrait"/>
          <w:cols w:equalWidth="0" w:num="1">
            <w:col w:w="11140"/>
          </w:cols>
          <w:pgMar w:left="320" w:top="1428" w:right="439" w:bottom="1440" w:gutter="0" w:footer="0" w:header="0"/>
        </w:sectPr>
      </w:pPr>
    </w:p>
    <w:bookmarkStart w:id="374" w:name="page375"/>
    <w:bookmarkEnd w:id="374"/>
    <w:p>
      <w:pPr>
        <w:jc w:val="both"/>
        <w:ind w:left="120" w:right="40"/>
        <w:spacing w:after="0" w:line="286" w:lineRule="auto"/>
        <w:rPr>
          <w:sz w:val="20"/>
          <w:szCs w:val="20"/>
          <w:color w:val="auto"/>
        </w:rPr>
      </w:pPr>
      <w:r>
        <w:rPr>
          <w:rFonts w:ascii="Arial" w:cs="Arial" w:eastAsia="Arial" w:hAnsi="Arial"/>
          <w:sz w:val="19"/>
          <w:szCs w:val="19"/>
          <w:color w:val="auto"/>
        </w:rPr>
        <w:t>any condition specified in Article III. The Collateral Agent shall not be under any obligation to any Secured Party to ascertain or to inquire as to the observance or performance of any of the agreements or covenants contained in, or conditions of, this Agreement, or to inspect the properties, books or records of the Servicer, the Originator, the Custodian, the Deal Agent, any Lender or any other Person, and may assume performance absent written notice or actual knowledge of a Responsible Officer to the contrary. The Collateral Agent shall not be deemed to have knowledge of any event, including any Amortization Event, Unmatured Termination Event, Termination Event or Servicer Termination Event, or information (including breaches of representations and warranties), unless a Responsible Officer of the Collateral Agent has received written notice or has actual knowledge thereof from the Borrower or a Secured Party, and shall have no duty to take any action to determine whether such event or information has occurred. For purposes of determining the Collateral Agent’s responsibility and liability hereunder (including the sending of any notice), whenever reference is made in this Agreement or any other Transaction Document to any event (including, but not limited to, any Amortization Event, Unmatured Termination Event, Termination Event or Servicer Termination Event) or information, such reference shall be construed to refer only to such event or information of which the Collateral Agent has received written notice or has actual knowledge as described in this Section. Information contained in monthly distribution reports (other than those reports that the Collateral Agent is contractually obligated to review) and other publicly-available information shall not constitute written notice or actual knowledge.</w:t>
      </w:r>
    </w:p>
    <w:p>
      <w:pPr>
        <w:spacing w:after="0" w:line="199" w:lineRule="exact"/>
        <w:rPr>
          <w:sz w:val="20"/>
          <w:szCs w:val="20"/>
          <w:color w:val="auto"/>
        </w:rPr>
      </w:pPr>
    </w:p>
    <w:p>
      <w:pPr>
        <w:jc w:val="both"/>
        <w:ind w:left="120" w:firstLine="1940"/>
        <w:spacing w:after="0" w:line="250" w:lineRule="auto"/>
        <w:tabs>
          <w:tab w:leader="none" w:pos="2601" w:val="left"/>
        </w:tabs>
        <w:numPr>
          <w:ilvl w:val="0"/>
          <w:numId w:val="429"/>
        </w:numPr>
        <w:rPr>
          <w:rFonts w:ascii="Arial" w:cs="Arial" w:eastAsia="Arial" w:hAnsi="Arial"/>
          <w:sz w:val="22"/>
          <w:szCs w:val="22"/>
          <w:color w:val="auto"/>
        </w:rPr>
      </w:pPr>
      <w:r>
        <w:rPr>
          <w:rFonts w:ascii="Arial" w:cs="Arial" w:eastAsia="Arial" w:hAnsi="Arial"/>
          <w:sz w:val="22"/>
          <w:szCs w:val="22"/>
          <w:color w:val="auto"/>
        </w:rPr>
        <w:t>The Collateral Agent shall not be imputed with any knowledge of, or information possessed or obtained by, the Backup Servicer, any custodian, or any affiliate, line of business or other division of Wells Fargo and vice versa (in each case other than instances where such roles are performed by the same group or division within Wells Fargo or otherwise include common Responsible Officers).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Reliance</w:t>
      </w:r>
      <w:r>
        <w:rPr>
          <w:rFonts w:ascii="Arial" w:cs="Arial" w:eastAsia="Arial" w:hAnsi="Arial"/>
          <w:sz w:val="22"/>
          <w:szCs w:val="22"/>
          <w:color w:val="auto"/>
        </w:rPr>
        <w:t>.</w:t>
      </w:r>
    </w:p>
    <w:p>
      <w:pPr>
        <w:spacing w:after="0" w:line="260" w:lineRule="exact"/>
        <w:rPr>
          <w:sz w:val="20"/>
          <w:szCs w:val="20"/>
          <w:color w:val="auto"/>
        </w:rPr>
      </w:pPr>
    </w:p>
    <w:p>
      <w:pPr>
        <w:jc w:val="both"/>
        <w:ind w:left="120" w:right="40" w:firstLine="1940"/>
        <w:spacing w:after="0" w:line="287" w:lineRule="auto"/>
        <w:tabs>
          <w:tab w:leader="none" w:pos="2601" w:val="left"/>
        </w:tabs>
        <w:numPr>
          <w:ilvl w:val="0"/>
          <w:numId w:val="430"/>
        </w:numPr>
        <w:rPr>
          <w:rFonts w:ascii="Arial" w:cs="Arial" w:eastAsia="Arial" w:hAnsi="Arial"/>
          <w:sz w:val="19"/>
          <w:szCs w:val="19"/>
          <w:color w:val="auto"/>
        </w:rPr>
      </w:pPr>
      <w:r>
        <w:rPr>
          <w:rFonts w:ascii="Arial" w:cs="Arial" w:eastAsia="Arial" w:hAnsi="Arial"/>
          <w:sz w:val="19"/>
          <w:szCs w:val="19"/>
          <w:color w:val="auto"/>
        </w:rPr>
        <w:t>The Deal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Deal Agent. The Deal Agent shall in all cases be fully justified in failing or refusing to take any action under this Agreement or any other document furnished in connection herewith unless it shall first receive such advice or concurrence of Wells Fargo, as a Lender, or the Required Lenders or all of the Secured Parties, as applicable, as it deems appropriate or it shall first be indemnified to its satisfaction by the Secured Parties, provided that unless and until the Deal Agent shall have received such advice, the Deal Agent may take or refrain from taking any action, as the Deal Agent shall deem advisable and in the best interests of the Secured Parties. The Deal Agent shall in all cases be fully protected in acting, or in refraining from acting, in accordance with a request of Wells Fargo, as a Lender, or the Required Lenders or all of the Secured Parties, as applicable, and such request and any action taken or failure to act pursuant thereto shall be binding upon all the Secured Parties.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107</w:t>
      </w:r>
    </w:p>
    <w:p>
      <w:pPr>
        <w:sectPr>
          <w:pgSz w:w="11900" w:h="16838" w:orient="portrait"/>
          <w:cols w:equalWidth="0" w:num="1">
            <w:col w:w="11140"/>
          </w:cols>
          <w:pgMar w:left="320" w:top="1428" w:right="439" w:bottom="1440" w:gutter="0" w:footer="0" w:header="0"/>
        </w:sectPr>
      </w:pPr>
    </w:p>
    <w:bookmarkStart w:id="375" w:name="page376"/>
    <w:bookmarkEnd w:id="375"/>
    <w:p>
      <w:pPr>
        <w:jc w:val="both"/>
        <w:ind w:left="120" w:right="40" w:firstLine="1940"/>
        <w:spacing w:after="0" w:line="287" w:lineRule="auto"/>
        <w:tabs>
          <w:tab w:leader="none" w:pos="2600" w:val="left"/>
        </w:tabs>
        <w:numPr>
          <w:ilvl w:val="0"/>
          <w:numId w:val="431"/>
        </w:numPr>
        <w:rPr>
          <w:rFonts w:ascii="Arial" w:cs="Arial" w:eastAsia="Arial" w:hAnsi="Arial"/>
          <w:sz w:val="19"/>
          <w:szCs w:val="19"/>
          <w:color w:val="auto"/>
        </w:rPr>
      </w:pPr>
      <w:r>
        <w:rPr>
          <w:rFonts w:ascii="Arial" w:cs="Arial" w:eastAsia="Arial" w:hAnsi="Arial"/>
          <w:sz w:val="19"/>
          <w:szCs w:val="19"/>
          <w:color w:val="auto"/>
        </w:rPr>
        <w:t>The Collateral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the Collateral Agent. The Collateral Agent shall in all cases be fully justified in failing or refusing to take any action under this Agreement or any other document furnished in connection herewith unless it shall first receive such advice or concurrence of the Required Lenders or all of the Secured Parties, as applicable, as it deems appropriate or it shall first be indemnified to its satisfaction by the Secured Parties, provided that unless and until the Collateral Agent shall have received such advice, the Collateral Agent may take or refrain from taking any action, as the Collateral Agent shall deem advisable and in the best interests of the Secured Parties. The Collateral Agent shall in all cases be fully protected in acting, or in refraining from acting, in accordance with a request of the Required Lenders or all of the Secured Parties, as applicable, and such request and any action taken or failure to act pursuant thereto shall be binding upon all the Secured Parties.</w:t>
      </w:r>
    </w:p>
    <w:p>
      <w:pPr>
        <w:spacing w:after="0" w:line="199" w:lineRule="exact"/>
        <w:rPr>
          <w:sz w:val="20"/>
          <w:szCs w:val="20"/>
          <w:color w:val="auto"/>
        </w:rPr>
      </w:pPr>
    </w:p>
    <w:p>
      <w:pPr>
        <w:jc w:val="both"/>
        <w:ind w:left="120" w:firstLine="648"/>
        <w:spacing w:after="0" w:line="258" w:lineRule="auto"/>
        <w:rPr>
          <w:sz w:val="20"/>
          <w:szCs w:val="20"/>
          <w:color w:val="auto"/>
        </w:rPr>
      </w:pPr>
      <w:r>
        <w:rPr>
          <w:rFonts w:ascii="Arial" w:cs="Arial" w:eastAsia="Arial" w:hAnsi="Arial"/>
          <w:sz w:val="21"/>
          <w:szCs w:val="21"/>
          <w:color w:val="auto"/>
        </w:rPr>
        <w:t xml:space="preserve">Section 12.5. </w:t>
      </w:r>
      <w:r>
        <w:rPr>
          <w:rFonts w:ascii="Arial" w:cs="Arial" w:eastAsia="Arial" w:hAnsi="Arial"/>
          <w:sz w:val="21"/>
          <w:szCs w:val="21"/>
          <w:u w:val="single" w:color="auto"/>
          <w:color w:val="auto"/>
        </w:rPr>
        <w:t>Non-Reliance on Deal Agent, Collateral Agent and Other Lenders</w:t>
      </w:r>
      <w:r>
        <w:rPr>
          <w:rFonts w:ascii="Arial" w:cs="Arial" w:eastAsia="Arial" w:hAnsi="Arial"/>
          <w:sz w:val="21"/>
          <w:szCs w:val="21"/>
          <w:color w:val="auto"/>
        </w:rPr>
        <w:t>. Each Secured Party expressly acknowledges that neither the Deal Agent, the Collateral Agent nor any of their respective officers, directors, employees, agents, attorneys-in-fact or affiliates has made any representations or warranties to it and that no act by the Deal Agent or the Collateral Agent hereafter taken, including, without limitation, any review of the affairs of the Borrower, shall be deemed to constitute any representation or warranty by the Deal Agent, any Lender or the Collateral Agent. Each Secured Party represents and warrants to the Deal Agent and the Collateral Agent that it has and will, independently and without reliance upon the Deal Agent, the Collateral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 or Hedging Agreement, as the case may be.</w:t>
      </w:r>
    </w:p>
    <w:p>
      <w:pPr>
        <w:spacing w:after="0" w:line="212" w:lineRule="exact"/>
        <w:rPr>
          <w:sz w:val="20"/>
          <w:szCs w:val="20"/>
          <w:color w:val="auto"/>
        </w:rPr>
      </w:pPr>
    </w:p>
    <w:p>
      <w:pPr>
        <w:jc w:val="both"/>
        <w:ind w:left="120" w:right="20" w:firstLine="648"/>
        <w:spacing w:after="0" w:line="260" w:lineRule="auto"/>
        <w:rPr>
          <w:sz w:val="20"/>
          <w:szCs w:val="20"/>
          <w:color w:val="auto"/>
        </w:rPr>
      </w:pPr>
      <w:r>
        <w:rPr>
          <w:rFonts w:ascii="Arial" w:cs="Arial" w:eastAsia="Arial" w:hAnsi="Arial"/>
          <w:sz w:val="21"/>
          <w:szCs w:val="21"/>
          <w:color w:val="auto"/>
        </w:rPr>
        <w:t xml:space="preserve">Section 12.6. </w:t>
      </w:r>
      <w:r>
        <w:rPr>
          <w:rFonts w:ascii="Arial" w:cs="Arial" w:eastAsia="Arial" w:hAnsi="Arial"/>
          <w:sz w:val="21"/>
          <w:szCs w:val="21"/>
          <w:u w:val="single" w:color="auto"/>
          <w:color w:val="auto"/>
        </w:rPr>
        <w:t>Reimbursement and Indemnification</w:t>
      </w:r>
      <w:r>
        <w:rPr>
          <w:rFonts w:ascii="Arial" w:cs="Arial" w:eastAsia="Arial" w:hAnsi="Arial"/>
          <w:sz w:val="21"/>
          <w:szCs w:val="21"/>
          <w:color w:val="auto"/>
        </w:rPr>
        <w:t>. The Lenders agree to reimburse and indemnify the Deal Agent, the Collateral Agent and each of their respective officers, directors, employees, representatives and agents ratably according to their pro rata shares, to the extent not paid or reimbursed by the Borrower (i) for any amounts for which the Deal Agent, acting in its capacity as Deal Agent, or the Collateral Agent, acting in its capacity as Collateral Agent is entitled to reimbursement by the Borrower hereunder and (ii) for any other expenses incurred by the Deal Agent, in its capacity as Deal Agent or the Collateral Agent, acting in its capacity as Collateral Agent and acting on behalf of the Secured Parties, in connection with the administration and enforcement of this Agreement.</w:t>
      </w:r>
    </w:p>
    <w:p>
      <w:pPr>
        <w:spacing w:after="0" w:line="221" w:lineRule="exact"/>
        <w:rPr>
          <w:sz w:val="20"/>
          <w:szCs w:val="20"/>
          <w:color w:val="auto"/>
        </w:rPr>
      </w:pPr>
    </w:p>
    <w:p>
      <w:pPr>
        <w:jc w:val="both"/>
        <w:ind w:left="120" w:right="40" w:firstLine="648"/>
        <w:spacing w:after="0" w:line="247"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u w:val="single" w:color="auto"/>
          <w:color w:val="auto"/>
        </w:rPr>
        <w:t>Deal Agent and Collateral Agent in their Individual Capacities</w:t>
      </w:r>
      <w:r>
        <w:rPr>
          <w:rFonts w:ascii="Arial" w:cs="Arial" w:eastAsia="Arial" w:hAnsi="Arial"/>
          <w:sz w:val="22"/>
          <w:szCs w:val="22"/>
          <w:color w:val="auto"/>
        </w:rPr>
        <w:t>. The Deal Agent, the Collateral Agent and each of their respective Affiliates may make loans to, accept deposits from and generally engage in any kind of business with the Borrower or any Affiliate of the Borrower as though the Deal Agent or the Collateral Agent, as the case may be, were not the Deal Agent or the Collateral Agent, as the case may be, hereunder. With respect to each Funding pursuant to this Agreement, the Deal Agent, the Collateral Agent and each of their respective Affiliates shall have the same rights and powers under this Agreement as any Lender</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108</w:t>
      </w:r>
    </w:p>
    <w:p>
      <w:pPr>
        <w:sectPr>
          <w:pgSz w:w="11900" w:h="16838" w:orient="portrait"/>
          <w:cols w:equalWidth="0" w:num="1">
            <w:col w:w="11140"/>
          </w:cols>
          <w:pgMar w:left="320" w:top="1428" w:right="439" w:bottom="1440" w:gutter="0" w:footer="0" w:header="0"/>
        </w:sectPr>
      </w:pPr>
    </w:p>
    <w:bookmarkStart w:id="376" w:name="page377"/>
    <w:bookmarkEnd w:id="376"/>
    <w:p>
      <w:pPr>
        <w:jc w:val="both"/>
        <w:ind w:left="120"/>
        <w:spacing w:after="0" w:line="253" w:lineRule="auto"/>
        <w:rPr>
          <w:sz w:val="20"/>
          <w:szCs w:val="20"/>
          <w:color w:val="auto"/>
        </w:rPr>
      </w:pPr>
      <w:r>
        <w:rPr>
          <w:rFonts w:ascii="Arial" w:cs="Arial" w:eastAsia="Arial" w:hAnsi="Arial"/>
          <w:sz w:val="22"/>
          <w:szCs w:val="22"/>
          <w:color w:val="auto"/>
        </w:rPr>
        <w:t>and may exercise the same as though it were not the Deal Agent or the Collateral Agent, as the case may be, and the terms “</w:t>
      </w:r>
      <w:r>
        <w:rPr>
          <w:rFonts w:ascii="Arial" w:cs="Arial" w:eastAsia="Arial" w:hAnsi="Arial"/>
          <w:sz w:val="22"/>
          <w:szCs w:val="22"/>
          <w:u w:val="single" w:color="auto"/>
          <w:color w:val="auto"/>
        </w:rPr>
        <w:t>Lender</w:t>
      </w:r>
      <w:r>
        <w:rPr>
          <w:rFonts w:ascii="Arial" w:cs="Arial" w:eastAsia="Arial" w:hAnsi="Arial"/>
          <w:sz w:val="22"/>
          <w:szCs w:val="22"/>
          <w:color w:val="auto"/>
        </w:rPr>
        <w:t>,” and “</w:t>
      </w:r>
      <w:r>
        <w:rPr>
          <w:rFonts w:ascii="Arial" w:cs="Arial" w:eastAsia="Arial" w:hAnsi="Arial"/>
          <w:sz w:val="22"/>
          <w:szCs w:val="22"/>
          <w:u w:val="single" w:color="auto"/>
          <w:color w:val="auto"/>
        </w:rPr>
        <w:t>Lenders</w:t>
      </w:r>
      <w:r>
        <w:rPr>
          <w:rFonts w:ascii="Arial" w:cs="Arial" w:eastAsia="Arial" w:hAnsi="Arial"/>
          <w:sz w:val="22"/>
          <w:szCs w:val="22"/>
          <w:color w:val="auto"/>
        </w:rPr>
        <w:t>” shall include the Deal Agent or the Collateral Agent, as the case may be, each in its individual capacity.</w:t>
      </w:r>
    </w:p>
    <w:p>
      <w:pPr>
        <w:spacing w:after="0" w:line="22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Successor Deal Agent or Collateral Agent</w:t>
      </w:r>
      <w:r>
        <w:rPr>
          <w:rFonts w:ascii="Arial" w:cs="Arial" w:eastAsia="Arial" w:hAnsi="Arial"/>
          <w:sz w:val="22"/>
          <w:szCs w:val="22"/>
          <w:color w:val="auto"/>
        </w:rPr>
        <w:t>.</w:t>
      </w:r>
    </w:p>
    <w:p>
      <w:pPr>
        <w:spacing w:after="0" w:line="247" w:lineRule="exact"/>
        <w:rPr>
          <w:sz w:val="20"/>
          <w:szCs w:val="20"/>
          <w:color w:val="auto"/>
        </w:rPr>
      </w:pPr>
    </w:p>
    <w:p>
      <w:pPr>
        <w:jc w:val="both"/>
        <w:ind w:left="120" w:firstLine="1940"/>
        <w:spacing w:after="0" w:line="259" w:lineRule="auto"/>
        <w:tabs>
          <w:tab w:leader="none" w:pos="2601" w:val="left"/>
        </w:tabs>
        <w:numPr>
          <w:ilvl w:val="0"/>
          <w:numId w:val="432"/>
        </w:numPr>
        <w:rPr>
          <w:rFonts w:ascii="Arial" w:cs="Arial" w:eastAsia="Arial" w:hAnsi="Arial"/>
          <w:sz w:val="21"/>
          <w:szCs w:val="21"/>
          <w:color w:val="auto"/>
        </w:rPr>
      </w:pPr>
      <w:r>
        <w:rPr>
          <w:rFonts w:ascii="Arial" w:cs="Arial" w:eastAsia="Arial" w:hAnsi="Arial"/>
          <w:sz w:val="21"/>
          <w:szCs w:val="21"/>
          <w:color w:val="auto"/>
        </w:rPr>
        <w:t xml:space="preserve">The Deal Agent may, upon 5 days’ notice to the Borrower and the Secured Parties, and the Deal Agent will, upon the direction of the Required Lenders resign as Deal Agent. If the Deal Agent shall resign, then the Required Lenders during such 5-day period shall appoint a successor agent. If for any reason no successor Deal Agent is appointed by the Required Lenders during such 5-day period, then effective upon the expiration of such 5-day period, the Secured Parties shall perform all of the duties of the Deal Agent hereunder and the Borrower shall make all payments in respect of the Aggregate Unpaids or under any fee letter delivered in connection herewith directly to the applicable Secured Party and for all purposes shall deal directly with each Secured Party. After any retiring Deal Agent’s resignation hereunder as Deal Agent, the provisions of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shall inure to its benefit as to any actions taken or omitted to be taken by it while it was Deal Agent under this Agreement.</w:t>
      </w:r>
    </w:p>
    <w:p>
      <w:pPr>
        <w:spacing w:after="0" w:line="219" w:lineRule="exact"/>
        <w:rPr>
          <w:rFonts w:ascii="Arial" w:cs="Arial" w:eastAsia="Arial" w:hAnsi="Arial"/>
          <w:sz w:val="21"/>
          <w:szCs w:val="21"/>
          <w:color w:val="auto"/>
        </w:rPr>
      </w:pPr>
    </w:p>
    <w:p>
      <w:pPr>
        <w:jc w:val="both"/>
        <w:ind w:left="120" w:firstLine="1940"/>
        <w:spacing w:after="0" w:line="289" w:lineRule="auto"/>
        <w:tabs>
          <w:tab w:leader="none" w:pos="2600" w:val="left"/>
        </w:tabs>
        <w:numPr>
          <w:ilvl w:val="0"/>
          <w:numId w:val="432"/>
        </w:numPr>
        <w:rPr>
          <w:rFonts w:ascii="Arial" w:cs="Arial" w:eastAsia="Arial" w:hAnsi="Arial"/>
          <w:sz w:val="19"/>
          <w:szCs w:val="19"/>
          <w:color w:val="auto"/>
        </w:rPr>
      </w:pPr>
      <w:r>
        <w:rPr>
          <w:rFonts w:ascii="Arial" w:cs="Arial" w:eastAsia="Arial" w:hAnsi="Arial"/>
          <w:sz w:val="19"/>
          <w:szCs w:val="19"/>
          <w:color w:val="auto"/>
        </w:rPr>
        <w:t>The Collateral Agent may, upon 5 days’ notice to the Borrower and the Secured Parties, and the Collateral Agent will, upon the direction of all of the Secured Parties resign as Collateral Agent. If the Collateral Agent shall resign, then the Secured Parties, during such 5-day period shall appoint a successor agent. If for any reason no successor Collateral Agent is appointed by the Secured Parties during such 5-day period, then effective upon the expiration of such 5-day period, the Secured Parties shall perform all of the duties of the Collateral Agent hereunder and the Borrower shall make all payments in respect of the Aggregate Unpaids or under any fee letter delivered in connection herewith directly to the applicable Secured Party and for all purposes shall deal directly with each Secured Party. After any retiring Collateral Agent’s resignation hereunder as Collateral Agent, the provisions of Article XI and Article XII shall inure to its benefit as to any actions taken or omitted to be taken by it while it was Collateral Agent under this Agreement.</w:t>
      </w:r>
    </w:p>
    <w:p>
      <w:pPr>
        <w:spacing w:after="0" w:line="18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ARTICLE XIII ASSIGNMENTS; PARTICIPATIONS</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13.1. </w:t>
      </w:r>
      <w:r>
        <w:rPr>
          <w:rFonts w:ascii="Arial" w:cs="Arial" w:eastAsia="Arial" w:hAnsi="Arial"/>
          <w:sz w:val="22"/>
          <w:szCs w:val="22"/>
          <w:u w:val="single" w:color="auto"/>
          <w:color w:val="auto"/>
        </w:rPr>
        <w:t>Assignments and Participations</w:t>
      </w:r>
      <w:r>
        <w:rPr>
          <w:rFonts w:ascii="Arial" w:cs="Arial" w:eastAsia="Arial" w:hAnsi="Arial"/>
          <w:sz w:val="22"/>
          <w:szCs w:val="22"/>
          <w:color w:val="auto"/>
        </w:rPr>
        <w:t>.</w:t>
      </w:r>
    </w:p>
    <w:p>
      <w:pPr>
        <w:spacing w:after="0" w:line="260" w:lineRule="exact"/>
        <w:rPr>
          <w:sz w:val="20"/>
          <w:szCs w:val="20"/>
          <w:color w:val="auto"/>
        </w:rPr>
      </w:pPr>
    </w:p>
    <w:p>
      <w:pPr>
        <w:jc w:val="both"/>
        <w:ind w:left="120" w:firstLine="1940"/>
        <w:spacing w:after="0" w:line="259" w:lineRule="auto"/>
        <w:tabs>
          <w:tab w:leader="none" w:pos="2601" w:val="left"/>
        </w:tabs>
        <w:numPr>
          <w:ilvl w:val="0"/>
          <w:numId w:val="433"/>
        </w:numPr>
        <w:rPr>
          <w:rFonts w:ascii="Arial" w:cs="Arial" w:eastAsia="Arial" w:hAnsi="Arial"/>
          <w:sz w:val="21"/>
          <w:szCs w:val="21"/>
          <w:color w:val="auto"/>
        </w:rPr>
      </w:pPr>
      <w:r>
        <w:rPr>
          <w:rFonts w:ascii="Arial" w:cs="Arial" w:eastAsia="Arial" w:hAnsi="Arial"/>
          <w:sz w:val="21"/>
          <w:szCs w:val="21"/>
          <w:color w:val="auto"/>
        </w:rPr>
        <w:t xml:space="preserve">Each Lender may upon at least 30 days’ notice to the Deal Agent, assign to one or more banks or other entities all or a portion of its rights and obligations under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$15,000,000 or an integral multiple of $1,000,000 in excess of that amount and (B) the full amount of the assigning Lender’s Commitment; (iii) the parties to each such assignment shall execute and deliver to the Deal Agent, for its acceptance and recording in the Register, an Assignment and Acceptance, together with a processing and recordation fee of $3,500 or such lesser amount as shall be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109</w:t>
      </w:r>
    </w:p>
    <w:p>
      <w:pPr>
        <w:sectPr>
          <w:pgSz w:w="11900" w:h="16838" w:orient="portrait"/>
          <w:cols w:equalWidth="0" w:num="1">
            <w:col w:w="11140"/>
          </w:cols>
          <w:pgMar w:left="320" w:top="1428" w:right="439" w:bottom="1440" w:gutter="0" w:footer="0" w:header="0"/>
        </w:sectPr>
      </w:pPr>
    </w:p>
    <w:bookmarkStart w:id="377" w:name="page378"/>
    <w:bookmarkEnd w:id="377"/>
    <w:p>
      <w:pPr>
        <w:jc w:val="both"/>
        <w:ind w:left="100"/>
        <w:spacing w:after="0" w:line="286" w:lineRule="auto"/>
        <w:rPr>
          <w:sz w:val="20"/>
          <w:szCs w:val="20"/>
          <w:color w:val="auto"/>
        </w:rPr>
      </w:pPr>
      <w:r>
        <w:rPr>
          <w:rFonts w:ascii="Arial" w:cs="Arial" w:eastAsia="Arial" w:hAnsi="Arial"/>
          <w:sz w:val="19"/>
          <w:szCs w:val="19"/>
          <w:color w:val="auto"/>
        </w:rPr>
        <w:t>approved by the Deal Agent; (iv) the parties to each such assignment shall have agreed to reimburse the Deal Agent for all fees, costs and expenses (including, without limitation, the reasonable fees and out-of-pocket expenses of counsel for each of the Deal Agent and any other Lenders) incurred by the Deal Agent or any other Lenders, respectively, in connection with such assignment; and (v) there shall be no increased costs, expenses or taxes incurred by the Deal Agent or any other Lenders upon such assignment or participation. Upon such execution, delivery and acceptance by the Deal Agent and any other Lenders and the recording by the Deal Agent, from and after the effective date specified in each Assignment and Acceptance, which effective date shall be the date of acceptance thereof by the Deal Agent and any other Lenders, unless a later date is specified therein, (A) the assignee thereunder shall be a party hereto and, to the extent that rights and obligations hereunder have been assigned to it pursuant to such Assignment and Acceptance, have the rights and obligations of a Lender hereunder and (B)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206" w:lineRule="exact"/>
        <w:rPr>
          <w:sz w:val="20"/>
          <w:szCs w:val="20"/>
          <w:color w:val="auto"/>
        </w:rPr>
      </w:pPr>
    </w:p>
    <w:p>
      <w:pPr>
        <w:jc w:val="both"/>
        <w:ind w:left="100" w:firstLine="1942"/>
        <w:spacing w:after="0" w:line="283" w:lineRule="auto"/>
        <w:tabs>
          <w:tab w:leader="none" w:pos="2593" w:val="left"/>
        </w:tabs>
        <w:numPr>
          <w:ilvl w:val="1"/>
          <w:numId w:val="434"/>
        </w:numPr>
        <w:rPr>
          <w:rFonts w:ascii="Arial" w:cs="Arial" w:eastAsia="Arial" w:hAnsi="Arial"/>
          <w:sz w:val="19"/>
          <w:szCs w:val="19"/>
          <w:color w:val="auto"/>
        </w:rPr>
      </w:pPr>
      <w:r>
        <w:rPr>
          <w:rFonts w:ascii="Arial" w:cs="Arial" w:eastAsia="Arial" w:hAnsi="Arial"/>
          <w:sz w:val="19"/>
          <w:szCs w:val="19"/>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the Deal Agent, the Collateral Agent, such assigning Lender or any other Lender and based on such documents and information as it shall deem appropriate at the time, continue to make its own credit decisions in taking or not taking action under this Agreement; (iv) such assignee appoints and authorizes each of the Deal Agent, the Collateral Agent and any other Lender to take such action as agent on its behalf and to exercise such powers under this Agreement as are delegated to such agent by the terms hereof, together with such powers as are reasonably incidental thereto; and</w:t>
      </w:r>
    </w:p>
    <w:p>
      <w:pPr>
        <w:spacing w:after="0" w:line="3" w:lineRule="exact"/>
        <w:rPr>
          <w:rFonts w:ascii="Arial" w:cs="Arial" w:eastAsia="Arial" w:hAnsi="Arial"/>
          <w:sz w:val="19"/>
          <w:szCs w:val="19"/>
          <w:color w:val="auto"/>
        </w:rPr>
      </w:pPr>
    </w:p>
    <w:p>
      <w:pPr>
        <w:ind w:left="100" w:hanging="2"/>
        <w:spacing w:after="0" w:line="246" w:lineRule="auto"/>
        <w:tabs>
          <w:tab w:leader="none" w:pos="426" w:val="left"/>
        </w:tabs>
        <w:numPr>
          <w:ilvl w:val="0"/>
          <w:numId w:val="435"/>
        </w:numPr>
        <w:rPr>
          <w:rFonts w:ascii="Arial" w:cs="Arial" w:eastAsia="Arial" w:hAnsi="Arial"/>
          <w:sz w:val="22"/>
          <w:szCs w:val="22"/>
          <w:color w:val="auto"/>
        </w:rPr>
      </w:pPr>
      <w:r>
        <w:rPr>
          <w:rFonts w:ascii="Arial" w:cs="Arial" w:eastAsia="Arial" w:hAnsi="Arial"/>
          <w:sz w:val="22"/>
          <w:szCs w:val="22"/>
          <w:color w:val="auto"/>
        </w:rPr>
        <w:t>such assignee agrees that it will perform in accordance with their terms all of the obligations which by the terms of this Agreement are required to be performed by it as a Lender.</w:t>
      </w:r>
    </w:p>
    <w:p>
      <w:pPr>
        <w:spacing w:after="0" w:line="219" w:lineRule="exact"/>
        <w:rPr>
          <w:rFonts w:ascii="Arial" w:cs="Arial" w:eastAsia="Arial" w:hAnsi="Arial"/>
          <w:sz w:val="22"/>
          <w:szCs w:val="22"/>
          <w:color w:val="auto"/>
        </w:rPr>
      </w:pPr>
    </w:p>
    <w:p>
      <w:pPr>
        <w:jc w:val="both"/>
        <w:ind w:left="100" w:firstLine="1942"/>
        <w:spacing w:after="0" w:line="247" w:lineRule="auto"/>
        <w:tabs>
          <w:tab w:leader="none" w:pos="2594" w:val="left"/>
        </w:tabs>
        <w:numPr>
          <w:ilvl w:val="1"/>
          <w:numId w:val="435"/>
        </w:numPr>
        <w:rPr>
          <w:rFonts w:ascii="Arial" w:cs="Arial" w:eastAsia="Arial" w:hAnsi="Arial"/>
          <w:sz w:val="22"/>
          <w:szCs w:val="22"/>
          <w:color w:val="auto"/>
        </w:rPr>
      </w:pPr>
      <w:r>
        <w:rPr>
          <w:rFonts w:ascii="Arial" w:cs="Arial" w:eastAsia="Arial" w:hAnsi="Arial"/>
          <w:sz w:val="22"/>
          <w:szCs w:val="22"/>
          <w:color w:val="auto"/>
        </w:rPr>
        <w:t>The Deal Agent, acting solely for this purpose as an agent of the Borrower, shall maintain at its address referred to herein a copy of each Assignment and Acceptance delivered to and accepted by it and a register for the recordation of the names and addresses of the Lenders and the Commitment of, and the Capital of the Funding (the “</w:t>
      </w:r>
      <w:r>
        <w:rPr>
          <w:rFonts w:ascii="Arial" w:cs="Arial" w:eastAsia="Arial" w:hAnsi="Arial"/>
          <w:sz w:val="22"/>
          <w:szCs w:val="22"/>
          <w:u w:val="single" w:color="auto"/>
          <w:color w:val="auto"/>
        </w:rPr>
        <w:t>Register</w:t>
      </w:r>
      <w:r>
        <w:rPr>
          <w:rFonts w:ascii="Arial" w:cs="Arial" w:eastAsia="Arial" w:hAnsi="Arial"/>
          <w:sz w:val="22"/>
          <w:szCs w:val="22"/>
          <w:color w:val="auto"/>
        </w:rPr>
        <w:t>”). The entries in the Register shall be conclusive and binding for all purposes, absent manifest error, and the Borrower and the Lenders may treat each Person whose name is recorded in the Register as a Lender hereunder for all purposes of this Agreement. The Register shall be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110</w:t>
      </w:r>
    </w:p>
    <w:p>
      <w:pPr>
        <w:sectPr>
          <w:pgSz w:w="11900" w:h="16838" w:orient="portrait"/>
          <w:cols w:equalWidth="0" w:num="1">
            <w:col w:w="11140"/>
          </w:cols>
          <w:pgMar w:left="320" w:top="1427" w:right="439" w:bottom="1440" w:gutter="0" w:footer="0" w:header="0"/>
        </w:sectPr>
      </w:pPr>
    </w:p>
    <w:bookmarkStart w:id="378" w:name="page379"/>
    <w:bookmarkEnd w:id="378"/>
    <w:p>
      <w:pPr>
        <w:ind w:left="120"/>
        <w:spacing w:after="0"/>
        <w:rPr>
          <w:sz w:val="20"/>
          <w:szCs w:val="20"/>
          <w:color w:val="auto"/>
        </w:rPr>
      </w:pPr>
      <w:r>
        <w:rPr>
          <w:rFonts w:ascii="Arial" w:cs="Arial" w:eastAsia="Arial" w:hAnsi="Arial"/>
          <w:sz w:val="22"/>
          <w:szCs w:val="22"/>
          <w:color w:val="auto"/>
        </w:rPr>
        <w:t>available for inspection by any Lender at any reasonable time and from time to time upon reasonable prior notice.</w:t>
      </w:r>
    </w:p>
    <w:p>
      <w:pPr>
        <w:spacing w:after="0" w:line="260" w:lineRule="exact"/>
        <w:rPr>
          <w:sz w:val="20"/>
          <w:szCs w:val="20"/>
          <w:color w:val="auto"/>
        </w:rPr>
      </w:pPr>
    </w:p>
    <w:p>
      <w:pPr>
        <w:jc w:val="both"/>
        <w:ind w:left="120" w:right="20" w:firstLine="1940"/>
        <w:spacing w:after="0" w:line="248" w:lineRule="auto"/>
        <w:tabs>
          <w:tab w:leader="none" w:pos="2599" w:val="left"/>
        </w:tabs>
        <w:numPr>
          <w:ilvl w:val="0"/>
          <w:numId w:val="436"/>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13.1(a)</w:t>
      </w:r>
      <w:r>
        <w:rPr>
          <w:rFonts w:ascii="Arial" w:cs="Arial" w:eastAsia="Arial" w:hAnsi="Arial"/>
          <w:sz w:val="22"/>
          <w:szCs w:val="22"/>
          <w:color w:val="auto"/>
        </w:rPr>
        <w:t>, upon its receipt of an Assignment and Acceptance executed by an assigning Lender and an assignee, the Deal Agent, the Collateral Agent and the Lenders shall each, if such Assignment and Acceptance has been completed and is in substantially the form of Exhibit B hereto, accept such Assignment and Acceptance, and the Deal Agent shall then (i) record the information contained therein in the Register and (ii) give prompt notice thereof to each Lender.</w:t>
      </w:r>
    </w:p>
    <w:p>
      <w:pPr>
        <w:spacing w:after="0" w:line="218" w:lineRule="exact"/>
        <w:rPr>
          <w:rFonts w:ascii="Arial" w:cs="Arial" w:eastAsia="Arial" w:hAnsi="Arial"/>
          <w:sz w:val="22"/>
          <w:szCs w:val="22"/>
          <w:color w:val="auto"/>
        </w:rPr>
      </w:pPr>
    </w:p>
    <w:p>
      <w:pPr>
        <w:jc w:val="both"/>
        <w:ind w:left="120" w:firstLine="1940"/>
        <w:spacing w:after="0" w:line="284" w:lineRule="auto"/>
        <w:tabs>
          <w:tab w:leader="none" w:pos="2601" w:val="left"/>
        </w:tabs>
        <w:numPr>
          <w:ilvl w:val="0"/>
          <w:numId w:val="436"/>
        </w:numPr>
        <w:rPr>
          <w:rFonts w:ascii="Arial" w:cs="Arial" w:eastAsia="Arial" w:hAnsi="Arial"/>
          <w:sz w:val="19"/>
          <w:szCs w:val="19"/>
          <w:color w:val="auto"/>
        </w:rPr>
      </w:pPr>
      <w:r>
        <w:rPr>
          <w:rFonts w:ascii="Arial" w:cs="Arial" w:eastAsia="Arial" w:hAnsi="Arial"/>
          <w:sz w:val="19"/>
          <w:szCs w:val="19"/>
          <w:color w:val="auto"/>
        </w:rPr>
        <w:t xml:space="preserve">Each Lender may sell participations to one or more banks or other entities in or to all or a portion of its rights and obligations under this Agreement (including, without limitation, all or a portion of its Commitment and its portion of the Funding and related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such Lender’s obligations under this Agreement (including, without limitation, its Commitment hereunder) shall remain unchanged; (ii) such Lender shall remain solely responsible to the other parties hereto for the performance of such obligations; and (iii) the Deal Agent and the other Lenders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w:t>
      </w:r>
      <w:r>
        <w:rPr>
          <w:rFonts w:ascii="Arial" w:cs="Arial" w:eastAsia="Arial" w:hAnsi="Arial"/>
          <w:sz w:val="19"/>
          <w:szCs w:val="19"/>
          <w:u w:val="single" w:color="auto"/>
          <w:color w:val="auto"/>
        </w:rPr>
        <w:t>Sections 2.13</w:t>
      </w:r>
      <w:r>
        <w:rPr>
          <w:rFonts w:ascii="Arial" w:cs="Arial" w:eastAsia="Arial" w:hAnsi="Arial"/>
          <w:sz w:val="19"/>
          <w:szCs w:val="19"/>
          <w:color w:val="auto"/>
        </w:rPr>
        <w:t xml:space="preserve"> and 2.14;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that exceeds the sum of (i) the amount to which such Lender is entitled under such Section with respect to any portion of the Capital that is not subject to any participation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aggregate amount to which its participants are entitled under such Sections with respect to the amounts of their respective participations. With respect to any participation described in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that such Lender may have under or in respect of this Agreement shall be limited to the right to consent to any of the matters set forth in </w:t>
      </w:r>
      <w:r>
        <w:rPr>
          <w:rFonts w:ascii="Arial" w:cs="Arial" w:eastAsia="Arial" w:hAnsi="Arial"/>
          <w:sz w:val="19"/>
          <w:szCs w:val="19"/>
          <w:u w:val="single" w:color="auto"/>
          <w:color w:val="auto"/>
        </w:rPr>
        <w:t>Section 14.1</w:t>
      </w:r>
      <w:r>
        <w:rPr>
          <w:rFonts w:ascii="Arial" w:cs="Arial" w:eastAsia="Arial" w:hAnsi="Arial"/>
          <w:sz w:val="19"/>
          <w:szCs w:val="19"/>
          <w:color w:val="auto"/>
        </w:rPr>
        <w:t xml:space="preserve"> of this Agreement. Each Lender that sells a participation shall, acting solely for this purpose as a non-fiduciary agent of the Borrower, maintain a register on which it enters the name and address of each participant and the amount of Capital (and stated interest) of each participant’s interest in the rights and obligations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the rights and obligations under this Agreement) to any Person except to the extent that such disclosure is necessary to establish that such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Deal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111</w:t>
      </w:r>
    </w:p>
    <w:p>
      <w:pPr>
        <w:sectPr>
          <w:pgSz w:w="11900" w:h="16838" w:orient="portrait"/>
          <w:cols w:equalWidth="0" w:num="1">
            <w:col w:w="11140"/>
          </w:cols>
          <w:pgMar w:left="320" w:top="1427" w:right="439" w:bottom="1440" w:gutter="0" w:footer="0" w:header="0"/>
        </w:sectPr>
      </w:pPr>
    </w:p>
    <w:bookmarkStart w:id="379" w:name="page380"/>
    <w:bookmarkEnd w:id="379"/>
    <w:p>
      <w:pPr>
        <w:ind w:left="120"/>
        <w:spacing w:after="0"/>
        <w:rPr>
          <w:sz w:val="20"/>
          <w:szCs w:val="20"/>
          <w:color w:val="auto"/>
        </w:rPr>
      </w:pPr>
      <w:r>
        <w:rPr>
          <w:rFonts w:ascii="Arial" w:cs="Arial" w:eastAsia="Arial" w:hAnsi="Arial"/>
          <w:sz w:val="22"/>
          <w:szCs w:val="22"/>
          <w:color w:val="auto"/>
        </w:rPr>
        <w:t>Agent (in its capacity as Deal Agent) shall have no responsibility for maintaining a Participant Register.</w:t>
      </w:r>
    </w:p>
    <w:p>
      <w:pPr>
        <w:spacing w:after="0" w:line="328" w:lineRule="exact"/>
        <w:rPr>
          <w:sz w:val="20"/>
          <w:szCs w:val="20"/>
          <w:color w:val="auto"/>
        </w:rPr>
      </w:pPr>
    </w:p>
    <w:p>
      <w:pPr>
        <w:jc w:val="both"/>
        <w:ind w:left="120" w:firstLine="1940"/>
        <w:spacing w:after="0" w:line="271" w:lineRule="auto"/>
        <w:tabs>
          <w:tab w:leader="none" w:pos="2605" w:val="left"/>
        </w:tabs>
        <w:numPr>
          <w:ilvl w:val="0"/>
          <w:numId w:val="437"/>
        </w:numPr>
        <w:rPr>
          <w:rFonts w:ascii="Arial" w:cs="Arial" w:eastAsia="Arial" w:hAnsi="Arial"/>
          <w:sz w:val="21"/>
          <w:szCs w:val="21"/>
          <w:color w:val="auto"/>
        </w:rPr>
      </w:pPr>
      <w:r>
        <w:rPr>
          <w:rFonts w:ascii="Arial" w:cs="Arial" w:eastAsia="Arial" w:hAnsi="Arial"/>
          <w:sz w:val="21"/>
          <w:szCs w:val="21"/>
          <w:color w:val="auto"/>
        </w:rPr>
        <w:t xml:space="preserve">Each Lender may, in connection with any assignment or participation or proposed assignment or participation pursuant to this </w:t>
      </w:r>
      <w:r>
        <w:rPr>
          <w:rFonts w:ascii="Arial" w:cs="Arial" w:eastAsia="Arial" w:hAnsi="Arial"/>
          <w:sz w:val="21"/>
          <w:szCs w:val="21"/>
          <w:u w:val="single" w:color="auto"/>
          <w:color w:val="auto"/>
        </w:rPr>
        <w:t>Section 13.1</w:t>
      </w:r>
      <w:r>
        <w:rPr>
          <w:rFonts w:ascii="Arial" w:cs="Arial" w:eastAsia="Arial" w:hAnsi="Arial"/>
          <w:sz w:val="21"/>
          <w:szCs w:val="21"/>
          <w:color w:val="auto"/>
        </w:rPr>
        <w:t>, disclose to the assignee or participant or proposed assignee or participant any information relating to the Borrower furnished to such Lender by or on behalf of the Borrower.</w:t>
      </w:r>
    </w:p>
    <w:p>
      <w:pPr>
        <w:spacing w:after="0" w:line="207" w:lineRule="exact"/>
        <w:rPr>
          <w:rFonts w:ascii="Arial" w:cs="Arial" w:eastAsia="Arial" w:hAnsi="Arial"/>
          <w:sz w:val="21"/>
          <w:szCs w:val="21"/>
          <w:color w:val="auto"/>
        </w:rPr>
      </w:pPr>
    </w:p>
    <w:p>
      <w:pPr>
        <w:jc w:val="both"/>
        <w:ind w:left="120" w:right="20" w:firstLine="1940"/>
        <w:spacing w:after="0" w:line="253" w:lineRule="auto"/>
        <w:tabs>
          <w:tab w:leader="none" w:pos="2599" w:val="left"/>
        </w:tabs>
        <w:numPr>
          <w:ilvl w:val="0"/>
          <w:numId w:val="437"/>
        </w:numPr>
        <w:rPr>
          <w:rFonts w:ascii="Arial" w:cs="Arial" w:eastAsia="Arial" w:hAnsi="Arial"/>
          <w:sz w:val="22"/>
          <w:szCs w:val="22"/>
          <w:color w:val="auto"/>
        </w:rPr>
      </w:pPr>
      <w:r>
        <w:rPr>
          <w:rFonts w:ascii="Arial" w:cs="Arial" w:eastAsia="Arial" w:hAnsi="Arial"/>
          <w:sz w:val="22"/>
          <w:szCs w:val="22"/>
          <w:color w:val="auto"/>
        </w:rPr>
        <w:t xml:space="preserve">Nothing herein shall prohibit any Lender from pledging or assigning as collateral any of its rights under this Agreement to any Federal Reserve Bank in accordance with Applicable Law and any such pledge or collateral assignment may be made without compliance with </w:t>
      </w:r>
      <w:r>
        <w:rPr>
          <w:rFonts w:ascii="Arial" w:cs="Arial" w:eastAsia="Arial" w:hAnsi="Arial"/>
          <w:sz w:val="22"/>
          <w:szCs w:val="22"/>
          <w:u w:val="single" w:color="auto"/>
          <w:color w:val="auto"/>
        </w:rPr>
        <w:t>Section 13.1(a)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13.1(b)</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left="120" w:right="20" w:firstLine="1940"/>
        <w:spacing w:after="0" w:line="265" w:lineRule="auto"/>
        <w:tabs>
          <w:tab w:leader="none" w:pos="2599" w:val="left"/>
        </w:tabs>
        <w:numPr>
          <w:ilvl w:val="0"/>
          <w:numId w:val="437"/>
        </w:numPr>
        <w:rPr>
          <w:rFonts w:ascii="Arial" w:cs="Arial" w:eastAsia="Arial" w:hAnsi="Arial"/>
          <w:sz w:val="21"/>
          <w:szCs w:val="21"/>
          <w:color w:val="auto"/>
        </w:rPr>
      </w:pPr>
      <w:r>
        <w:rPr>
          <w:rFonts w:ascii="Arial" w:cs="Arial" w:eastAsia="Arial" w:hAnsi="Arial"/>
          <w:sz w:val="21"/>
          <w:szCs w:val="21"/>
          <w:color w:val="auto"/>
        </w:rPr>
        <w:t>Each Lender may at any time assign, or grant a security interest in or sell a participation interest in the Capital and the Collateral (or portion thereof) to any Person. The parties to any such assignment, grant or sale of participation interest, shall execute and deliver to the related Lender, for its acceptance and recording in its books and records, such agreement or document as may be satisfactory to such parties and the related Lender.</w:t>
      </w:r>
    </w:p>
    <w:p>
      <w:pPr>
        <w:spacing w:after="0" w:line="21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ARTICLE XIV MISCELLANEOUS</w:t>
      </w: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14.1.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w:t>
      </w:r>
    </w:p>
    <w:p>
      <w:pPr>
        <w:spacing w:after="0" w:line="247" w:lineRule="exact"/>
        <w:rPr>
          <w:sz w:val="20"/>
          <w:szCs w:val="20"/>
          <w:color w:val="auto"/>
        </w:rPr>
      </w:pPr>
    </w:p>
    <w:p>
      <w:pPr>
        <w:jc w:val="both"/>
        <w:ind w:left="120" w:firstLine="1940"/>
        <w:spacing w:after="0" w:line="297" w:lineRule="auto"/>
        <w:tabs>
          <w:tab w:leader="none" w:pos="2601" w:val="left"/>
        </w:tabs>
        <w:numPr>
          <w:ilvl w:val="0"/>
          <w:numId w:val="438"/>
        </w:numPr>
        <w:rPr>
          <w:rFonts w:ascii="Arial" w:cs="Arial" w:eastAsia="Arial" w:hAnsi="Arial"/>
          <w:sz w:val="19"/>
          <w:szCs w:val="19"/>
          <w:color w:val="auto"/>
        </w:rPr>
      </w:pPr>
      <w:r>
        <w:rPr>
          <w:rFonts w:ascii="Arial" w:cs="Arial" w:eastAsia="Arial" w:hAnsi="Arial"/>
          <w:sz w:val="19"/>
          <w:szCs w:val="19"/>
          <w:color w:val="auto"/>
        </w:rPr>
        <w:t xml:space="preserve">Except as provided in this Section 14.1, no amendment, waiver or other modification of any provision of this Agreement shall be effective without the written agreement of the Borrower, the Deal Agent, the Collateral Agent and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waiver or modification shall affect the rights or obligations of any Hedge Counterparty or the Backup Servicer without the written agreement of such Person. Any waiver or consent shall be effective only in the specific instance and for the specific purpose for which given.</w:t>
      </w:r>
    </w:p>
    <w:p>
      <w:pPr>
        <w:spacing w:after="0" w:line="187" w:lineRule="exact"/>
        <w:rPr>
          <w:rFonts w:ascii="Arial" w:cs="Arial" w:eastAsia="Arial" w:hAnsi="Arial"/>
          <w:sz w:val="19"/>
          <w:szCs w:val="19"/>
          <w:color w:val="auto"/>
        </w:rPr>
      </w:pPr>
    </w:p>
    <w:p>
      <w:pPr>
        <w:ind w:left="2700" w:hanging="640"/>
        <w:spacing w:after="0"/>
        <w:tabs>
          <w:tab w:leader="none" w:pos="2700" w:val="left"/>
        </w:tabs>
        <w:numPr>
          <w:ilvl w:val="0"/>
          <w:numId w:val="438"/>
        </w:numPr>
        <w:rPr>
          <w:rFonts w:ascii="Arial" w:cs="Arial" w:eastAsia="Arial" w:hAnsi="Arial"/>
          <w:sz w:val="22"/>
          <w:szCs w:val="22"/>
          <w:color w:val="auto"/>
        </w:rPr>
      </w:pPr>
      <w:r>
        <w:rPr>
          <w:rFonts w:ascii="Arial" w:cs="Arial" w:eastAsia="Arial" w:hAnsi="Arial"/>
          <w:sz w:val="22"/>
          <w:szCs w:val="22"/>
          <w:color w:val="auto"/>
        </w:rPr>
        <w:t>No amendment, waiver or other modification of this Agreement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shall:</w:t>
      </w:r>
    </w:p>
    <w:p>
      <w:pPr>
        <w:spacing w:after="0" w:line="242" w:lineRule="exact"/>
        <w:rPr>
          <w:sz w:val="20"/>
          <w:szCs w:val="20"/>
          <w:color w:val="auto"/>
        </w:rPr>
      </w:pPr>
    </w:p>
    <w:p>
      <w:pPr>
        <w:ind w:left="3240" w:hanging="736"/>
        <w:spacing w:after="0"/>
        <w:tabs>
          <w:tab w:leader="none" w:pos="3240" w:val="left"/>
        </w:tabs>
        <w:numPr>
          <w:ilvl w:val="0"/>
          <w:numId w:val="439"/>
        </w:numPr>
        <w:rPr>
          <w:rFonts w:ascii="Arial" w:cs="Arial" w:eastAsia="Arial" w:hAnsi="Arial"/>
          <w:sz w:val="22"/>
          <w:szCs w:val="22"/>
          <w:color w:val="auto"/>
        </w:rPr>
      </w:pPr>
      <w:r>
        <w:rPr>
          <w:rFonts w:ascii="Arial" w:cs="Arial" w:eastAsia="Arial" w:hAnsi="Arial"/>
          <w:sz w:val="22"/>
          <w:szCs w:val="22"/>
          <w:color w:val="auto"/>
        </w:rPr>
        <w:t>without the consent of each affected Lender, (A) extend the</w:t>
      </w:r>
    </w:p>
    <w:p>
      <w:pPr>
        <w:spacing w:after="0" w:line="21"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22"/>
          <w:szCs w:val="22"/>
          <w:color w:val="auto"/>
        </w:rPr>
        <w:t>Commitment Termination Date or the date of any payment or deposit of Collections by the Borrower or the Servicer, (B) reduce the rate or extend the time of payment of Yield (or any component thereof), (C) reduce any fee payable to the Deal Agent for the benefit of the Lenders,</w:t>
      </w:r>
    </w:p>
    <w:p>
      <w:pPr>
        <w:spacing w:after="0" w:line="1" w:lineRule="exact"/>
        <w:rPr>
          <w:sz w:val="20"/>
          <w:szCs w:val="20"/>
          <w:color w:val="auto"/>
        </w:rPr>
      </w:pPr>
    </w:p>
    <w:p>
      <w:pPr>
        <w:jc w:val="both"/>
        <w:ind w:left="120" w:hanging="4"/>
        <w:spacing w:after="0" w:line="244" w:lineRule="auto"/>
        <w:tabs>
          <w:tab w:leader="none" w:pos="656" w:val="left"/>
        </w:tabs>
        <w:numPr>
          <w:ilvl w:val="0"/>
          <w:numId w:val="440"/>
        </w:numPr>
        <w:rPr>
          <w:rFonts w:ascii="Arial" w:cs="Arial" w:eastAsia="Arial" w:hAnsi="Arial"/>
          <w:sz w:val="22"/>
          <w:szCs w:val="22"/>
          <w:color w:val="auto"/>
        </w:rPr>
      </w:pPr>
      <w:r>
        <w:rPr>
          <w:rFonts w:ascii="Arial" w:cs="Arial" w:eastAsia="Arial" w:hAnsi="Arial"/>
          <w:sz w:val="22"/>
          <w:szCs w:val="22"/>
          <w:color w:val="auto"/>
        </w:rPr>
        <w:t xml:space="preserve">except pursuant to </w:t>
      </w:r>
      <w:r>
        <w:rPr>
          <w:rFonts w:ascii="Arial" w:cs="Arial" w:eastAsia="Arial" w:hAnsi="Arial"/>
          <w:sz w:val="22"/>
          <w:szCs w:val="22"/>
          <w:u w:val="single" w:color="auto"/>
          <w:color w:val="auto"/>
        </w:rPr>
        <w:t>Article XIII</w:t>
      </w:r>
      <w:r>
        <w:rPr>
          <w:rFonts w:ascii="Arial" w:cs="Arial" w:eastAsia="Arial" w:hAnsi="Arial"/>
          <w:sz w:val="22"/>
          <w:szCs w:val="22"/>
          <w:color w:val="auto"/>
        </w:rPr>
        <w:t xml:space="preserve"> hereof, change the amount of the Capital of any Lender, a Lender’s pro rata share or a Lender’s Commitment, (E) amend, modify or waive any provision of the definition of Required Lenders or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14.1(b)</w:t>
      </w:r>
      <w:r>
        <w:rPr>
          <w:rFonts w:ascii="Arial" w:cs="Arial" w:eastAsia="Arial" w:hAnsi="Arial"/>
          <w:sz w:val="22"/>
          <w:szCs w:val="22"/>
          <w:color w:val="auto"/>
        </w:rPr>
        <w:t>, (F) consent to or permit the assignment or transfer by the Borrower of any of its rights and obligations under this Agreement or (G) amend or modify any defined term (or any defined term used directly or indirectly in such defined term) used in clauses (A) through (F) above in a manner that would circumvent the intention of the restrictions set forth in such clauses;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112</w:t>
      </w:r>
    </w:p>
    <w:p>
      <w:pPr>
        <w:sectPr>
          <w:pgSz w:w="11900" w:h="16838" w:orient="portrait"/>
          <w:cols w:equalWidth="0" w:num="1">
            <w:col w:w="11120"/>
          </w:cols>
          <w:pgMar w:left="320" w:top="1427" w:right="459" w:bottom="1440" w:gutter="0" w:footer="0" w:header="0"/>
        </w:sectPr>
      </w:pPr>
    </w:p>
    <w:bookmarkStart w:id="380" w:name="page381"/>
    <w:bookmarkEnd w:id="380"/>
    <w:p>
      <w:pPr>
        <w:jc w:val="both"/>
        <w:ind w:left="120" w:right="20" w:firstLine="2588"/>
        <w:spacing w:after="0" w:line="253" w:lineRule="auto"/>
        <w:tabs>
          <w:tab w:leader="none" w:pos="3246" w:val="left"/>
        </w:tabs>
        <w:numPr>
          <w:ilvl w:val="2"/>
          <w:numId w:val="441"/>
        </w:numPr>
        <w:rPr>
          <w:rFonts w:ascii="Arial" w:cs="Arial" w:eastAsia="Arial" w:hAnsi="Arial"/>
          <w:sz w:val="22"/>
          <w:szCs w:val="22"/>
          <w:color w:val="auto"/>
        </w:rPr>
      </w:pPr>
      <w:r>
        <w:rPr>
          <w:rFonts w:ascii="Arial" w:cs="Arial" w:eastAsia="Arial" w:hAnsi="Arial"/>
          <w:sz w:val="22"/>
          <w:szCs w:val="22"/>
          <w:color w:val="auto"/>
        </w:rPr>
        <w:t>without the written consent of the Deal Agent or the Collateral Agent, as applicable, amend, modify or waive any provision of this Agreement if the effect thereof is to affect the rights or duties of the Deal Agent or the Collateral Agent, as applicable; or</w:t>
      </w:r>
    </w:p>
    <w:p>
      <w:pPr>
        <w:spacing w:after="0" w:line="293" w:lineRule="exact"/>
        <w:rPr>
          <w:rFonts w:ascii="Arial" w:cs="Arial" w:eastAsia="Arial" w:hAnsi="Arial"/>
          <w:sz w:val="22"/>
          <w:szCs w:val="22"/>
          <w:color w:val="auto"/>
        </w:rPr>
      </w:pPr>
    </w:p>
    <w:p>
      <w:pPr>
        <w:ind w:left="3360" w:hanging="652"/>
        <w:spacing w:after="0"/>
        <w:tabs>
          <w:tab w:leader="none" w:pos="3360" w:val="left"/>
        </w:tabs>
        <w:numPr>
          <w:ilvl w:val="2"/>
          <w:numId w:val="441"/>
        </w:numPr>
        <w:rPr>
          <w:rFonts w:ascii="Arial" w:cs="Arial" w:eastAsia="Arial" w:hAnsi="Arial"/>
          <w:sz w:val="22"/>
          <w:szCs w:val="22"/>
          <w:color w:val="auto"/>
        </w:rPr>
      </w:pPr>
      <w:r>
        <w:rPr>
          <w:rFonts w:ascii="Arial" w:cs="Arial" w:eastAsia="Arial" w:hAnsi="Arial"/>
          <w:sz w:val="22"/>
          <w:szCs w:val="22"/>
          <w:color w:val="auto"/>
        </w:rPr>
        <w:t>without the consent of the Deal Agent, amend or modify</w:t>
      </w:r>
    </w:p>
    <w:p>
      <w:pPr>
        <w:spacing w:after="0" w:line="21" w:lineRule="exact"/>
        <w:rPr>
          <w:rFonts w:ascii="Arial" w:cs="Arial" w:eastAsia="Arial" w:hAnsi="Arial"/>
          <w:sz w:val="22"/>
          <w:szCs w:val="22"/>
          <w:color w:val="auto"/>
        </w:rPr>
      </w:pPr>
    </w:p>
    <w:p>
      <w:pPr>
        <w:ind w:left="120" w:right="520" w:hanging="4"/>
        <w:spacing w:after="0" w:line="245" w:lineRule="auto"/>
        <w:tabs>
          <w:tab w:leader="none" w:pos="474" w:val="left"/>
        </w:tabs>
        <w:numPr>
          <w:ilvl w:val="0"/>
          <w:numId w:val="442"/>
        </w:numPr>
        <w:rPr>
          <w:rFonts w:ascii="Arial" w:cs="Arial" w:eastAsia="Arial" w:hAnsi="Arial"/>
          <w:sz w:val="22"/>
          <w:szCs w:val="22"/>
          <w:color w:val="auto"/>
        </w:rPr>
      </w:pP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(B) the definitions of “Amortization Event,” “Eligible Dealer Agreement,” “Hedging Agreement,” “Net Advance Rate,” “Termination Date” and “Required Reserve Account Amount” as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(C)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2.7(a)</w:t>
      </w:r>
      <w:r>
        <w:rPr>
          <w:rFonts w:ascii="Arial" w:cs="Arial" w:eastAsia="Arial" w:hAnsi="Arial"/>
          <w:sz w:val="22"/>
          <w:szCs w:val="22"/>
          <w:color w:val="auto"/>
        </w:rPr>
        <w:t xml:space="preserve"> or (D) </w:t>
      </w:r>
      <w:r>
        <w:rPr>
          <w:rFonts w:ascii="Arial" w:cs="Arial" w:eastAsia="Arial" w:hAnsi="Arial"/>
          <w:sz w:val="22"/>
          <w:szCs w:val="22"/>
          <w:u w:val="single" w:color="auto"/>
          <w:color w:val="auto"/>
        </w:rPr>
        <w:t>Section 5.3</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20" w:firstLine="1940"/>
        <w:spacing w:after="0" w:line="250" w:lineRule="auto"/>
        <w:tabs>
          <w:tab w:leader="none" w:pos="2601" w:val="left"/>
        </w:tabs>
        <w:numPr>
          <w:ilvl w:val="1"/>
          <w:numId w:val="442"/>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14.1, without the consent of the Lenders, the Deal Agent may, with the consent of the Borrower amend this Agreement solely to add additional Persons as Lenders hereunder. Any modification or waiver shall apply to each of the Lenders equally and shall be binding upon the Borrower, the Lenders, the Collateral Agent and the Deal Agent.</w:t>
      </w:r>
    </w:p>
    <w:p>
      <w:pPr>
        <w:spacing w:after="0" w:line="228" w:lineRule="exact"/>
        <w:rPr>
          <w:sz w:val="20"/>
          <w:szCs w:val="20"/>
          <w:color w:val="auto"/>
        </w:rPr>
      </w:pPr>
    </w:p>
    <w:p>
      <w:pPr>
        <w:jc w:val="both"/>
        <w:ind w:left="120" w:right="20" w:firstLine="648"/>
        <w:spacing w:after="0" w:line="259"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u w:val="single" w:color="auto"/>
          <w:color w:val="auto"/>
        </w:rPr>
        <w:t>Notices, Etc</w:t>
      </w:r>
      <w:r>
        <w:rPr>
          <w:rFonts w:ascii="Arial" w:cs="Arial" w:eastAsia="Arial" w:hAnsi="Arial"/>
          <w:sz w:val="21"/>
          <w:szCs w:val="21"/>
          <w:color w:val="auto"/>
        </w:rPr>
        <w:t xml:space="preserve">. All notices and other communications provided for hereunder shall, unless otherwise stated herein, be in writing (including telex communication and communication by facsimile copy) and mailed, telexed, transmitted or delivered, as to each party hereto, at its address set forth under its name on the signature pages hereof, or specified in such party’s Assignment and Acceptance or at such other address as shall be designated by such party in a written notice to the other parties hereto. All such notices and communications shall be effective, upon receipt, or in the case of (a) notice by mail, five days after being deposited in the United States mail, first class postage prepaid, (b) notice by telex, when telexed against receipt of answer back, or (c) notice by facsimile copy, when verbal communication of receipt is obtained, except that notices and communications pursuant to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shall not be effective until received with respect to any notice sent by mail or telex.</w:t>
      </w:r>
    </w:p>
    <w:p>
      <w:pPr>
        <w:spacing w:after="0" w:line="206" w:lineRule="exact"/>
        <w:rPr>
          <w:sz w:val="20"/>
          <w:szCs w:val="20"/>
          <w:color w:val="auto"/>
        </w:rPr>
      </w:pPr>
    </w:p>
    <w:p>
      <w:pPr>
        <w:jc w:val="both"/>
        <w:ind w:left="120" w:right="20" w:firstLine="648"/>
        <w:spacing w:after="0" w:line="292" w:lineRule="auto"/>
        <w:rPr>
          <w:sz w:val="20"/>
          <w:szCs w:val="20"/>
          <w:color w:val="auto"/>
        </w:rPr>
      </w:pPr>
      <w:r>
        <w:rPr>
          <w:rFonts w:ascii="Arial" w:cs="Arial" w:eastAsia="Arial" w:hAnsi="Arial"/>
          <w:sz w:val="19"/>
          <w:szCs w:val="19"/>
          <w:color w:val="auto"/>
        </w:rPr>
        <w:t xml:space="preserve">Section 14.3. </w:t>
      </w:r>
      <w:r>
        <w:rPr>
          <w:rFonts w:ascii="Arial" w:cs="Arial" w:eastAsia="Arial" w:hAnsi="Arial"/>
          <w:sz w:val="19"/>
          <w:szCs w:val="19"/>
          <w:u w:val="single" w:color="auto"/>
          <w:color w:val="auto"/>
        </w:rPr>
        <w:t>Ratable Payments</w:t>
      </w:r>
      <w:r>
        <w:rPr>
          <w:rFonts w:ascii="Arial" w:cs="Arial" w:eastAsia="Arial" w:hAnsi="Arial"/>
          <w:sz w:val="19"/>
          <w:szCs w:val="19"/>
          <w:color w:val="auto"/>
        </w:rPr>
        <w:t xml:space="preserve">. If any Secured Party, whether by setoff or otherwise, has payment made to it with respect to any portion of the Aggregate Unpaids owing to such Secured Party (other than payments received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in a greater proportion than that received by any other Secured Party), such Secured Party agrees, promptly upon demand, to purchase for cash without recourse or warranty a portion of the Aggregate Unpaids held by the other Secured Parties so that after such purchase each Secured Party will hold its ratable proportion of the Aggregate Unpaids;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all or any portion of such excess amount is thereafter recovered from such Secured Party, such purchase shall be rescinded and the purchase price restored to the extent of such recovery, but without interest.</w:t>
      </w:r>
    </w:p>
    <w:p>
      <w:pPr>
        <w:spacing w:after="0" w:line="191" w:lineRule="exact"/>
        <w:rPr>
          <w:sz w:val="20"/>
          <w:szCs w:val="20"/>
          <w:color w:val="auto"/>
        </w:rPr>
      </w:pPr>
    </w:p>
    <w:p>
      <w:pPr>
        <w:jc w:val="both"/>
        <w:ind w:left="120" w:right="20" w:firstLine="648"/>
        <w:spacing w:after="0" w:line="248" w:lineRule="auto"/>
        <w:rPr>
          <w:sz w:val="20"/>
          <w:szCs w:val="20"/>
          <w:color w:val="auto"/>
        </w:rPr>
      </w:pPr>
      <w:r>
        <w:rPr>
          <w:rFonts w:ascii="Arial" w:cs="Arial" w:eastAsia="Arial" w:hAnsi="Arial"/>
          <w:sz w:val="22"/>
          <w:szCs w:val="22"/>
          <w:color w:val="auto"/>
        </w:rPr>
        <w:t xml:space="preserve">Section 14.4. </w:t>
      </w:r>
      <w:r>
        <w:rPr>
          <w:rFonts w:ascii="Arial" w:cs="Arial" w:eastAsia="Arial" w:hAnsi="Arial"/>
          <w:sz w:val="22"/>
          <w:szCs w:val="22"/>
          <w:u w:val="single" w:color="auto"/>
          <w:color w:val="auto"/>
        </w:rPr>
        <w:t>No Waiver; Remedies</w:t>
      </w:r>
      <w:r>
        <w:rPr>
          <w:rFonts w:ascii="Arial" w:cs="Arial" w:eastAsia="Arial" w:hAnsi="Arial"/>
          <w:sz w:val="22"/>
          <w:szCs w:val="22"/>
          <w:color w:val="auto"/>
        </w:rPr>
        <w:t>. No failure on the part of the Deal Agent, the Collateral Agent, the Backup Servicer or a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spacing w:after="0" w:line="232" w:lineRule="exact"/>
        <w:rPr>
          <w:sz w:val="20"/>
          <w:szCs w:val="20"/>
          <w:color w:val="auto"/>
        </w:rPr>
      </w:pPr>
    </w:p>
    <w:p>
      <w:pPr>
        <w:jc w:val="both"/>
        <w:ind w:left="120" w:right="20" w:firstLine="648"/>
        <w:spacing w:after="0" w:line="263"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u w:val="single" w:color="auto"/>
          <w:color w:val="auto"/>
        </w:rPr>
        <w:t>Binding Effect; Benefit of Agreement</w:t>
      </w:r>
      <w:r>
        <w:rPr>
          <w:rFonts w:ascii="Arial" w:cs="Arial" w:eastAsia="Arial" w:hAnsi="Arial"/>
          <w:sz w:val="22"/>
          <w:szCs w:val="22"/>
          <w:color w:val="auto"/>
        </w:rPr>
        <w:t>. This Agreement shall be binding upon and inure to the benefit of the Borrower, the Deal Agent, the Backup Servicer, the</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113</w:t>
      </w:r>
    </w:p>
    <w:p>
      <w:pPr>
        <w:sectPr>
          <w:pgSz w:w="11900" w:h="16838" w:orient="portrait"/>
          <w:cols w:equalWidth="0" w:num="1">
            <w:col w:w="11160"/>
          </w:cols>
          <w:pgMar w:left="320" w:top="1427" w:right="419" w:bottom="1440" w:gutter="0" w:footer="0" w:header="0"/>
        </w:sectPr>
      </w:pPr>
    </w:p>
    <w:bookmarkStart w:id="381" w:name="page382"/>
    <w:bookmarkEnd w:id="381"/>
    <w:p>
      <w:pPr>
        <w:jc w:val="both"/>
        <w:ind w:left="120" w:right="40"/>
        <w:spacing w:after="0" w:line="253" w:lineRule="auto"/>
        <w:rPr>
          <w:sz w:val="20"/>
          <w:szCs w:val="20"/>
          <w:color w:val="auto"/>
        </w:rPr>
      </w:pPr>
      <w:r>
        <w:rPr>
          <w:rFonts w:ascii="Arial" w:cs="Arial" w:eastAsia="Arial" w:hAnsi="Arial"/>
          <w:sz w:val="22"/>
          <w:szCs w:val="22"/>
          <w:color w:val="auto"/>
        </w:rPr>
        <w:t xml:space="preserve">Collateral Agent, the Secured Parties and their respective successors and permitted assigns and, in addition, the provisions of </w:t>
      </w:r>
      <w:r>
        <w:rPr>
          <w:rFonts w:ascii="Arial" w:cs="Arial" w:eastAsia="Arial" w:hAnsi="Arial"/>
          <w:sz w:val="22"/>
          <w:szCs w:val="22"/>
          <w:u w:val="single" w:color="auto"/>
          <w:color w:val="auto"/>
        </w:rPr>
        <w:t>Section 2.7(a)(i)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2.7(a)(xi)</w:t>
      </w:r>
      <w:r>
        <w:rPr>
          <w:rFonts w:ascii="Arial" w:cs="Arial" w:eastAsia="Arial" w:hAnsi="Arial"/>
          <w:sz w:val="22"/>
          <w:szCs w:val="22"/>
          <w:color w:val="auto"/>
        </w:rPr>
        <w:t xml:space="preserve"> shall inure to the benefit of each Hedge Counterparty, whether or not that Hedge Counterparty is a Secured Party.</w:t>
      </w:r>
    </w:p>
    <w:p>
      <w:pPr>
        <w:spacing w:after="0" w:line="226" w:lineRule="exact"/>
        <w:rPr>
          <w:sz w:val="20"/>
          <w:szCs w:val="20"/>
          <w:color w:val="auto"/>
        </w:rPr>
      </w:pPr>
    </w:p>
    <w:p>
      <w:pPr>
        <w:jc w:val="both"/>
        <w:ind w:left="120" w:right="40" w:firstLine="648"/>
        <w:spacing w:after="0" w:line="292" w:lineRule="auto"/>
        <w:rPr>
          <w:sz w:val="20"/>
          <w:szCs w:val="20"/>
          <w:color w:val="auto"/>
        </w:rPr>
      </w:pPr>
      <w:r>
        <w:rPr>
          <w:rFonts w:ascii="Arial" w:cs="Arial" w:eastAsia="Arial" w:hAnsi="Arial"/>
          <w:sz w:val="19"/>
          <w:szCs w:val="19"/>
          <w:color w:val="auto"/>
        </w:rPr>
        <w:t xml:space="preserve">Section 14.6. </w:t>
      </w:r>
      <w:r>
        <w:rPr>
          <w:rFonts w:ascii="Arial" w:cs="Arial" w:eastAsia="Arial" w:hAnsi="Arial"/>
          <w:sz w:val="19"/>
          <w:szCs w:val="19"/>
          <w:u w:val="single" w:color="auto"/>
          <w:color w:val="auto"/>
        </w:rPr>
        <w:t>Term of this Agreement</w:t>
      </w:r>
      <w:r>
        <w:rPr>
          <w:rFonts w:ascii="Arial" w:cs="Arial" w:eastAsia="Arial" w:hAnsi="Arial"/>
          <w:sz w:val="19"/>
          <w:szCs w:val="19"/>
          <w:color w:val="auto"/>
        </w:rPr>
        <w:t xml:space="preserve">. This Agreement, including, without limitation, the Borrower’s representations, warranties and covenants set forth in Articles IV and V, and the Servicer’s representations, warranties and covenants set forth in Articles V and VI hereof, create and constitute the continuing obligation of the parties hereto in accordance with its terms, and shall remain in full force and effect until the Collection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rights and remedies with respect to any breach of any representation and warranty made or deemed made by the Borrower or Servicer pursuant to Articles III and IV and the indemnification and payment provisions of Article XI and Article XII and the provisions of </w:t>
      </w:r>
      <w:r>
        <w:rPr>
          <w:rFonts w:ascii="Arial" w:cs="Arial" w:eastAsia="Arial" w:hAnsi="Arial"/>
          <w:sz w:val="19"/>
          <w:szCs w:val="19"/>
          <w:u w:val="single" w:color="auto"/>
          <w:color w:val="auto"/>
        </w:rPr>
        <w:t>Section 14.10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14.11</w:t>
      </w:r>
      <w:r>
        <w:rPr>
          <w:rFonts w:ascii="Arial" w:cs="Arial" w:eastAsia="Arial" w:hAnsi="Arial"/>
          <w:sz w:val="19"/>
          <w:szCs w:val="19"/>
          <w:color w:val="auto"/>
        </w:rPr>
        <w:t xml:space="preserve"> shall be continuing and shall survive any termination of this Agreement.</w:t>
      </w:r>
    </w:p>
    <w:p>
      <w:pPr>
        <w:spacing w:after="0" w:line="178" w:lineRule="exact"/>
        <w:rPr>
          <w:sz w:val="20"/>
          <w:szCs w:val="20"/>
          <w:color w:val="auto"/>
        </w:rPr>
      </w:pPr>
    </w:p>
    <w:p>
      <w:pPr>
        <w:jc w:val="both"/>
        <w:ind w:left="120" w:right="40" w:firstLine="648"/>
        <w:spacing w:after="0" w:line="246" w:lineRule="auto"/>
        <w:rPr>
          <w:sz w:val="20"/>
          <w:szCs w:val="20"/>
          <w:color w:val="auto"/>
        </w:rPr>
      </w:pPr>
      <w:r>
        <w:rPr>
          <w:rFonts w:ascii="Arial" w:cs="Arial" w:eastAsia="Arial" w:hAnsi="Arial"/>
          <w:sz w:val="22"/>
          <w:szCs w:val="22"/>
          <w:color w:val="auto"/>
        </w:rPr>
        <w:t xml:space="preserve">Section 14.7. </w:t>
      </w:r>
      <w:r>
        <w:rPr>
          <w:rFonts w:ascii="Arial" w:cs="Arial" w:eastAsia="Arial" w:hAnsi="Arial"/>
          <w:sz w:val="22"/>
          <w:szCs w:val="22"/>
          <w:u w:val="single" w:color="auto"/>
          <w:color w:val="auto"/>
        </w:rPr>
        <w:t>Governing Law; Consent to Jurisdiction; Waiver of Objection to Venue</w:t>
      </w:r>
      <w:r>
        <w:rPr>
          <w:rFonts w:ascii="Arial" w:cs="Arial" w:eastAsia="Arial" w:hAnsi="Arial"/>
          <w:sz w:val="22"/>
          <w:szCs w:val="22"/>
          <w:color w:val="auto"/>
        </w:rPr>
        <w:t>. THIS AGREEMENT SHALL BE GOVERNED BY, AND CONSTRUED IN ACCORDANCE WITH, THE LAWS OF THE STATE OF NEW YORK. EACH OF THE PARTIES HERETO AND EACH HEDGE COUNTERPARTY HEREBY AGREES TO THE NON-EXCLUSIVE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234" w:lineRule="exact"/>
        <w:rPr>
          <w:sz w:val="20"/>
          <w:szCs w:val="20"/>
          <w:color w:val="auto"/>
        </w:rPr>
      </w:pPr>
    </w:p>
    <w:p>
      <w:pPr>
        <w:jc w:val="both"/>
        <w:ind w:left="120" w:right="20" w:firstLine="648"/>
        <w:spacing w:after="0" w:line="246" w:lineRule="auto"/>
        <w:rPr>
          <w:sz w:val="20"/>
          <w:szCs w:val="20"/>
          <w:color w:val="auto"/>
        </w:rPr>
      </w:pPr>
      <w:r>
        <w:rPr>
          <w:rFonts w:ascii="Arial" w:cs="Arial" w:eastAsia="Arial" w:hAnsi="Arial"/>
          <w:sz w:val="22"/>
          <w:szCs w:val="22"/>
          <w:color w:val="auto"/>
        </w:rPr>
        <w:t xml:space="preserve">Section 14.8.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TO THE EXTENT PERMITTED BY APPLICABLE LAW, EACH OF THE PARTIES HERETO AND EACH HEDGE COUNTERPARTY HEREBY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14.9. </w:t>
      </w:r>
      <w:r>
        <w:rPr>
          <w:rFonts w:ascii="Arial" w:cs="Arial" w:eastAsia="Arial" w:hAnsi="Arial"/>
          <w:sz w:val="22"/>
          <w:szCs w:val="22"/>
          <w:u w:val="single" w:color="auto"/>
          <w:color w:val="auto"/>
        </w:rPr>
        <w:t>Costs, Expenses and Taxes</w:t>
      </w:r>
      <w:r>
        <w:rPr>
          <w:rFonts w:ascii="Arial" w:cs="Arial" w:eastAsia="Arial" w:hAnsi="Arial"/>
          <w:sz w:val="22"/>
          <w:szCs w:val="22"/>
          <w:color w:val="auto"/>
        </w:rPr>
        <w:t>.</w:t>
      </w:r>
    </w:p>
    <w:p>
      <w:pPr>
        <w:spacing w:after="0" w:line="260" w:lineRule="exact"/>
        <w:rPr>
          <w:sz w:val="20"/>
          <w:szCs w:val="20"/>
          <w:color w:val="auto"/>
        </w:rPr>
      </w:pPr>
    </w:p>
    <w:p>
      <w:pPr>
        <w:jc w:val="both"/>
        <w:ind w:left="120" w:firstLine="1940"/>
        <w:spacing w:after="0" w:line="290" w:lineRule="auto"/>
        <w:tabs>
          <w:tab w:leader="none" w:pos="2601" w:val="left"/>
        </w:tabs>
        <w:numPr>
          <w:ilvl w:val="0"/>
          <w:numId w:val="443"/>
        </w:numPr>
        <w:rPr>
          <w:rFonts w:ascii="Arial" w:cs="Arial" w:eastAsia="Arial" w:hAnsi="Arial"/>
          <w:sz w:val="19"/>
          <w:szCs w:val="19"/>
          <w:color w:val="auto"/>
        </w:rPr>
      </w:pPr>
      <w:r>
        <w:rPr>
          <w:rFonts w:ascii="Arial" w:cs="Arial" w:eastAsia="Arial" w:hAnsi="Arial"/>
          <w:sz w:val="19"/>
          <w:szCs w:val="19"/>
          <w:color w:val="auto"/>
        </w:rPr>
        <w:t>In addition to the rights of indemnification granted to the Deal Agent, the Backup Servicer, the Collateral Agent, the Secured Parties and its or their Affiliates and officers, directors, employees and agents thereof under Article XI hereof, the Borrower agrees to pay on demand all costs and expenses of the Deal Agent, the Backup Servicer, the Collateral Agent and the Secured Parties incurred in connection with the preparation, execution, delivery, administration (including periodic auditing), amendment or modification of, or any waiver or consent issued in connection with, this Agreement, the other Transaction Documents and the other documents to be delivered hereunder or thereunder, or in connection herewith or therewith (excluding any Hedging Agreement), including, without limitation, the reasonable fees and out-of-pocket expenses of counsel for the Deal Agent, the Backup Servicer, the Collateral</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114</w:t>
      </w:r>
    </w:p>
    <w:p>
      <w:pPr>
        <w:sectPr>
          <w:pgSz w:w="11900" w:h="16838" w:orient="portrait"/>
          <w:cols w:equalWidth="0" w:num="1">
            <w:col w:w="11140"/>
          </w:cols>
          <w:pgMar w:left="320" w:top="1427" w:right="439" w:bottom="1440" w:gutter="0" w:footer="0" w:header="0"/>
        </w:sectPr>
      </w:pPr>
    </w:p>
    <w:bookmarkStart w:id="382" w:name="page383"/>
    <w:bookmarkEnd w:id="382"/>
    <w:p>
      <w:pPr>
        <w:jc w:val="both"/>
        <w:ind w:left="100" w:right="40"/>
        <w:spacing w:after="0" w:line="292" w:lineRule="auto"/>
        <w:rPr>
          <w:sz w:val="20"/>
          <w:szCs w:val="20"/>
          <w:color w:val="auto"/>
        </w:rPr>
      </w:pPr>
      <w:r>
        <w:rPr>
          <w:rFonts w:ascii="Arial" w:cs="Arial" w:eastAsia="Arial" w:hAnsi="Arial"/>
          <w:sz w:val="19"/>
          <w:szCs w:val="19"/>
          <w:color w:val="auto"/>
        </w:rPr>
        <w:t>Agent and the Secured Parties with respect thereto and with respect to advising the Deal Agent, the Backup Servicer, the Collateral Agent and the Secured Parties as to their respective rights and remedies under this Agreement, the other Transaction Documents and the other documents to be delivered hereunder or thereunder, or in connection herewith or therewith (excluding any Hedging Agreement), and all costs and expenses, if any (including reasonable counsel fees and expenses), incurred by the Deal Agent, the Backup Servicer, the Collateral Agent or the Secured Parties in connection with the enforcement of this Agreement, the other Transaction Documents and the other documents to be delivered hereunder or thereunder, or in connection herewith or therewith (including any Hedging Agreement).</w:t>
      </w:r>
    </w:p>
    <w:p>
      <w:pPr>
        <w:spacing w:after="0" w:line="191" w:lineRule="exact"/>
        <w:rPr>
          <w:sz w:val="20"/>
          <w:szCs w:val="20"/>
          <w:color w:val="auto"/>
        </w:rPr>
      </w:pPr>
    </w:p>
    <w:p>
      <w:pPr>
        <w:jc w:val="both"/>
        <w:ind w:left="100" w:firstLine="1942"/>
        <w:spacing w:after="0" w:line="248" w:lineRule="auto"/>
        <w:tabs>
          <w:tab w:leader="none" w:pos="2593" w:val="left"/>
        </w:tabs>
        <w:numPr>
          <w:ilvl w:val="0"/>
          <w:numId w:val="444"/>
        </w:numPr>
        <w:rPr>
          <w:rFonts w:ascii="Arial" w:cs="Arial" w:eastAsia="Arial" w:hAnsi="Arial"/>
          <w:sz w:val="22"/>
          <w:szCs w:val="22"/>
          <w:color w:val="auto"/>
        </w:rPr>
      </w:pPr>
      <w:r>
        <w:rPr>
          <w:rFonts w:ascii="Arial" w:cs="Arial" w:eastAsia="Arial" w:hAnsi="Arial"/>
          <w:sz w:val="22"/>
          <w:szCs w:val="22"/>
          <w:color w:val="auto"/>
        </w:rPr>
        <w:t>The Borrower shall pay on demand any and all stamp, sales, excise and other taxes and fees payable or determined to be payable in connection with the execution, delivery, filing and recording of this Agreement, the other Transaction Documents, the other documents to be delivered hereunder or any agreement or other document providing liquidity support, credit enhancement or other similar support to the Lender in connection with this Agreement or the funding or maintenance of any Funding hereunder.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115</w:t>
      </w:r>
    </w:p>
    <w:p>
      <w:pPr>
        <w:sectPr>
          <w:pgSz w:w="11900" w:h="16838" w:orient="portrait"/>
          <w:cols w:equalWidth="0" w:num="1">
            <w:col w:w="11140"/>
          </w:cols>
          <w:pgMar w:left="320" w:top="1427" w:right="439" w:bottom="1440" w:gutter="0" w:footer="0" w:header="0"/>
        </w:sectPr>
      </w:pPr>
    </w:p>
    <w:bookmarkStart w:id="383" w:name="page384"/>
    <w:bookmarkEnd w:id="383"/>
    <w:p>
      <w:pPr>
        <w:jc w:val="both"/>
        <w:ind w:left="120" w:firstLine="648"/>
        <w:spacing w:after="0" w:line="253" w:lineRule="auto"/>
        <w:rPr>
          <w:sz w:val="20"/>
          <w:szCs w:val="20"/>
          <w:color w:val="auto"/>
        </w:rPr>
      </w:pPr>
      <w:r>
        <w:rPr>
          <w:rFonts w:ascii="Arial" w:cs="Arial" w:eastAsia="Arial" w:hAnsi="Arial"/>
          <w:sz w:val="22"/>
          <w:szCs w:val="22"/>
          <w:color w:val="auto"/>
        </w:rPr>
        <w:t xml:space="preserve">Section 14.10. </w:t>
      </w:r>
      <w:r>
        <w:rPr>
          <w:rFonts w:ascii="Arial" w:cs="Arial" w:eastAsia="Arial" w:hAnsi="Arial"/>
          <w:sz w:val="22"/>
          <w:szCs w:val="22"/>
          <w:u w:val="single" w:color="auto"/>
          <w:color w:val="auto"/>
        </w:rPr>
        <w:t>No Proceedings</w:t>
      </w:r>
      <w:r>
        <w:rPr>
          <w:rFonts w:ascii="Arial" w:cs="Arial" w:eastAsia="Arial" w:hAnsi="Arial"/>
          <w:sz w:val="22"/>
          <w:szCs w:val="22"/>
          <w:color w:val="auto"/>
        </w:rPr>
        <w:t>. Each of the parties hereto (other than the Deal Agent) hereby agrees that it will not institute against, or join any other Person in instituting against the Borrower any Insolvency Proceeding so long as there shall not have elapsed one year and one day since the Collection Date.</w:t>
      </w:r>
    </w:p>
    <w:p>
      <w:pPr>
        <w:spacing w:after="0" w:line="226"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9"/>
          <w:szCs w:val="19"/>
          <w:color w:val="auto"/>
        </w:rPr>
        <w:t xml:space="preserve">Section 14.11. </w:t>
      </w:r>
      <w:r>
        <w:rPr>
          <w:rFonts w:ascii="Arial" w:cs="Arial" w:eastAsia="Arial" w:hAnsi="Arial"/>
          <w:sz w:val="19"/>
          <w:szCs w:val="19"/>
          <w:u w:val="single" w:color="auto"/>
          <w:color w:val="auto"/>
        </w:rPr>
        <w:t>Recourse Against Certain Parties</w:t>
      </w:r>
      <w:r>
        <w:rPr>
          <w:rFonts w:ascii="Arial" w:cs="Arial" w:eastAsia="Arial" w:hAnsi="Arial"/>
          <w:sz w:val="19"/>
          <w:szCs w:val="19"/>
          <w:color w:val="auto"/>
        </w:rPr>
        <w:t xml:space="preserve">. No recourse under or with respect to any obligation, covenant or agreement (including, without limitation, the payment of any fees or any other obligations) of any Secured Party as contained in this Agreement or any other agreement, instrument or document entered into by it pursuant hereto or in connection herewith shall be had against any administrator of such Secured Party or any incorporator, affiliate, stockholder, officer, employee or director of such Secured Party or of any such administrator, as such, by the enforcement of any assessment or by any legal or equitable proceeding, by virtue of any statute or otherwise; </w:t>
      </w:r>
      <w:r>
        <w:rPr>
          <w:rFonts w:ascii="Arial" w:cs="Arial" w:eastAsia="Arial" w:hAnsi="Arial"/>
          <w:sz w:val="19"/>
          <w:szCs w:val="19"/>
          <w:u w:val="single" w:color="auto"/>
          <w:color w:val="auto"/>
        </w:rPr>
        <w:t>it being expressly agreed and understood</w:t>
      </w:r>
      <w:r>
        <w:rPr>
          <w:rFonts w:ascii="Arial" w:cs="Arial" w:eastAsia="Arial" w:hAnsi="Arial"/>
          <w:sz w:val="19"/>
          <w:szCs w:val="19"/>
          <w:color w:val="auto"/>
        </w:rPr>
        <w:t xml:space="preserve"> that the agreements of such Secured Party contained in this Agreement and all of the other agreements, instruments and documents entered into by it pursuant hereto or in connection herewith are, in each case, solely the corporate obligations of such Secured Party, and that no personal liability whatsoever shall attach to or be incurred by any administrator of such Secured Party or any incorporator, stockholder, affiliate, officer, employee or director of such Secured Party or of any such administrator, as such, or any other of them, under or by reason of any of the obligations, covenants or agreements of such Secured Party contained in this Agreement or in any other such instruments, documents or agreements, or that are implied therefrom, and that any and all personal liability of every such administrator of such Secured Party and each incorporator, stockholder, affiliate, officer, employee or director of such Secured Party or of any such administrator, or any of them, for breaches by such Secured Party of any such obligations, covenants or agreements, which liability may arise either at common law or at equity, by statute or constitution, or otherwise, is hereby expressly waived as a condition of and in consideration for the execution of this Agreement. The provisions of this </w:t>
      </w:r>
      <w:r>
        <w:rPr>
          <w:rFonts w:ascii="Arial" w:cs="Arial" w:eastAsia="Arial" w:hAnsi="Arial"/>
          <w:sz w:val="19"/>
          <w:szCs w:val="19"/>
          <w:u w:val="single" w:color="auto"/>
          <w:color w:val="auto"/>
        </w:rPr>
        <w:t>Section 14.11</w:t>
      </w:r>
      <w:r>
        <w:rPr>
          <w:rFonts w:ascii="Arial" w:cs="Arial" w:eastAsia="Arial" w:hAnsi="Arial"/>
          <w:sz w:val="19"/>
          <w:szCs w:val="19"/>
          <w:color w:val="auto"/>
        </w:rPr>
        <w:t xml:space="preserve"> shall survive the termination of this Agreement.</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14.12. </w:t>
      </w:r>
      <w:r>
        <w:rPr>
          <w:rFonts w:ascii="Arial" w:cs="Arial" w:eastAsia="Arial" w:hAnsi="Arial"/>
          <w:sz w:val="22"/>
          <w:szCs w:val="22"/>
          <w:u w:val="single" w:color="auto"/>
          <w:color w:val="auto"/>
        </w:rPr>
        <w:t>Protection of Right, Title and Interest in Assets; Further Action Evidencing the Funding</w:t>
      </w:r>
      <w:r>
        <w:rPr>
          <w:rFonts w:ascii="Arial" w:cs="Arial" w:eastAsia="Arial" w:hAnsi="Arial"/>
          <w:sz w:val="22"/>
          <w:szCs w:val="22"/>
          <w:color w:val="auto"/>
        </w:rPr>
        <w:t>.</w:t>
      </w:r>
    </w:p>
    <w:p>
      <w:pPr>
        <w:spacing w:after="0" w:line="260" w:lineRule="exact"/>
        <w:rPr>
          <w:sz w:val="20"/>
          <w:szCs w:val="20"/>
          <w:color w:val="auto"/>
        </w:rPr>
      </w:pPr>
    </w:p>
    <w:p>
      <w:pPr>
        <w:ind w:left="120" w:right="40" w:firstLine="1940"/>
        <w:spacing w:after="0" w:line="289" w:lineRule="auto"/>
        <w:tabs>
          <w:tab w:leader="none" w:pos="2601" w:val="left"/>
        </w:tabs>
        <w:numPr>
          <w:ilvl w:val="0"/>
          <w:numId w:val="445"/>
        </w:numPr>
        <w:rPr>
          <w:rFonts w:ascii="Arial" w:cs="Arial" w:eastAsia="Arial" w:hAnsi="Arial"/>
          <w:sz w:val="19"/>
          <w:szCs w:val="19"/>
          <w:color w:val="auto"/>
        </w:rPr>
      </w:pPr>
      <w:r>
        <w:rPr>
          <w:rFonts w:ascii="Arial" w:cs="Arial" w:eastAsia="Arial" w:hAnsi="Arial"/>
          <w:sz w:val="19"/>
          <w:szCs w:val="19"/>
          <w:color w:val="auto"/>
        </w:rPr>
        <w:t xml:space="preserve">Each of the Borrower and the Servicer shall cause this Agreement, all amendments hereto and/or all financing statements and continuation statements and any other necessary documents covering the right, title and interest of the Deal Agent as agent for the Secured Parties and of the Secured Parties to the assets to be promptly recorded, registered and filed, and at all times to be kept recorded, registered and filed, all in such manner and in such places as may be required by law fully to preserve and protect the right, title and interest of the Deal Agent as agent for the Secured Parties hereunder to all property comprising the assets. Each of the Borrower and the Servicer shall deliver to the Deal Agent file-stamped copies of, or filing receipts for, any document recorded, registered or filed as provided above, as soon as available following such recording, registration or filing. The Borrower shall cooperate fully with the Servicer in connection with the obligations set forth above and will execute any and all documents reasonably required to fulfill the intent of this </w:t>
      </w:r>
      <w:r>
        <w:rPr>
          <w:rFonts w:ascii="Arial" w:cs="Arial" w:eastAsia="Arial" w:hAnsi="Arial"/>
          <w:sz w:val="19"/>
          <w:szCs w:val="19"/>
          <w:u w:val="single" w:color="auto"/>
          <w:color w:val="auto"/>
        </w:rPr>
        <w:t>Section 14.12(a)</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ind w:left="120" w:right="760" w:firstLine="1940"/>
        <w:spacing w:after="0" w:line="263" w:lineRule="auto"/>
        <w:tabs>
          <w:tab w:leader="none" w:pos="2599" w:val="left"/>
        </w:tabs>
        <w:numPr>
          <w:ilvl w:val="0"/>
          <w:numId w:val="445"/>
        </w:numPr>
        <w:rPr>
          <w:rFonts w:ascii="Arial" w:cs="Arial" w:eastAsia="Arial" w:hAnsi="Arial"/>
          <w:sz w:val="22"/>
          <w:szCs w:val="22"/>
          <w:color w:val="auto"/>
        </w:rPr>
      </w:pPr>
      <w:r>
        <w:rPr>
          <w:rFonts w:ascii="Arial" w:cs="Arial" w:eastAsia="Arial" w:hAnsi="Arial"/>
          <w:sz w:val="22"/>
          <w:szCs w:val="22"/>
          <w:color w:val="auto"/>
        </w:rPr>
        <w:t>Each of the Borrower and the Servicer agrees that from time to time, at its expense, it will promptly execute and deliver all instruments and documents, and take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116</w:t>
      </w:r>
    </w:p>
    <w:p>
      <w:pPr>
        <w:sectPr>
          <w:pgSz w:w="11900" w:h="16838" w:orient="portrait"/>
          <w:cols w:equalWidth="0" w:num="1">
            <w:col w:w="11120"/>
          </w:cols>
          <w:pgMar w:left="320" w:top="1427" w:right="459" w:bottom="1440" w:gutter="0" w:footer="0" w:header="0"/>
        </w:sectPr>
      </w:pPr>
    </w:p>
    <w:bookmarkStart w:id="384" w:name="page385"/>
    <w:bookmarkEnd w:id="384"/>
    <w:p>
      <w:pPr>
        <w:jc w:val="both"/>
        <w:ind w:left="120" w:right="40"/>
        <w:spacing w:after="0" w:line="253" w:lineRule="auto"/>
        <w:rPr>
          <w:sz w:val="20"/>
          <w:szCs w:val="20"/>
          <w:color w:val="auto"/>
        </w:rPr>
      </w:pPr>
      <w:r>
        <w:rPr>
          <w:rFonts w:ascii="Arial" w:cs="Arial" w:eastAsia="Arial" w:hAnsi="Arial"/>
          <w:sz w:val="22"/>
          <w:szCs w:val="22"/>
          <w:color w:val="auto"/>
        </w:rPr>
        <w:t>all actions, that the Deal Agent may reasonably request in order to perfect, protect or more fully evidence the Funding hereunder, or to enable the Deal Agent or the Secured Parties to exercise and enforce their rights and remedies hereunder or under any other Transaction Document.</w:t>
      </w:r>
    </w:p>
    <w:p>
      <w:pPr>
        <w:spacing w:after="0" w:line="226" w:lineRule="exact"/>
        <w:rPr>
          <w:sz w:val="20"/>
          <w:szCs w:val="20"/>
          <w:color w:val="auto"/>
        </w:rPr>
      </w:pPr>
    </w:p>
    <w:p>
      <w:pPr>
        <w:jc w:val="both"/>
        <w:ind w:left="120" w:firstLine="1940"/>
        <w:spacing w:after="0" w:line="258" w:lineRule="auto"/>
        <w:tabs>
          <w:tab w:leader="none" w:pos="2601" w:val="left"/>
        </w:tabs>
        <w:numPr>
          <w:ilvl w:val="1"/>
          <w:numId w:val="446"/>
        </w:numPr>
        <w:rPr>
          <w:rFonts w:ascii="Arial" w:cs="Arial" w:eastAsia="Arial" w:hAnsi="Arial"/>
          <w:sz w:val="21"/>
          <w:szCs w:val="21"/>
          <w:color w:val="auto"/>
        </w:rPr>
      </w:pPr>
      <w:r>
        <w:rPr>
          <w:rFonts w:ascii="Arial" w:cs="Arial" w:eastAsia="Arial" w:hAnsi="Arial"/>
          <w:sz w:val="21"/>
          <w:szCs w:val="21"/>
          <w:color w:val="auto"/>
        </w:rPr>
        <w:t>If the Borrower or the Servicer fails to perform any of its obligations hereunder, the Deal Agent or any Secured Party may (but shall not be required to) perform, or cause performance of, such obligation; and the Deal Agent’s or such Secured Party’s costs and expenses incurred in connection therewith shall be payable by the Borrower (if the Servicer that fails to so perform is the Borrower or an Affiliate thereof) as provided in Article XI, as applicable. The Borrower irrevocably authorizes the Deal Agent and appoints the Deal Agent as its attorney-in-fact to act on behalf of the Borrower (i) to execute on behalf of the Borrower as debtor and to file financing statements necessary or desirable in the Deal Agent’s sole discretion to perfect and to maintain the perfection and priority of the interest of the Secured Parties in the assets and (ii) to file a carbon, photographic or other reproduction of this Agreement or any financing statement with respect to the assets as a financing statement in such offices as the Deal Agent in its sole discretion deems necessary or desirable to perfect and to maintain the perfection and priority of the interests of the Secured Parties in the assets. This appointment is coupled with an interest and is irrevocable.</w:t>
      </w:r>
    </w:p>
    <w:p>
      <w:pPr>
        <w:spacing w:after="0" w:line="208" w:lineRule="exact"/>
        <w:rPr>
          <w:rFonts w:ascii="Arial" w:cs="Arial" w:eastAsia="Arial" w:hAnsi="Arial"/>
          <w:sz w:val="21"/>
          <w:szCs w:val="21"/>
          <w:color w:val="auto"/>
        </w:rPr>
      </w:pPr>
    </w:p>
    <w:p>
      <w:pPr>
        <w:jc w:val="both"/>
        <w:ind w:left="120" w:firstLine="1940"/>
        <w:spacing w:after="0" w:line="312" w:lineRule="auto"/>
        <w:tabs>
          <w:tab w:leader="none" w:pos="2599" w:val="left"/>
        </w:tabs>
        <w:numPr>
          <w:ilvl w:val="1"/>
          <w:numId w:val="44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Borrower will, not earlier than six (6) months and not later than three (3) months prior to the fifth anniversary of the date of filing of any financing statement filed pursuant to this Agreement or in connection with the Funding hereunder, unless the Collection Date shall have occurred:</w:t>
      </w:r>
    </w:p>
    <w:p>
      <w:pPr>
        <w:spacing w:after="0" w:line="173" w:lineRule="exact"/>
        <w:rPr>
          <w:rFonts w:ascii="Arial" w:cs="Arial" w:eastAsia="Arial" w:hAnsi="Arial"/>
          <w:sz w:val="19"/>
          <w:szCs w:val="19"/>
          <w:color w:val="auto"/>
        </w:rPr>
      </w:pPr>
    </w:p>
    <w:p>
      <w:pPr>
        <w:ind w:left="120" w:right="40" w:firstLine="2384"/>
        <w:spacing w:after="0" w:line="263" w:lineRule="auto"/>
        <w:tabs>
          <w:tab w:leader="none" w:pos="3252" w:val="left"/>
        </w:tabs>
        <w:numPr>
          <w:ilvl w:val="2"/>
          <w:numId w:val="446"/>
        </w:numPr>
        <w:rPr>
          <w:rFonts w:ascii="Arial" w:cs="Arial" w:eastAsia="Arial" w:hAnsi="Arial"/>
          <w:sz w:val="22"/>
          <w:szCs w:val="22"/>
          <w:color w:val="auto"/>
        </w:rPr>
      </w:pPr>
      <w:r>
        <w:rPr>
          <w:rFonts w:ascii="Arial" w:cs="Arial" w:eastAsia="Arial" w:hAnsi="Arial"/>
          <w:sz w:val="22"/>
          <w:szCs w:val="22"/>
          <w:color w:val="auto"/>
        </w:rPr>
        <w:t>execute and deliver and file or cause to be filed an appropriate continuation statement with respect to such financing statement; and</w:t>
      </w:r>
    </w:p>
    <w:p>
      <w:pPr>
        <w:spacing w:after="0" w:line="201" w:lineRule="exact"/>
        <w:rPr>
          <w:rFonts w:ascii="Arial" w:cs="Arial" w:eastAsia="Arial" w:hAnsi="Arial"/>
          <w:sz w:val="22"/>
          <w:szCs w:val="22"/>
          <w:color w:val="auto"/>
        </w:rPr>
      </w:pPr>
    </w:p>
    <w:p>
      <w:pPr>
        <w:jc w:val="both"/>
        <w:ind w:left="120" w:right="20" w:firstLine="2324"/>
        <w:spacing w:after="0" w:line="247" w:lineRule="auto"/>
        <w:tabs>
          <w:tab w:leader="none" w:pos="3253" w:val="left"/>
        </w:tabs>
        <w:numPr>
          <w:ilvl w:val="2"/>
          <w:numId w:val="446"/>
        </w:numPr>
        <w:rPr>
          <w:rFonts w:ascii="Arial" w:cs="Arial" w:eastAsia="Arial" w:hAnsi="Arial"/>
          <w:sz w:val="22"/>
          <w:szCs w:val="22"/>
          <w:color w:val="auto"/>
        </w:rPr>
      </w:pPr>
      <w:r>
        <w:rPr>
          <w:rFonts w:ascii="Arial" w:cs="Arial" w:eastAsia="Arial" w:hAnsi="Arial"/>
          <w:sz w:val="22"/>
          <w:szCs w:val="22"/>
          <w:color w:val="auto"/>
        </w:rPr>
        <w:t>deliver or cause to be delivered to the Deal Agent an opinion of the counsel for Borrower, in form and substance reasonably satisfactory to the Deal Agent, confirming and updating the opinion delivered pursuant to Section 3.1 with respect to perfection and priority and otherwise to the effect that the grant of the security interest in the Collateral hereunder continues to be an enforceable and perfected first priority security interest, subject to no other Liens of record except as provided herein or otherwise permitted hereunder, which opinion may contain usual and customary assumptions, limitations and exceptions.</w:t>
      </w:r>
    </w:p>
    <w:p>
      <w:pPr>
        <w:spacing w:after="0" w:line="233" w:lineRule="exact"/>
        <w:rPr>
          <w:rFonts w:ascii="Arial" w:cs="Arial" w:eastAsia="Arial" w:hAnsi="Arial"/>
          <w:sz w:val="22"/>
          <w:szCs w:val="22"/>
          <w:color w:val="auto"/>
        </w:rPr>
      </w:pPr>
    </w:p>
    <w:p>
      <w:pPr>
        <w:ind w:left="120" w:right="320" w:firstLine="1292"/>
        <w:spacing w:after="0" w:line="263" w:lineRule="auto"/>
        <w:tabs>
          <w:tab w:leader="none" w:pos="1953" w:val="left"/>
        </w:tabs>
        <w:numPr>
          <w:ilvl w:val="0"/>
          <w:numId w:val="447"/>
        </w:numPr>
        <w:rPr>
          <w:rFonts w:ascii="Arial" w:cs="Arial" w:eastAsia="Arial" w:hAnsi="Arial"/>
          <w:sz w:val="22"/>
          <w:szCs w:val="22"/>
          <w:color w:val="auto"/>
        </w:rPr>
      </w:pPr>
      <w:r>
        <w:rPr>
          <w:rFonts w:ascii="Arial" w:cs="Arial" w:eastAsia="Arial" w:hAnsi="Arial"/>
          <w:sz w:val="22"/>
          <w:szCs w:val="22"/>
          <w:color w:val="auto"/>
        </w:rPr>
        <w:t>In addition to the foregoing, the Borrower shall deliver or cause to be delivered to the Collateral Agent and the Deal Agent for the benefit of the Secured Parties:</w:t>
      </w:r>
    </w:p>
    <w:p>
      <w:pPr>
        <w:spacing w:after="0" w:line="215" w:lineRule="exact"/>
        <w:rPr>
          <w:rFonts w:ascii="Arial" w:cs="Arial" w:eastAsia="Arial" w:hAnsi="Arial"/>
          <w:sz w:val="22"/>
          <w:szCs w:val="22"/>
          <w:color w:val="auto"/>
        </w:rPr>
      </w:pPr>
    </w:p>
    <w:p>
      <w:pPr>
        <w:jc w:val="both"/>
        <w:ind w:left="120" w:right="40" w:firstLine="2384"/>
        <w:spacing w:after="0" w:line="297" w:lineRule="auto"/>
        <w:tabs>
          <w:tab w:leader="none" w:pos="3253" w:val="left"/>
        </w:tabs>
        <w:numPr>
          <w:ilvl w:val="2"/>
          <w:numId w:val="447"/>
        </w:numPr>
        <w:rPr>
          <w:rFonts w:ascii="Arial" w:cs="Arial" w:eastAsia="Arial" w:hAnsi="Arial"/>
          <w:sz w:val="19"/>
          <w:szCs w:val="19"/>
          <w:color w:val="auto"/>
        </w:rPr>
      </w:pPr>
      <w:r>
        <w:rPr>
          <w:rFonts w:ascii="Arial" w:cs="Arial" w:eastAsia="Arial" w:hAnsi="Arial"/>
          <w:sz w:val="19"/>
          <w:szCs w:val="19"/>
          <w:color w:val="auto"/>
        </w:rPr>
        <w:t>within thirty (30) days after the end of each calendar quarter, beginning with the quarter ended September 30, 2016, an Opinion of Counsel, dated as of a date during such 30-day period, with respect to the creation of the Borrower’s security interest under the Contribution Agreement, in the Subsequent Conveyed Property (as defined in the Contribution Agreement) sold by Credit Acceptance to the Borrower during such calendar quarter (or in the case of the first such Opinion of Counsel, during the period from the Effective Date to September 30, 2016); 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117</w:t>
      </w:r>
    </w:p>
    <w:p>
      <w:pPr>
        <w:sectPr>
          <w:pgSz w:w="11900" w:h="16838" w:orient="portrait"/>
          <w:cols w:equalWidth="0" w:num="1">
            <w:col w:w="11140"/>
          </w:cols>
          <w:pgMar w:left="320" w:top="1427" w:right="439" w:bottom="1440" w:gutter="0" w:footer="0" w:header="0"/>
        </w:sectPr>
      </w:pPr>
    </w:p>
    <w:bookmarkStart w:id="385" w:name="page386"/>
    <w:bookmarkEnd w:id="385"/>
    <w:p>
      <w:pPr>
        <w:jc w:val="both"/>
        <w:ind w:firstLine="2924"/>
        <w:spacing w:after="0" w:line="287" w:lineRule="auto"/>
        <w:tabs>
          <w:tab w:leader="none" w:pos="3244" w:val="left"/>
        </w:tabs>
        <w:numPr>
          <w:ilvl w:val="0"/>
          <w:numId w:val="448"/>
        </w:numPr>
        <w:rPr>
          <w:rFonts w:ascii="Arial" w:cs="Arial" w:eastAsia="Arial" w:hAnsi="Arial"/>
          <w:sz w:val="19"/>
          <w:szCs w:val="19"/>
          <w:color w:val="auto"/>
        </w:rPr>
      </w:pPr>
      <w:r>
        <w:rPr>
          <w:rFonts w:ascii="Arial" w:cs="Arial" w:eastAsia="Arial" w:hAnsi="Arial"/>
          <w:sz w:val="19"/>
          <w:szCs w:val="19"/>
          <w:color w:val="auto"/>
        </w:rPr>
        <w:t>within ninety (90) days after the beginning of each calendar year beginning with 2017, an opinion of the counsel for Borrower, dated as of a date during such 90-day period, stating that, in the opinion of such counsel, the existing financing statement naming the Borrower as debtor and the Collateral Agent as secured party and any related continuation statement or amendment (the “</w:t>
      </w:r>
      <w:r>
        <w:rPr>
          <w:rFonts w:ascii="Arial" w:cs="Arial" w:eastAsia="Arial" w:hAnsi="Arial"/>
          <w:sz w:val="19"/>
          <w:szCs w:val="19"/>
          <w:u w:val="single" w:color="auto"/>
          <w:color w:val="auto"/>
        </w:rPr>
        <w:t>Financing Statement</w:t>
      </w:r>
      <w:r>
        <w:rPr>
          <w:rFonts w:ascii="Arial" w:cs="Arial" w:eastAsia="Arial" w:hAnsi="Arial"/>
          <w:sz w:val="19"/>
          <w:szCs w:val="19"/>
          <w:color w:val="auto"/>
        </w:rPr>
        <w:t>”) will remain effective and no additional financing statements, continuation statements or amendments with respect to the Financing Statement (other than a continuation statement to be filed within the period that is six months prior to the expiration of the Financing Statement, as applicable) will be required to be filed from the date of such opinion through the date that is the one year anniversary of the date of such opinion to maintain the perfection of the security interest of the Collateral Agent as such lien otherwise exists on the date of such opinion. Such opinion of counsel shall (i) describe the filing of any financing statements and continuation statements that will, in the opinion of such counsel, be required to preserve and protect the interest of the Collateral Agent in the Collateral, until the 90th day in the following calendar year and (ii) specify any action necessary (as of the date of such opinion) to be taken in the following calendar year to preserve perfection of such interest.</w:t>
      </w:r>
    </w:p>
    <w:p>
      <w:pPr>
        <w:spacing w:after="0" w:line="200" w:lineRule="exact"/>
        <w:rPr>
          <w:sz w:val="20"/>
          <w:szCs w:val="20"/>
          <w:color w:val="auto"/>
        </w:rPr>
      </w:pPr>
    </w:p>
    <w:p>
      <w:pPr>
        <w:spacing w:after="0" w:line="26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14.13. </w:t>
      </w:r>
      <w:r>
        <w:rPr>
          <w:rFonts w:ascii="Arial" w:cs="Arial" w:eastAsia="Arial" w:hAnsi="Arial"/>
          <w:sz w:val="22"/>
          <w:szCs w:val="22"/>
          <w:u w:val="single" w:color="auto"/>
          <w:color w:val="auto"/>
        </w:rPr>
        <w:t>Confidentiality; Tax Treatment Disclosure</w:t>
      </w:r>
      <w:r>
        <w:rPr>
          <w:rFonts w:ascii="Arial" w:cs="Arial" w:eastAsia="Arial" w:hAnsi="Arial"/>
          <w:sz w:val="22"/>
          <w:szCs w:val="22"/>
          <w:color w:val="auto"/>
        </w:rPr>
        <w:t>.</w:t>
      </w:r>
    </w:p>
    <w:p>
      <w:pPr>
        <w:spacing w:after="0" w:line="247" w:lineRule="exact"/>
        <w:rPr>
          <w:sz w:val="20"/>
          <w:szCs w:val="20"/>
          <w:color w:val="auto"/>
        </w:rPr>
      </w:pPr>
    </w:p>
    <w:p>
      <w:pPr>
        <w:jc w:val="both"/>
        <w:ind w:left="120" w:firstLine="1940"/>
        <w:spacing w:after="0" w:line="285" w:lineRule="auto"/>
        <w:tabs>
          <w:tab w:leader="none" w:pos="2601" w:val="left"/>
        </w:tabs>
        <w:numPr>
          <w:ilvl w:val="0"/>
          <w:numId w:val="449"/>
        </w:numPr>
        <w:rPr>
          <w:rFonts w:ascii="Arial" w:cs="Arial" w:eastAsia="Arial" w:hAnsi="Arial"/>
          <w:sz w:val="19"/>
          <w:szCs w:val="19"/>
          <w:color w:val="auto"/>
        </w:rPr>
      </w:pPr>
      <w:r>
        <w:rPr>
          <w:rFonts w:ascii="Arial" w:cs="Arial" w:eastAsia="Arial" w:hAnsi="Arial"/>
          <w:sz w:val="19"/>
          <w:szCs w:val="19"/>
          <w:color w:val="auto"/>
        </w:rPr>
        <w:t>Each of the Deal Agent, the Secured Parties, the Servicer, the Collateral Agent, the Backup Servicer and the Borrower shall maintain and shall cause each of its employees and officers to maintain the confidentiality of this Agreement and all information with respect to the other parties, including all information regarding the business of the Borrower and the Servicer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attorneys, investors, potential investors and the agents of such Persons (“</w:t>
      </w:r>
      <w:r>
        <w:rPr>
          <w:rFonts w:ascii="Arial" w:cs="Arial" w:eastAsia="Arial" w:hAnsi="Arial"/>
          <w:sz w:val="19"/>
          <w:szCs w:val="19"/>
          <w:u w:val="single" w:color="auto"/>
          <w:color w:val="auto"/>
        </w:rPr>
        <w:t>Excepted Persons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Excepted Person shall, as a condition to any such disclosure, agree for the benefit of the Deal Agent, the Secured Parties, the Servicer, the Collateral Agent, the Backup Servicer and the Borrower that such information shall be used solely in connection with such Excepted Person’s evaluation of, or relationship with, the Borrower and its affiliates, (ii) disclose the existence of this Agreement, but not the financial terms hereof, (iii) disclose such information as is required by the Transaction Documents or Applicable Law and (iv) disclose this Agreement and such information in any suit, action, proceeding or investigation (whether in law or in equity or pursuant to arbitration) involving any of the Transaction Documents or any Hedging Agreement for the purpose of defending itself, reducing its liability, or protecting or exercising any of its claims, rights, remedies, or interests under or in connection with any of the Transaction Documents or any Hedging Agreement. It is understood that the financial terms that may not be disclosed except in compliance with this </w:t>
      </w:r>
      <w:r>
        <w:rPr>
          <w:rFonts w:ascii="Arial" w:cs="Arial" w:eastAsia="Arial" w:hAnsi="Arial"/>
          <w:sz w:val="19"/>
          <w:szCs w:val="19"/>
          <w:u w:val="single" w:color="auto"/>
          <w:color w:val="auto"/>
        </w:rPr>
        <w:t>Section 14.13(a)</w:t>
      </w:r>
      <w:r>
        <w:rPr>
          <w:rFonts w:ascii="Arial" w:cs="Arial" w:eastAsia="Arial" w:hAnsi="Arial"/>
          <w:sz w:val="19"/>
          <w:szCs w:val="19"/>
          <w:color w:val="auto"/>
        </w:rPr>
        <w:t xml:space="preserve"> include, without limitation, all fees and other pricing terms, and all Termination Events, Servicer Termination Events, and priority of payment provisions.</w:t>
      </w:r>
    </w:p>
    <w:p>
      <w:pPr>
        <w:spacing w:after="0" w:line="200" w:lineRule="exact"/>
        <w:rPr>
          <w:rFonts w:ascii="Arial" w:cs="Arial" w:eastAsia="Arial" w:hAnsi="Arial"/>
          <w:sz w:val="19"/>
          <w:szCs w:val="19"/>
          <w:color w:val="auto"/>
        </w:rPr>
      </w:pPr>
    </w:p>
    <w:p>
      <w:pPr>
        <w:spacing w:after="0" w:line="265" w:lineRule="exact"/>
        <w:rPr>
          <w:rFonts w:ascii="Arial" w:cs="Arial" w:eastAsia="Arial" w:hAnsi="Arial"/>
          <w:sz w:val="19"/>
          <w:szCs w:val="19"/>
          <w:color w:val="auto"/>
        </w:rPr>
      </w:pPr>
    </w:p>
    <w:p>
      <w:pPr>
        <w:jc w:val="both"/>
        <w:ind w:left="120" w:right="40" w:firstLine="1940"/>
        <w:spacing w:after="0" w:line="302" w:lineRule="auto"/>
        <w:tabs>
          <w:tab w:leader="none" w:pos="2599" w:val="left"/>
        </w:tabs>
        <w:numPr>
          <w:ilvl w:val="0"/>
          <w:numId w:val="449"/>
        </w:numPr>
        <w:rPr>
          <w:rFonts w:ascii="Arial" w:cs="Arial" w:eastAsia="Arial" w:hAnsi="Arial"/>
          <w:sz w:val="19"/>
          <w:szCs w:val="19"/>
          <w:color w:val="auto"/>
        </w:rPr>
      </w:pPr>
      <w:r>
        <w:rPr>
          <w:rFonts w:ascii="Arial" w:cs="Arial" w:eastAsia="Arial" w:hAnsi="Arial"/>
          <w:sz w:val="19"/>
          <w:szCs w:val="19"/>
          <w:color w:val="auto"/>
        </w:rPr>
        <w:t>Anything herein to the contrary notwithstanding, each of the Borrower and the Servicer hereby consents to the disclosure of any nonpublic information with respect to it (i) to the Deal Agent, the Collateral Agent, the Backup Servicer or the Secured Parties by each other, (ii) by the Deal Agent or the Lender to any prospective or actual assignee or participant of any of them or (iii) by the Deal Agent, the Collateral Agent or a Lender to 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118</w:t>
      </w:r>
    </w:p>
    <w:p>
      <w:pPr>
        <w:sectPr>
          <w:pgSz w:w="11900" w:h="16838" w:orient="portrait"/>
          <w:cols w:equalWidth="0" w:num="1">
            <w:col w:w="11140"/>
          </w:cols>
          <w:pgMar w:left="320" w:top="1427" w:right="439" w:bottom="1440" w:gutter="0" w:footer="0" w:header="0"/>
        </w:sectPr>
      </w:pPr>
    </w:p>
    <w:bookmarkStart w:id="386" w:name="page387"/>
    <w:bookmarkEnd w:id="386"/>
    <w:p>
      <w:pPr>
        <w:jc w:val="both"/>
        <w:ind w:left="120"/>
        <w:spacing w:after="0" w:line="247" w:lineRule="auto"/>
        <w:rPr>
          <w:sz w:val="20"/>
          <w:szCs w:val="20"/>
          <w:color w:val="auto"/>
        </w:rPr>
      </w:pPr>
      <w:r>
        <w:rPr>
          <w:rFonts w:ascii="Arial" w:cs="Arial" w:eastAsia="Arial" w:hAnsi="Arial"/>
          <w:sz w:val="22"/>
          <w:szCs w:val="22"/>
          <w:color w:val="auto"/>
        </w:rPr>
        <w:t>nationally recognized statistical rating organization, commercial paper dealer or provider of a surety, guaranty or credit or liquidity enhancement to a Lender and to any officers, directors, employees, outside accountants and attorneys of any of the foregoing, provided each such Person is informed of the confidential nature of such information. In addition, the Secured Parties, the Backup Servicer and the Deal Agent may disclose any such nonpublic information as required pursuant to any law, rule, regulation, direction, request or order of any judicial, administrative or regulatory authority or proceedings (whether or not having the force or effect of law).</w:t>
      </w:r>
    </w:p>
    <w:p>
      <w:pPr>
        <w:spacing w:after="0" w:line="233" w:lineRule="exact"/>
        <w:rPr>
          <w:sz w:val="20"/>
          <w:szCs w:val="20"/>
          <w:color w:val="auto"/>
        </w:rPr>
      </w:pPr>
    </w:p>
    <w:p>
      <w:pPr>
        <w:jc w:val="both"/>
        <w:ind w:right="40" w:firstLine="2277"/>
        <w:spacing w:after="0" w:line="291" w:lineRule="auto"/>
        <w:tabs>
          <w:tab w:leader="none" w:pos="2993" w:val="left"/>
        </w:tabs>
        <w:numPr>
          <w:ilvl w:val="1"/>
          <w:numId w:val="450"/>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foregoing shall not be construed to prohibit (i) disclosure of any and all information that is or becomes publicly known, (ii) disclosure of any and all information</w:t>
      </w:r>
    </w:p>
    <w:p>
      <w:pPr>
        <w:spacing w:after="0" w:line="1" w:lineRule="exact"/>
        <w:rPr>
          <w:rFonts w:ascii="Arial" w:cs="Arial" w:eastAsia="Arial" w:hAnsi="Arial"/>
          <w:sz w:val="19"/>
          <w:szCs w:val="19"/>
          <w:color w:val="auto"/>
        </w:rPr>
      </w:pPr>
    </w:p>
    <w:p>
      <w:pPr>
        <w:jc w:val="both"/>
        <w:ind w:right="40" w:firstLine="8"/>
        <w:spacing w:after="0" w:line="256" w:lineRule="auto"/>
        <w:tabs>
          <w:tab w:leader="none" w:pos="376" w:val="left"/>
        </w:tabs>
        <w:numPr>
          <w:ilvl w:val="0"/>
          <w:numId w:val="451"/>
        </w:numPr>
        <w:rPr>
          <w:rFonts w:ascii="Arial" w:cs="Arial" w:eastAsia="Arial" w:hAnsi="Arial"/>
          <w:sz w:val="21"/>
          <w:szCs w:val="21"/>
          <w:color w:val="auto"/>
        </w:rPr>
      </w:pPr>
      <w:r>
        <w:rPr>
          <w:rFonts w:ascii="Arial" w:cs="Arial" w:eastAsia="Arial" w:hAnsi="Arial"/>
          <w:sz w:val="21"/>
          <w:szCs w:val="21"/>
          <w:color w:val="auto"/>
        </w:rPr>
        <w:t>if required to do so by any applicable statute, law, rule or regulation, (B) to any government agency or regulatory body having or claiming authority to regulate or oversee any aspects of the Collateral Agent’s or Backup Servicer’s business or that of their affiliates, (C) pursuant to any subpoena, civil investigative demand or similar demand or request of any court, regulatory authority, arbitrator or arbitration to which the Collateral Agent or Backup Servicer or an affiliate or an officer, director, employer or shareholder thereof is a party, (D) in any preliminary or final offering circular, registration statement or contract or other document pertaining to the transactions contemplated herein approved in advance by the Borrower or Servicer or (E) to any affiliate, independent or internal auditor, agent, employee or attorney of the Collateral Agent or Backup Servicer having a need to know the same, provided that the Collateral Agent or Backup Servicer advises such recipient of the confidential nature of the information being disclosed, or (iii) any other disclosure authorized by the Transaction Documents or the Borrower or Servicer.</w:t>
      </w:r>
    </w:p>
    <w:p>
      <w:pPr>
        <w:spacing w:after="0" w:line="214" w:lineRule="exact"/>
        <w:rPr>
          <w:rFonts w:ascii="Arial" w:cs="Arial" w:eastAsia="Arial" w:hAnsi="Arial"/>
          <w:sz w:val="21"/>
          <w:szCs w:val="21"/>
          <w:color w:val="auto"/>
        </w:rPr>
      </w:pPr>
    </w:p>
    <w:p>
      <w:pPr>
        <w:jc w:val="both"/>
        <w:ind w:right="40" w:firstLine="2277"/>
        <w:spacing w:after="0" w:line="260" w:lineRule="auto"/>
        <w:tabs>
          <w:tab w:leader="none" w:pos="2956" w:val="left"/>
        </w:tabs>
        <w:numPr>
          <w:ilvl w:val="1"/>
          <w:numId w:val="451"/>
        </w:numPr>
        <w:rPr>
          <w:rFonts w:ascii="Arial" w:cs="Arial" w:eastAsia="Arial" w:hAnsi="Arial"/>
          <w:sz w:val="21"/>
          <w:szCs w:val="21"/>
          <w:color w:val="auto"/>
        </w:rPr>
      </w:pPr>
      <w:r>
        <w:rPr>
          <w:rFonts w:ascii="Arial" w:cs="Arial" w:eastAsia="Arial" w:hAnsi="Arial"/>
          <w:sz w:val="21"/>
          <w:szCs w:val="21"/>
          <w:color w:val="auto"/>
        </w:rPr>
        <w:t xml:space="preserve">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disclosure may not be made to the extent required to be kept confidential to comply with any applicable federal or state securities laws; 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(to the extent not inconsistent with the foregoing) such disclosure shall be made without disclosing the names or other identifying information of any party.</w:t>
      </w:r>
    </w:p>
    <w:p>
      <w:pPr>
        <w:spacing w:after="0" w:line="221" w:lineRule="exact"/>
        <w:rPr>
          <w:sz w:val="20"/>
          <w:szCs w:val="20"/>
          <w:color w:val="auto"/>
        </w:rPr>
      </w:pPr>
    </w:p>
    <w:p>
      <w:pPr>
        <w:jc w:val="both"/>
        <w:ind w:left="120" w:right="40" w:firstLine="648"/>
        <w:spacing w:after="0" w:line="259" w:lineRule="auto"/>
        <w:rPr>
          <w:sz w:val="20"/>
          <w:szCs w:val="20"/>
          <w:color w:val="auto"/>
        </w:rPr>
      </w:pPr>
      <w:r>
        <w:rPr>
          <w:rFonts w:ascii="Arial" w:cs="Arial" w:eastAsia="Arial" w:hAnsi="Arial"/>
          <w:sz w:val="21"/>
          <w:szCs w:val="21"/>
          <w:color w:val="auto"/>
        </w:rPr>
        <w:t xml:space="preserve">Section 14.14. </w:t>
      </w:r>
      <w:r>
        <w:rPr>
          <w:rFonts w:ascii="Arial" w:cs="Arial" w:eastAsia="Arial" w:hAnsi="Arial"/>
          <w:sz w:val="21"/>
          <w:szCs w:val="21"/>
          <w:u w:val="single" w:color="auto"/>
          <w:color w:val="auto"/>
        </w:rPr>
        <w:t>Execution in Counterparts; Severability; Integration</w:t>
      </w:r>
      <w:r>
        <w:rPr>
          <w:rFonts w:ascii="Arial" w:cs="Arial" w:eastAsia="Arial" w:hAnsi="Arial"/>
          <w:sz w:val="21"/>
          <w:szCs w:val="21"/>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and any agreements or letters (including fee letters) executed in connection herewith contains the final and complete integration of all prior expressions by the parties hereto with respect to the subject matter hereof and shall constitute the entire agreement among the parties hereto with respect to the subject matter hereof, superseding all prior oral 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119</w:t>
      </w:r>
    </w:p>
    <w:p>
      <w:pPr>
        <w:sectPr>
          <w:pgSz w:w="11900" w:h="16838" w:orient="portrait"/>
          <w:cols w:equalWidth="0" w:num="1">
            <w:col w:w="11140"/>
          </w:cols>
          <w:pgMar w:left="320" w:top="1427" w:right="439" w:bottom="1440" w:gutter="0" w:footer="0" w:header="0"/>
        </w:sectPr>
      </w:pPr>
    </w:p>
    <w:bookmarkStart w:id="387" w:name="page388"/>
    <w:bookmarkEnd w:id="387"/>
    <w:p>
      <w:pPr>
        <w:ind w:left="100"/>
        <w:spacing w:after="0"/>
        <w:rPr>
          <w:sz w:val="20"/>
          <w:szCs w:val="20"/>
          <w:color w:val="auto"/>
        </w:rPr>
      </w:pPr>
      <w:r>
        <w:rPr>
          <w:rFonts w:ascii="Arial" w:cs="Arial" w:eastAsia="Arial" w:hAnsi="Arial"/>
          <w:sz w:val="22"/>
          <w:szCs w:val="22"/>
          <w:color w:val="auto"/>
        </w:rPr>
        <w:t>written understandings other than any fee letter delivered by the Originator to the Deal Agent and the Lenders.</w:t>
      </w:r>
    </w:p>
    <w:p>
      <w:pPr>
        <w:spacing w:after="0" w:line="260" w:lineRule="exact"/>
        <w:rPr>
          <w:sz w:val="20"/>
          <w:szCs w:val="20"/>
          <w:color w:val="auto"/>
        </w:rPr>
      </w:pPr>
    </w:p>
    <w:p>
      <w:pPr>
        <w:jc w:val="both"/>
        <w:ind w:left="100" w:firstLine="648"/>
        <w:spacing w:after="0" w:line="246" w:lineRule="auto"/>
        <w:rPr>
          <w:sz w:val="20"/>
          <w:szCs w:val="20"/>
          <w:color w:val="auto"/>
        </w:rPr>
      </w:pPr>
      <w:r>
        <w:rPr>
          <w:rFonts w:ascii="Arial" w:cs="Arial" w:eastAsia="Arial" w:hAnsi="Arial"/>
          <w:sz w:val="22"/>
          <w:szCs w:val="22"/>
          <w:color w:val="auto"/>
        </w:rPr>
        <w:t xml:space="preserve">Section 14.15. </w:t>
      </w:r>
      <w:r>
        <w:rPr>
          <w:rFonts w:ascii="Arial" w:cs="Arial" w:eastAsia="Arial" w:hAnsi="Arial"/>
          <w:sz w:val="22"/>
          <w:szCs w:val="22"/>
          <w:u w:val="single" w:color="auto"/>
          <w:color w:val="auto"/>
        </w:rPr>
        <w:t>Patriot Act Compliance</w:t>
      </w:r>
      <w:r>
        <w:rPr>
          <w:rFonts w:ascii="Arial" w:cs="Arial" w:eastAsia="Arial" w:hAnsi="Arial"/>
          <w:sz w:val="22"/>
          <w:szCs w:val="22"/>
          <w:color w:val="auto"/>
        </w:rPr>
        <w:t>. The Deal Agent, Collateral Agent and Backup Servicer hereby notify the Borrower that pursuant to the requirements of the Patriot Act, it, and each other Lender, may be required to obtain, verify and record information that identifies the Borrower, which information includes the name and address of the Borrower, organizational documentation, director and shareholder information, and other information that will allow the Deal Agent, the Collateral Agent, the Backup Servicer and each Lender to identify the Borrower in accordance with the Patriot Act. This notice is given in accordance with the requirements of the Patriot Act and is effective for the Deal Agent, the Collateral Agent, the Backup Servicer and each Lender.</w:t>
      </w:r>
    </w:p>
    <w:p>
      <w:pPr>
        <w:spacing w:after="0" w:line="223"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120</w:t>
      </w:r>
    </w:p>
    <w:p>
      <w:pPr>
        <w:sectPr>
          <w:pgSz w:w="11900" w:h="16838" w:orient="portrait"/>
          <w:cols w:equalWidth="0" w:num="1">
            <w:col w:w="11140"/>
          </w:cols>
          <w:pgMar w:left="320" w:top="1427" w:right="439" w:bottom="1440" w:gutter="0" w:footer="0" w:header="0"/>
        </w:sectPr>
      </w:pPr>
    </w:p>
    <w:bookmarkStart w:id="388" w:name="page389"/>
    <w:bookmarkEnd w:id="388"/>
    <w:p>
      <w:pPr>
        <w:spacing w:after="0" w:line="200" w:lineRule="exact"/>
        <w:rPr>
          <w:sz w:val="20"/>
          <w:szCs w:val="20"/>
          <w:color w:val="auto"/>
        </w:rPr>
      </w:pPr>
    </w:p>
    <w:p>
      <w:pPr>
        <w:spacing w:after="0" w:line="28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officers thereunto duly authorized, as of the date first above written.</w:t>
      </w:r>
    </w:p>
    <w:p>
      <w:pPr>
        <w:spacing w:after="0" w:line="215" w:lineRule="exact"/>
        <w:rPr>
          <w:sz w:val="20"/>
          <w:szCs w:val="20"/>
          <w:color w:val="auto"/>
        </w:rPr>
      </w:pPr>
    </w:p>
    <w:p>
      <w:pPr>
        <w:spacing w:after="0"/>
        <w:tabs>
          <w:tab w:leader="none" w:pos="1940" w:val="left"/>
        </w:tabs>
        <w:rPr>
          <w:sz w:val="20"/>
          <w:szCs w:val="20"/>
          <w:color w:val="auto"/>
        </w:rPr>
      </w:pPr>
      <w:r>
        <w:rPr>
          <w:rFonts w:ascii="Arial" w:cs="Arial" w:eastAsia="Arial" w:hAnsi="Arial"/>
          <w:sz w:val="22"/>
          <w:szCs w:val="22"/>
          <w:color w:val="auto"/>
        </w:rPr>
        <w:t>THE BORROWER:</w:t>
      </w:r>
      <w:r>
        <w:rPr>
          <w:sz w:val="20"/>
          <w:szCs w:val="20"/>
          <w:color w:val="auto"/>
        </w:rPr>
        <w:tab/>
      </w:r>
      <w:r>
        <w:rPr>
          <w:rFonts w:ascii="Arial" w:cs="Arial" w:eastAsia="Arial" w:hAnsi="Arial"/>
          <w:sz w:val="19"/>
          <w:szCs w:val="19"/>
          <w:color w:val="auto"/>
        </w:rPr>
        <w:t>CAC WAREHOUSE FUNDING CORPORATION II</w:t>
      </w:r>
    </w:p>
    <w:p>
      <w:pPr>
        <w:spacing w:after="0" w:line="200" w:lineRule="exact"/>
        <w:rPr>
          <w:sz w:val="20"/>
          <w:szCs w:val="20"/>
          <w:color w:val="auto"/>
        </w:rPr>
      </w:pPr>
    </w:p>
    <w:p>
      <w:pPr>
        <w:spacing w:after="0" w:line="29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-17780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Douglas W. Busk Title: Treasurer</w:t>
      </w:r>
    </w:p>
    <w:p>
      <w:pPr>
        <w:spacing w:after="0" w:line="200" w:lineRule="exact"/>
        <w:rPr>
          <w:sz w:val="20"/>
          <w:szCs w:val="20"/>
          <w:color w:val="auto"/>
        </w:rPr>
      </w:pPr>
    </w:p>
    <w:p>
      <w:pPr>
        <w:spacing w:after="0" w:line="272" w:lineRule="exact"/>
        <w:rPr>
          <w:sz w:val="20"/>
          <w:szCs w:val="20"/>
          <w:color w:val="auto"/>
        </w:rPr>
      </w:pPr>
    </w:p>
    <w:p>
      <w:pPr>
        <w:ind w:left="3880" w:right="680"/>
        <w:spacing w:after="0" w:line="251" w:lineRule="auto"/>
        <w:rPr>
          <w:sz w:val="20"/>
          <w:szCs w:val="20"/>
          <w:color w:val="auto"/>
        </w:rPr>
      </w:pPr>
      <w:r>
        <w:rPr>
          <w:rFonts w:ascii="Arial" w:cs="Arial" w:eastAsia="Arial" w:hAnsi="Arial"/>
          <w:sz w:val="22"/>
          <w:szCs w:val="22"/>
          <w:color w:val="auto"/>
        </w:rPr>
        <w:t>CAC Warehouse Funding Corporation II Silver Triangle Building</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25505 West Twelve Mile Road Southfield, Michigan</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48034-8339 Attention: Douglas W. Busk Facsimile No.</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(866) 743-2704</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Confirmation No.: (248) 353-2700 (ext. 4432)</w:t>
      </w:r>
    </w:p>
    <w:p>
      <w:pPr>
        <w:spacing w:after="0" w:line="200" w:lineRule="exact"/>
        <w:rPr>
          <w:sz w:val="20"/>
          <w:szCs w:val="20"/>
          <w:color w:val="auto"/>
        </w:rPr>
      </w:pPr>
    </w:p>
    <w:p>
      <w:pPr>
        <w:spacing w:after="0" w:line="272" w:lineRule="exact"/>
        <w:rPr>
          <w:sz w:val="20"/>
          <w:szCs w:val="20"/>
          <w:color w:val="auto"/>
        </w:rPr>
      </w:pPr>
    </w:p>
    <w:p>
      <w:pPr>
        <w:spacing w:after="0"/>
        <w:tabs>
          <w:tab w:leader="none" w:pos="1740" w:val="left"/>
        </w:tabs>
        <w:rPr>
          <w:sz w:val="20"/>
          <w:szCs w:val="20"/>
          <w:color w:val="auto"/>
        </w:rPr>
      </w:pPr>
      <w:r>
        <w:rPr>
          <w:rFonts w:ascii="Arial" w:cs="Arial" w:eastAsia="Arial" w:hAnsi="Arial"/>
          <w:sz w:val="22"/>
          <w:szCs w:val="22"/>
          <w:color w:val="auto"/>
        </w:rPr>
        <w:t>THE SERVICER:</w:t>
      </w:r>
      <w:r>
        <w:rPr>
          <w:sz w:val="20"/>
          <w:szCs w:val="20"/>
          <w:color w:val="auto"/>
        </w:rPr>
        <w:tab/>
      </w:r>
      <w:r>
        <w:rPr>
          <w:rFonts w:ascii="Arial" w:cs="Arial" w:eastAsia="Arial" w:hAnsi="Arial"/>
          <w:sz w:val="19"/>
          <w:szCs w:val="19"/>
          <w:color w:val="auto"/>
        </w:rPr>
        <w:t>CREDIT ACCEPTANCE CORPORATION</w:t>
      </w:r>
    </w:p>
    <w:p>
      <w:pPr>
        <w:spacing w:after="0" w:line="200" w:lineRule="exact"/>
        <w:rPr>
          <w:sz w:val="20"/>
          <w:szCs w:val="20"/>
          <w:color w:val="auto"/>
        </w:rPr>
      </w:pPr>
    </w:p>
    <w:p>
      <w:pPr>
        <w:spacing w:after="0" w:line="30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-17780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7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Credit Acceptance Corporation Silver Triangle</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Building</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25505 West Twelve Mile Road Southfield, Michigan</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48034-8339 Attention: Douglas W. Busk Facsimile No.</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(866) 743-2704</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Confirmation No.: (248) 353-2700 (ext. 4432)</w:t>
      </w: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[SIGNATURES CONTINUED ON THE FOLLOWING PAGE]</w:t>
      </w:r>
    </w:p>
    <w:p>
      <w:pPr>
        <w:sectPr>
          <w:pgSz w:w="11900" w:h="16838" w:orient="portrait"/>
          <w:cols w:equalWidth="0" w:num="1">
            <w:col w:w="9440"/>
          </w:cols>
          <w:pgMar w:left="1020" w:top="1440" w:right="1439" w:bottom="1440" w:gutter="0" w:footer="0" w:header="0"/>
        </w:sectPr>
      </w:pPr>
    </w:p>
    <w:bookmarkStart w:id="389" w:name="page390"/>
    <w:bookmarkEnd w:id="389"/>
    <w:p>
      <w:pPr>
        <w:spacing w:after="0"/>
        <w:tabs>
          <w:tab w:leader="none" w:pos="1580" w:val="left"/>
        </w:tabs>
        <w:rPr>
          <w:sz w:val="20"/>
          <w:szCs w:val="20"/>
          <w:color w:val="auto"/>
        </w:rPr>
      </w:pPr>
      <w:r>
        <w:rPr>
          <w:rFonts w:ascii="Arial" w:cs="Arial" w:eastAsia="Arial" w:hAnsi="Arial"/>
          <w:sz w:val="22"/>
          <w:szCs w:val="22"/>
          <w:color w:val="auto"/>
        </w:rPr>
        <w:t>THE LENDER:</w:t>
      </w:r>
      <w:r>
        <w:rPr>
          <w:sz w:val="20"/>
          <w:szCs w:val="20"/>
          <w:color w:val="auto"/>
        </w:rPr>
        <w:tab/>
      </w:r>
      <w:r>
        <w:rPr>
          <w:rFonts w:ascii="Arial" w:cs="Arial" w:eastAsia="Arial" w:hAnsi="Arial"/>
          <w:sz w:val="21"/>
          <w:szCs w:val="21"/>
          <w:color w:val="auto"/>
        </w:rPr>
        <w:t>WELLS FARGO BANK, NATIONAL ASSOCIATION</w:t>
      </w:r>
    </w:p>
    <w:p>
      <w:pPr>
        <w:spacing w:after="0" w:line="200" w:lineRule="exact"/>
        <w:rPr>
          <w:sz w:val="20"/>
          <w:szCs w:val="20"/>
          <w:color w:val="auto"/>
        </w:rPr>
      </w:pPr>
    </w:p>
    <w:p>
      <w:pPr>
        <w:spacing w:after="0" w:line="303" w:lineRule="exact"/>
        <w:rPr>
          <w:sz w:val="20"/>
          <w:szCs w:val="20"/>
          <w:color w:val="auto"/>
        </w:rPr>
      </w:pPr>
    </w:p>
    <w:p>
      <w:pPr>
        <w:ind w:left="3880"/>
        <w:spacing w:after="0"/>
        <w:tabs>
          <w:tab w:leader="none" w:pos="4440" w:val="left"/>
          <w:tab w:leader="none" w:pos="5300" w:val="left"/>
        </w:tabs>
        <w:rPr>
          <w:sz w:val="20"/>
          <w:szCs w:val="20"/>
          <w:color w:val="auto"/>
        </w:rPr>
      </w:pPr>
      <w:r>
        <w:rPr>
          <w:rFonts w:ascii="Arial" w:cs="Arial" w:eastAsia="Arial" w:hAnsi="Arial"/>
          <w:sz w:val="22"/>
          <w:szCs w:val="22"/>
          <w:color w:val="auto"/>
        </w:rPr>
        <w:t>By:</w:t>
        <w:tab/>
        <w:t>Name:</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-17780</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-17780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-17780</wp:posOffset>
            </wp:positionV>
            <wp:extent cx="171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08" w:lineRule="exact"/>
        <w:rPr>
          <w:sz w:val="20"/>
          <w:szCs w:val="20"/>
          <w:color w:val="auto"/>
        </w:rPr>
      </w:pPr>
    </w:p>
    <w:p>
      <w:pPr>
        <w:ind w:left="3880" w:right="700"/>
        <w:spacing w:after="0" w:line="253" w:lineRule="auto"/>
        <w:rPr>
          <w:sz w:val="20"/>
          <w:szCs w:val="20"/>
          <w:color w:val="auto"/>
        </w:rPr>
      </w:pPr>
      <w:r>
        <w:rPr>
          <w:rFonts w:ascii="Arial" w:cs="Arial" w:eastAsia="Arial" w:hAnsi="Arial"/>
          <w:sz w:val="22"/>
          <w:szCs w:val="22"/>
          <w:color w:val="auto"/>
        </w:rPr>
        <w:t>Wells Fargo Bank, National Association 550 South Tryon Street Charlotte, North Carolina 28202 Attention: James B. Brinkley, III Facsimile No.: (704) 410-0223</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Confirmation No: (704) 410-2415 [SIGNATURES CONTINUED ON THE</w:t>
      </w:r>
    </w:p>
    <w:p>
      <w:pPr>
        <w:spacing w:after="0" w:line="314"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FOLLOWING PAGE]</w:t>
      </w:r>
    </w:p>
    <w:p>
      <w:pPr>
        <w:sectPr>
          <w:pgSz w:w="11900" w:h="16838" w:orient="portrait"/>
          <w:cols w:equalWidth="0" w:num="1">
            <w:col w:w="10440"/>
          </w:cols>
          <w:pgMar w:left="420" w:top="1427" w:right="1039" w:bottom="1440" w:gutter="0" w:footer="0" w:header="0"/>
        </w:sectPr>
      </w:pPr>
    </w:p>
    <w:bookmarkStart w:id="390" w:name="page391"/>
    <w:bookmarkEnd w:id="390"/>
    <w:p>
      <w:pPr>
        <w:spacing w:after="0"/>
        <w:tabs>
          <w:tab w:leader="none" w:pos="2080" w:val="left"/>
        </w:tabs>
        <w:rPr>
          <w:sz w:val="20"/>
          <w:szCs w:val="20"/>
          <w:color w:val="auto"/>
        </w:rPr>
      </w:pPr>
      <w:r>
        <w:rPr>
          <w:rFonts w:ascii="Arial" w:cs="Arial" w:eastAsia="Arial" w:hAnsi="Arial"/>
          <w:sz w:val="22"/>
          <w:szCs w:val="22"/>
          <w:color w:val="auto"/>
        </w:rPr>
        <w:t>THE DEAL AGENT:</w:t>
      </w:r>
      <w:r>
        <w:rPr>
          <w:sz w:val="20"/>
          <w:szCs w:val="20"/>
          <w:color w:val="auto"/>
        </w:rPr>
        <w:tab/>
      </w:r>
      <w:r>
        <w:rPr>
          <w:rFonts w:ascii="Arial" w:cs="Arial" w:eastAsia="Arial" w:hAnsi="Arial"/>
          <w:sz w:val="21"/>
          <w:szCs w:val="21"/>
          <w:color w:val="auto"/>
        </w:rPr>
        <w:t>WELLS FARGO BANK, NATIONAL ASSOCIATION</w:t>
      </w:r>
    </w:p>
    <w:p>
      <w:pPr>
        <w:spacing w:after="0" w:line="200" w:lineRule="exact"/>
        <w:rPr>
          <w:sz w:val="20"/>
          <w:szCs w:val="20"/>
          <w:color w:val="auto"/>
        </w:rPr>
      </w:pPr>
    </w:p>
    <w:p>
      <w:pPr>
        <w:spacing w:after="0" w:line="290" w:lineRule="exact"/>
        <w:rPr>
          <w:sz w:val="20"/>
          <w:szCs w:val="20"/>
          <w:color w:val="auto"/>
        </w:rPr>
      </w:pPr>
    </w:p>
    <w:p>
      <w:pPr>
        <w:jc w:val="center"/>
        <w:ind w:right="379"/>
        <w:spacing w:after="0"/>
        <w:tabs>
          <w:tab w:leader="none" w:pos="240" w:val="left"/>
          <w:tab w:leader="none" w:pos="260" w:val="left"/>
        </w:tabs>
        <w:rPr>
          <w:sz w:val="20"/>
          <w:szCs w:val="20"/>
          <w:color w:val="auto"/>
        </w:rPr>
      </w:pPr>
      <w:r>
        <w:rPr>
          <w:rFonts w:ascii="Arial" w:cs="Arial" w:eastAsia="Arial" w:hAnsi="Arial"/>
          <w:sz w:val="22"/>
          <w:szCs w:val="22"/>
          <w:color w:val="auto"/>
        </w:rPr>
        <w:t>By:</w:t>
        <w:tab/>
        <w:t>Name:</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-17780</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-17780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-17780</wp:posOffset>
            </wp:positionV>
            <wp:extent cx="1714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Wells Fargo Bank, National Association 550 South Tryon Street</w:t>
      </w:r>
    </w:p>
    <w:p>
      <w:pPr>
        <w:spacing w:after="0" w:line="56" w:lineRule="exact"/>
        <w:rPr>
          <w:sz w:val="20"/>
          <w:szCs w:val="20"/>
          <w:color w:val="auto"/>
        </w:rPr>
      </w:pPr>
    </w:p>
    <w:p>
      <w:pPr>
        <w:ind w:left="3880"/>
        <w:spacing w:after="0"/>
        <w:tabs>
          <w:tab w:leader="none" w:pos="7820" w:val="left"/>
        </w:tabs>
        <w:rPr>
          <w:sz w:val="20"/>
          <w:szCs w:val="20"/>
          <w:color w:val="auto"/>
        </w:rPr>
      </w:pPr>
      <w:r>
        <w:rPr>
          <w:rFonts w:ascii="Arial" w:cs="Arial" w:eastAsia="Arial" w:hAnsi="Arial"/>
          <w:sz w:val="22"/>
          <w:szCs w:val="22"/>
          <w:color w:val="auto"/>
        </w:rPr>
        <w:t>Charlotte, North Carolina 28202 Attention:</w:t>
      </w:r>
      <w:r>
        <w:rPr>
          <w:sz w:val="20"/>
          <w:szCs w:val="20"/>
          <w:color w:val="auto"/>
        </w:rPr>
        <w:tab/>
      </w:r>
      <w:r>
        <w:rPr>
          <w:rFonts w:ascii="Arial" w:cs="Arial" w:eastAsia="Arial" w:hAnsi="Arial"/>
          <w:sz w:val="19"/>
          <w:szCs w:val="19"/>
          <w:color w:val="auto"/>
        </w:rPr>
        <w:t>James B. Brinkley, III</w:t>
      </w:r>
    </w:p>
    <w:p>
      <w:pPr>
        <w:spacing w:after="0" w:line="4" w:lineRule="exact"/>
        <w:rPr>
          <w:sz w:val="20"/>
          <w:szCs w:val="20"/>
          <w:color w:val="auto"/>
        </w:rPr>
      </w:pPr>
    </w:p>
    <w:p>
      <w:pPr>
        <w:ind w:left="3880"/>
        <w:spacing w:after="0"/>
        <w:tabs>
          <w:tab w:leader="none" w:pos="5360" w:val="left"/>
        </w:tabs>
        <w:rPr>
          <w:sz w:val="20"/>
          <w:szCs w:val="20"/>
          <w:color w:val="auto"/>
        </w:rPr>
      </w:pPr>
      <w:r>
        <w:rPr>
          <w:rFonts w:ascii="Arial" w:cs="Arial" w:eastAsia="Arial" w:hAnsi="Arial"/>
          <w:sz w:val="22"/>
          <w:szCs w:val="22"/>
          <w:color w:val="auto"/>
        </w:rPr>
        <w:t>Facsimile No.:</w:t>
      </w:r>
      <w:r>
        <w:rPr>
          <w:sz w:val="20"/>
          <w:szCs w:val="20"/>
          <w:color w:val="auto"/>
        </w:rPr>
        <w:tab/>
      </w:r>
      <w:r>
        <w:rPr>
          <w:rFonts w:ascii="Arial" w:cs="Arial" w:eastAsia="Arial" w:hAnsi="Arial"/>
          <w:sz w:val="19"/>
          <w:szCs w:val="19"/>
          <w:color w:val="auto"/>
        </w:rPr>
        <w:t>(704) 410-0223</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Confirmation No: (704) 410-2415</w:t>
      </w:r>
    </w:p>
    <w:p>
      <w:pPr>
        <w:spacing w:after="0" w:line="200" w:lineRule="exact"/>
        <w:rPr>
          <w:sz w:val="20"/>
          <w:szCs w:val="20"/>
          <w:color w:val="auto"/>
        </w:rPr>
      </w:pPr>
    </w:p>
    <w:p>
      <w:pPr>
        <w:spacing w:after="0" w:line="28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[SIGNATURES CONTINUED ON THE FOLLOWING PAGE]</w:t>
      </w:r>
    </w:p>
    <w:p>
      <w:pPr>
        <w:sectPr>
          <w:pgSz w:w="11900" w:h="16838" w:orient="portrait"/>
          <w:cols w:equalWidth="0" w:num="1">
            <w:col w:w="10039"/>
          </w:cols>
          <w:pgMar w:left="420" w:top="1427" w:right="1440" w:bottom="1440" w:gutter="0" w:footer="0" w:header="0"/>
        </w:sectPr>
      </w:pPr>
    </w:p>
    <w:bookmarkStart w:id="391" w:name="page392"/>
    <w:bookmarkEnd w:id="391"/>
    <w:p>
      <w:pPr>
        <w:ind w:right="1800"/>
        <w:spacing w:after="0" w:line="263" w:lineRule="auto"/>
        <w:rPr>
          <w:sz w:val="20"/>
          <w:szCs w:val="20"/>
          <w:color w:val="auto"/>
        </w:rPr>
      </w:pPr>
      <w:r>
        <w:rPr>
          <w:rFonts w:ascii="Arial" w:cs="Arial" w:eastAsia="Arial" w:hAnsi="Arial"/>
          <w:sz w:val="22"/>
          <w:szCs w:val="22"/>
          <w:color w:val="auto"/>
        </w:rPr>
        <w:t>THE BACKUP SERVICER and WELLS FARGO BANK, NATIONAL COLLATERAL AGENT: ASSOCIATION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-17780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-29210</wp:posOffset>
            </wp:positionV>
            <wp:extent cx="171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Wells Fargo Bank, National Association</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MAC N</w:t>
      </w:r>
      <w:r>
        <w:rPr>
          <w:rFonts w:ascii="Arial" w:cs="Arial" w:eastAsia="Arial" w:hAnsi="Arial"/>
          <w:sz w:val="22"/>
          <w:szCs w:val="22"/>
          <w:color w:val="FF0000"/>
          <w:strike w:val="1"/>
        </w:rPr>
        <w:t>9311</w:t>
      </w:r>
      <w:r>
        <w:rPr>
          <w:rFonts w:ascii="Arial" w:cs="Arial" w:eastAsia="Arial" w:hAnsi="Arial"/>
          <w:sz w:val="22"/>
          <w:szCs w:val="22"/>
          <w:u w:val="single" w:color="auto"/>
          <w:color w:val="0000FF"/>
        </w:rPr>
        <w:t>9300</w:t>
      </w:r>
      <w:r>
        <w:rPr>
          <w:rFonts w:ascii="Arial" w:cs="Arial" w:eastAsia="Arial" w:hAnsi="Arial"/>
          <w:sz w:val="22"/>
          <w:szCs w:val="22"/>
          <w:color w:val="auto"/>
        </w:rPr>
        <w:t>-</w:t>
      </w:r>
      <w:r>
        <w:rPr>
          <w:rFonts w:ascii="Arial" w:cs="Arial" w:eastAsia="Arial" w:hAnsi="Arial"/>
          <w:sz w:val="22"/>
          <w:szCs w:val="22"/>
          <w:color w:val="FF0000"/>
          <w:strike w:val="1"/>
        </w:rPr>
        <w:t>161</w:t>
      </w:r>
      <w:r>
        <w:rPr>
          <w:rFonts w:ascii="Arial" w:cs="Arial" w:eastAsia="Arial" w:hAnsi="Arial"/>
          <w:sz w:val="22"/>
          <w:szCs w:val="22"/>
          <w:u w:val="single" w:color="auto"/>
          <w:color w:val="0000FF"/>
        </w:rPr>
        <w:t>061</w:t>
      </w:r>
    </w:p>
    <w:p>
      <w:pPr>
        <w:spacing w:after="0" w:line="4" w:lineRule="exact"/>
        <w:rPr>
          <w:sz w:val="20"/>
          <w:szCs w:val="20"/>
          <w:color w:val="auto"/>
        </w:rPr>
      </w:pPr>
    </w:p>
    <w:p>
      <w:pPr>
        <w:ind w:left="3840"/>
        <w:spacing w:after="0" w:line="281" w:lineRule="auto"/>
        <w:rPr>
          <w:sz w:val="20"/>
          <w:szCs w:val="20"/>
          <w:color w:val="auto"/>
        </w:rPr>
      </w:pPr>
      <w:r>
        <w:rPr>
          <w:rFonts w:ascii="Arial" w:cs="Arial" w:eastAsia="Arial" w:hAnsi="Arial"/>
          <w:sz w:val="19"/>
          <w:szCs w:val="19"/>
          <w:color w:val="FF0000"/>
          <w:strike w:val="1"/>
        </w:rPr>
        <w:t>Sixth</w:t>
      </w:r>
      <w:r>
        <w:rPr>
          <w:rFonts w:ascii="Arial" w:cs="Arial" w:eastAsia="Arial" w:hAnsi="Arial"/>
          <w:sz w:val="19"/>
          <w:szCs w:val="19"/>
          <w:color w:val="0000FF"/>
        </w:rPr>
        <w:t>600 S. 4</w:t>
      </w:r>
      <w:r>
        <w:rPr>
          <w:rFonts w:ascii="Arial" w:cs="Arial" w:eastAsia="Arial" w:hAnsi="Arial"/>
          <w:sz w:val="11"/>
          <w:szCs w:val="11"/>
          <w:color w:val="0000FF"/>
        </w:rPr>
        <w:t>th</w:t>
      </w:r>
      <w:r>
        <w:rPr>
          <w:rFonts w:ascii="Arial" w:cs="Arial" w:eastAsia="Arial" w:hAnsi="Arial"/>
          <w:sz w:val="19"/>
          <w:szCs w:val="19"/>
          <w:color w:val="FF0000"/>
        </w:rPr>
        <w:t xml:space="preserve"> </w:t>
      </w:r>
      <w:r>
        <w:rPr>
          <w:rFonts w:ascii="Arial" w:cs="Arial" w:eastAsia="Arial" w:hAnsi="Arial"/>
          <w:sz w:val="19"/>
          <w:szCs w:val="19"/>
          <w:color w:val="000000"/>
        </w:rPr>
        <w:t>Street</w:t>
      </w:r>
      <w:r>
        <w:rPr>
          <w:rFonts w:ascii="Arial" w:cs="Arial" w:eastAsia="Arial" w:hAnsi="Arial"/>
          <w:sz w:val="19"/>
          <w:szCs w:val="19"/>
          <w:color w:val="FF0000"/>
        </w:rPr>
        <w:t xml:space="preserve"> </w:t>
      </w:r>
      <w:r>
        <w:rPr>
          <w:rFonts w:ascii="Arial" w:cs="Arial" w:eastAsia="Arial" w:hAnsi="Arial"/>
          <w:sz w:val="19"/>
          <w:szCs w:val="19"/>
          <w:color w:val="FF0000"/>
          <w:strike w:val="1"/>
        </w:rPr>
        <w:t>and Marquette Avenue</w:t>
      </w:r>
      <w:r>
        <w:rPr>
          <w:rFonts w:ascii="Arial" w:cs="Arial" w:eastAsia="Arial" w:hAnsi="Arial"/>
          <w:sz w:val="19"/>
          <w:szCs w:val="19"/>
          <w:color w:val="FF0000"/>
        </w:rPr>
        <w:t xml:space="preserve"> </w:t>
      </w:r>
      <w:r>
        <w:rPr>
          <w:rFonts w:ascii="Arial" w:cs="Arial" w:eastAsia="Arial" w:hAnsi="Arial"/>
          <w:sz w:val="19"/>
          <w:szCs w:val="19"/>
          <w:color w:val="000000"/>
        </w:rPr>
        <w:t>Minneapolis, Minnesota</w:t>
      </w:r>
      <w:r>
        <w:rPr>
          <w:rFonts w:ascii="Arial" w:cs="Arial" w:eastAsia="Arial" w:hAnsi="Arial"/>
          <w:sz w:val="19"/>
          <w:szCs w:val="19"/>
          <w:color w:val="FF0000"/>
        </w:rPr>
        <w:t xml:space="preserve"> </w:t>
      </w:r>
      <w:r>
        <w:rPr>
          <w:rFonts w:ascii="Arial" w:cs="Arial" w:eastAsia="Arial" w:hAnsi="Arial"/>
          <w:sz w:val="19"/>
          <w:szCs w:val="19"/>
          <w:color w:val="FF0000"/>
          <w:strike w:val="1"/>
        </w:rPr>
        <w:t>55479</w:t>
      </w:r>
      <w:r>
        <w:rPr>
          <w:rFonts w:ascii="Arial" w:cs="Arial" w:eastAsia="Arial" w:hAnsi="Arial"/>
          <w:sz w:val="19"/>
          <w:szCs w:val="19"/>
          <w:u w:val="single" w:color="auto"/>
          <w:color w:val="0000FF"/>
        </w:rPr>
        <w:t>55415</w:t>
      </w:r>
      <w:r>
        <w:rPr>
          <w:rFonts w:ascii="Arial" w:cs="Arial" w:eastAsia="Arial" w:hAnsi="Arial"/>
          <w:sz w:val="19"/>
          <w:szCs w:val="19"/>
          <w:color w:val="FF0000"/>
        </w:rPr>
        <w:t xml:space="preserve"> </w:t>
      </w:r>
      <w:r>
        <w:rPr>
          <w:rFonts w:ascii="Arial" w:cs="Arial" w:eastAsia="Arial" w:hAnsi="Arial"/>
          <w:sz w:val="19"/>
          <w:szCs w:val="19"/>
          <w:color w:val="000000"/>
        </w:rPr>
        <w:t>Attention: Corporate Trust Services – Asset-</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Backed Administration Facsimile: (612) 667-3464</w:t>
      </w:r>
    </w:p>
    <w:p>
      <w:pPr>
        <w:spacing w:after="0" w:line="4"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Telephone: (612) 667-8058</w:t>
      </w:r>
    </w:p>
    <w:p>
      <w:pPr>
        <w:sectPr>
          <w:pgSz w:w="11900" w:h="16838" w:orient="portrait"/>
          <w:cols w:equalWidth="0" w:num="1">
            <w:col w:w="9820"/>
          </w:cols>
          <w:pgMar w:left="1020" w:top="1427" w:right="1059" w:bottom="1440" w:gutter="0" w:footer="0" w:header="0"/>
        </w:sectPr>
      </w:pPr>
    </w:p>
    <w:bookmarkStart w:id="392" w:name="page393"/>
    <w:bookmarkEnd w:id="392"/>
    <w:p>
      <w:pPr>
        <w:jc w:val="right"/>
        <w:spacing w:after="0"/>
        <w:rPr>
          <w:sz w:val="20"/>
          <w:szCs w:val="20"/>
          <w:color w:val="auto"/>
        </w:rPr>
      </w:pPr>
      <w:r>
        <w:rPr>
          <w:rFonts w:ascii="Arial" w:cs="Arial" w:eastAsia="Arial" w:hAnsi="Arial"/>
          <w:sz w:val="22"/>
          <w:szCs w:val="22"/>
          <w:u w:val="single" w:color="auto"/>
          <w:color w:val="auto"/>
        </w:rPr>
        <w:t>Exhibit A</w:t>
      </w:r>
    </w:p>
    <w:p>
      <w:pPr>
        <w:spacing w:after="0" w:line="335"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FORM OF FUNDING NOTICE</w:t>
      </w:r>
    </w:p>
    <w:p>
      <w:pPr>
        <w:spacing w:after="0" w:line="253" w:lineRule="exact"/>
        <w:rPr>
          <w:sz w:val="20"/>
          <w:szCs w:val="20"/>
          <w:color w:val="auto"/>
        </w:rPr>
      </w:pPr>
    </w:p>
    <w:p>
      <w:pPr>
        <w:jc w:val="both"/>
        <w:ind w:left="700" w:right="40"/>
        <w:spacing w:after="0" w:line="294" w:lineRule="auto"/>
        <w:rPr>
          <w:sz w:val="20"/>
          <w:szCs w:val="20"/>
          <w:color w:val="auto"/>
        </w:rPr>
      </w:pPr>
      <w:r>
        <w:rPr>
          <w:rFonts w:ascii="Arial" w:cs="Arial" w:eastAsia="Arial" w:hAnsi="Arial"/>
          <w:sz w:val="19"/>
          <w:szCs w:val="19"/>
          <w:color w:val="auto"/>
        </w:rPr>
        <w:t>Reference is made to the Sixth Amended and Restated Loan and Security Agreement, dated as of June 23, 2016 (as amended, supplemented or otherwise modified and in effect from time to time, the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by and among CAC Warehouse Funding Corporation II, as borrower (in such capacity, the “</w:t>
      </w:r>
      <w:r>
        <w:rPr>
          <w:rFonts w:ascii="Arial" w:cs="Arial" w:eastAsia="Arial" w:hAnsi="Arial"/>
          <w:sz w:val="19"/>
          <w:szCs w:val="19"/>
          <w:i w:val="1"/>
          <w:iCs w:val="1"/>
          <w:u w:val="single" w:color="auto"/>
          <w:color w:val="auto"/>
        </w:rPr>
        <w:t>Borrower</w:t>
      </w:r>
      <w:r>
        <w:rPr>
          <w:rFonts w:ascii="Arial" w:cs="Arial" w:eastAsia="Arial" w:hAnsi="Arial"/>
          <w:sz w:val="19"/>
          <w:szCs w:val="19"/>
          <w:color w:val="auto"/>
        </w:rPr>
        <w:t>”), Credit Acceptance Corporation, as servicer (in such capacity, the “</w:t>
      </w:r>
      <w:r>
        <w:rPr>
          <w:rFonts w:ascii="Arial" w:cs="Arial" w:eastAsia="Arial" w:hAnsi="Arial"/>
          <w:sz w:val="19"/>
          <w:szCs w:val="19"/>
          <w:i w:val="1"/>
          <w:iCs w:val="1"/>
          <w:u w:val="single" w:color="auto"/>
          <w:color w:val="auto"/>
        </w:rPr>
        <w:t>Servicer</w:t>
      </w:r>
      <w:r>
        <w:rPr>
          <w:rFonts w:ascii="Arial" w:cs="Arial" w:eastAsia="Arial" w:hAnsi="Arial"/>
          <w:sz w:val="19"/>
          <w:szCs w:val="19"/>
          <w:color w:val="auto"/>
        </w:rPr>
        <w:t>”), the Lenders named therein, Wells Fargo Bank, National Association, as Deal Agent, Wells Fargo Bank, National Association, as the Backup Servicer and Collateral Agent and each other Lender party thereto. Terms defined in the Agreement, or incorporated therein by reference, are used herein as therein defined.</w:t>
      </w:r>
    </w:p>
    <w:p>
      <w:pPr>
        <w:spacing w:after="0" w:line="190" w:lineRule="exact"/>
        <w:rPr>
          <w:sz w:val="20"/>
          <w:szCs w:val="20"/>
          <w:color w:val="auto"/>
        </w:rPr>
      </w:pPr>
    </w:p>
    <w:p>
      <w:pPr>
        <w:ind w:left="4320" w:hanging="712"/>
        <w:spacing w:after="0"/>
        <w:tabs>
          <w:tab w:leader="none" w:pos="4320" w:val="left"/>
        </w:tabs>
        <w:numPr>
          <w:ilvl w:val="0"/>
          <w:numId w:val="452"/>
        </w:numPr>
        <w:rPr>
          <w:rFonts w:ascii="Arial" w:cs="Arial" w:eastAsia="Arial" w:hAnsi="Arial"/>
          <w:sz w:val="19"/>
          <w:szCs w:val="19"/>
          <w:color w:val="auto"/>
        </w:rPr>
      </w:pPr>
      <w:r>
        <w:rPr>
          <w:rFonts w:ascii="Arial" w:cs="Arial" w:eastAsia="Arial" w:hAnsi="Arial"/>
          <w:sz w:val="19"/>
          <w:szCs w:val="19"/>
          <w:u w:val="single" w:color="auto"/>
          <w:color w:val="auto"/>
        </w:rPr>
        <w:t>Funding Request</w:t>
      </w:r>
      <w:r>
        <w:rPr>
          <w:rFonts w:ascii="Arial" w:cs="Arial" w:eastAsia="Arial" w:hAnsi="Arial"/>
          <w:sz w:val="19"/>
          <w:szCs w:val="19"/>
          <w:color w:val="auto"/>
        </w:rPr>
        <w:t>. The Borrower hereby requests the Funding pursuant to</w:t>
      </w:r>
    </w:p>
    <w:p>
      <w:pPr>
        <w:spacing w:after="0" w:line="55" w:lineRule="exact"/>
        <w:rPr>
          <w:rFonts w:ascii="Arial" w:cs="Arial" w:eastAsia="Arial" w:hAnsi="Arial"/>
          <w:sz w:val="19"/>
          <w:szCs w:val="19"/>
          <w:color w:val="auto"/>
        </w:rPr>
      </w:pPr>
    </w:p>
    <w:p>
      <w:pPr>
        <w:ind w:left="40"/>
        <w:spacing w:after="0"/>
        <w:rPr>
          <w:rFonts w:ascii="Arial" w:cs="Arial" w:eastAsia="Arial" w:hAnsi="Arial"/>
          <w:sz w:val="19"/>
          <w:szCs w:val="19"/>
          <w:color w:val="auto"/>
        </w:rPr>
      </w:pPr>
      <w:r>
        <w:rPr>
          <w:rFonts w:ascii="Arial" w:cs="Arial" w:eastAsia="Arial" w:hAnsi="Arial"/>
          <w:sz w:val="22"/>
          <w:szCs w:val="22"/>
          <w:color w:val="auto"/>
        </w:rPr>
        <w:t>Section 2.1 and Section 2.3 of the Agreement.</w:t>
      </w:r>
    </w:p>
    <w:p>
      <w:pPr>
        <w:spacing w:after="0" w:line="242" w:lineRule="exact"/>
        <w:rPr>
          <w:sz w:val="20"/>
          <w:szCs w:val="20"/>
          <w:color w:val="auto"/>
        </w:rPr>
      </w:pPr>
    </w:p>
    <w:p>
      <w:pPr>
        <w:ind w:left="3600"/>
        <w:spacing w:after="0"/>
        <w:tabs>
          <w:tab w:leader="none" w:pos="4100" w:val="left"/>
          <w:tab w:leader="none" w:pos="95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Funding Information</w:t>
      </w:r>
      <w:r>
        <w:rPr>
          <w:rFonts w:ascii="Arial" w:cs="Arial" w:eastAsia="Arial" w:hAnsi="Arial"/>
          <w:sz w:val="22"/>
          <w:szCs w:val="22"/>
          <w:color w:val="auto"/>
        </w:rPr>
        <w:t>. The Funding shall (a) take place on [</w:t>
      </w:r>
      <w:r>
        <w:rPr>
          <w:sz w:val="20"/>
          <w:szCs w:val="20"/>
          <w:color w:val="auto"/>
        </w:rPr>
        <w:tab/>
      </w:r>
      <w:r>
        <w:rPr>
          <w:rFonts w:ascii="Arial" w:cs="Arial" w:eastAsia="Arial" w:hAnsi="Arial"/>
          <w:sz w:val="19"/>
          <w:szCs w:val="19"/>
          <w:color w:val="auto"/>
        </w:rPr>
        <w:t>] and (b) be in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-17780</wp:posOffset>
            </wp:positionV>
            <wp:extent cx="1885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 w:lineRule="exact"/>
        <w:rPr>
          <w:sz w:val="20"/>
          <w:szCs w:val="20"/>
          <w:color w:val="auto"/>
        </w:rPr>
      </w:pPr>
    </w:p>
    <w:p>
      <w:pPr>
        <w:ind w:left="40"/>
        <w:spacing w:after="0"/>
        <w:tabs>
          <w:tab w:leader="none" w:pos="1920" w:val="left"/>
          <w:tab w:leader="none" w:pos="7280" w:val="left"/>
          <w:tab w:leader="none" w:pos="8520" w:val="left"/>
        </w:tabs>
        <w:rPr>
          <w:sz w:val="20"/>
          <w:szCs w:val="20"/>
          <w:color w:val="auto"/>
        </w:rPr>
      </w:pPr>
      <w:r>
        <w:rPr>
          <w:rFonts w:ascii="Arial" w:cs="Arial" w:eastAsia="Arial" w:hAnsi="Arial"/>
          <w:sz w:val="22"/>
          <w:szCs w:val="22"/>
          <w:color w:val="auto"/>
        </w:rPr>
        <w:t>amount equal to $[</w:t>
        <w:tab/>
        <w:t xml:space="preserve">]. Each Lender’s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of the Funding shall be: [(i)</w:t>
        <w:tab/>
        <w:t>; and (ii)</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-29210</wp:posOffset>
            </wp:positionV>
            <wp:extent cx="1714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-29210</wp:posOffset>
            </wp:positionV>
            <wp:extent cx="1714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5109210</wp:posOffset>
            </wp:positionH>
            <wp:positionV relativeFrom="paragraph">
              <wp:posOffset>-29210</wp:posOffset>
            </wp:positionV>
            <wp:extent cx="3086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09" w:lineRule="exact"/>
        <w:rPr>
          <w:sz w:val="20"/>
          <w:szCs w:val="20"/>
          <w:color w:val="auto"/>
        </w:rPr>
      </w:pPr>
    </w:p>
    <w:p>
      <w:pPr>
        <w:jc w:val="both"/>
        <w:ind w:left="40" w:right="60" w:firstLine="3568"/>
        <w:spacing w:after="0" w:line="250" w:lineRule="auto"/>
        <w:tabs>
          <w:tab w:leader="none" w:pos="4297" w:val="left"/>
        </w:tabs>
        <w:numPr>
          <w:ilvl w:val="0"/>
          <w:numId w:val="453"/>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 The Borrower hereby represents and warrants that (i) all conditions precedent to the Funding described in Article III of the Agreement have been satisfied and (ii) no Termination Event or Unmatured Termination Event shall have occurred. This Funding Notice has been made in accordance with the provisions of Section 2.1(a) of the Agreement.</w:t>
      </w:r>
    </w:p>
    <w:p>
      <w:pPr>
        <w:spacing w:after="0" w:line="215" w:lineRule="exact"/>
        <w:rPr>
          <w:sz w:val="20"/>
          <w:szCs w:val="20"/>
          <w:color w:val="auto"/>
        </w:rPr>
      </w:pPr>
    </w:p>
    <w:p>
      <w:pPr>
        <w:ind w:left="3580"/>
        <w:spacing w:after="0"/>
        <w:tabs>
          <w:tab w:leader="none" w:pos="4060" w:val="left"/>
          <w:tab w:leader="none" w:pos="5320" w:val="left"/>
          <w:tab w:leader="none" w:pos="5920" w:val="left"/>
          <w:tab w:leader="none" w:pos="6860" w:val="left"/>
          <w:tab w:leader="none" w:pos="7640" w:val="left"/>
          <w:tab w:leader="none" w:pos="82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u w:val="single" w:color="auto"/>
          <w:color w:val="auto"/>
        </w:rPr>
        <w:t>Irrevocable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This</w:t>
        <w:tab/>
        <w:t>Funding</w:t>
        <w:tab/>
        <w:t>Notice</w:t>
        <w:tab/>
        <w:t>shall</w:t>
      </w:r>
      <w:r>
        <w:rPr>
          <w:sz w:val="20"/>
          <w:szCs w:val="20"/>
          <w:color w:val="auto"/>
        </w:rPr>
        <w:tab/>
      </w:r>
      <w:r>
        <w:rPr>
          <w:rFonts w:ascii="Arial" w:cs="Arial" w:eastAsia="Arial" w:hAnsi="Arial"/>
          <w:sz w:val="19"/>
          <w:szCs w:val="19"/>
          <w:color w:val="auto"/>
        </w:rPr>
        <w:t>be irrevocable.</w:t>
      </w:r>
    </w:p>
    <w:p>
      <w:pPr>
        <w:spacing w:after="0" w:line="233" w:lineRule="exact"/>
        <w:rPr>
          <w:sz w:val="20"/>
          <w:szCs w:val="20"/>
          <w:color w:val="auto"/>
        </w:rPr>
      </w:pPr>
    </w:p>
    <w:p>
      <w:pPr>
        <w:ind w:right="300" w:firstLine="3572"/>
        <w:spacing w:after="0" w:line="250" w:lineRule="auto"/>
        <w:tabs>
          <w:tab w:leader="none" w:pos="4056" w:val="left"/>
        </w:tabs>
        <w:numPr>
          <w:ilvl w:val="0"/>
          <w:numId w:val="45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Funding Notice shall be governed by, and construed in accordance with, the laws of the State of New York.</w:t>
      </w:r>
    </w:p>
    <w:p>
      <w:pPr>
        <w:spacing w:after="0" w:line="229" w:lineRule="exact"/>
        <w:rPr>
          <w:sz w:val="20"/>
          <w:szCs w:val="20"/>
          <w:color w:val="auto"/>
        </w:rPr>
      </w:pPr>
    </w:p>
    <w:p>
      <w:pPr>
        <w:ind w:left="700" w:right="40" w:firstLine="648"/>
        <w:spacing w:after="0" w:line="263" w:lineRule="auto"/>
        <w:rPr>
          <w:sz w:val="20"/>
          <w:szCs w:val="20"/>
          <w:color w:val="auto"/>
        </w:rPr>
      </w:pPr>
      <w:r>
        <w:rPr>
          <w:rFonts w:ascii="Arial" w:cs="Arial" w:eastAsia="Arial" w:hAnsi="Arial"/>
          <w:sz w:val="22"/>
          <w:szCs w:val="22"/>
          <w:color w:val="auto"/>
        </w:rPr>
        <w:t>IN WITNESS WHEREOF, the undersigned has caused this Funding Notice to be duly executed and delivered by its duly authorized officer as of the date first above written.</w:t>
      </w:r>
    </w:p>
    <w:p>
      <w:pPr>
        <w:spacing w:after="0" w:line="21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CAC Warehouse Funding Corporation II</w:t>
      </w:r>
    </w:p>
    <w:p>
      <w:pPr>
        <w:spacing w:after="0" w:line="200" w:lineRule="exact"/>
        <w:rPr>
          <w:sz w:val="20"/>
          <w:szCs w:val="20"/>
          <w:color w:val="auto"/>
        </w:rPr>
      </w:pPr>
    </w:p>
    <w:p>
      <w:pPr>
        <w:spacing w:after="0" w:line="290" w:lineRule="exact"/>
        <w:rPr>
          <w:sz w:val="20"/>
          <w:szCs w:val="20"/>
          <w:color w:val="auto"/>
        </w:rPr>
      </w:pPr>
    </w:p>
    <w:p>
      <w:pPr>
        <w:ind w:left="4580"/>
        <w:spacing w:after="0"/>
        <w:tabs>
          <w:tab w:leader="none" w:pos="5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-17780</wp:posOffset>
            </wp:positionV>
            <wp:extent cx="274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140"/>
          </w:cols>
          <w:pgMar w:left="320" w:top="1427" w:right="439" w:bottom="1440" w:gutter="0" w:footer="0" w:header="0"/>
        </w:sectPr>
      </w:pPr>
    </w:p>
    <w:bookmarkStart w:id="393" w:name="page394"/>
    <w:bookmarkEnd w:id="393"/>
    <w:p>
      <w:pPr>
        <w:jc w:val="right"/>
        <w:spacing w:after="0"/>
        <w:rPr>
          <w:sz w:val="20"/>
          <w:szCs w:val="20"/>
          <w:color w:val="auto"/>
        </w:rPr>
      </w:pPr>
      <w:r>
        <w:rPr>
          <w:rFonts w:ascii="Arial" w:cs="Arial" w:eastAsia="Arial" w:hAnsi="Arial"/>
          <w:sz w:val="22"/>
          <w:szCs w:val="22"/>
          <w:u w:val="single" w:color="auto"/>
          <w:color w:val="auto"/>
        </w:rPr>
        <w:t>Exhibit B</w:t>
      </w:r>
    </w:p>
    <w:p>
      <w:pPr>
        <w:spacing w:after="0" w:line="21"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FORM OF ASSIGNMENT AND ACCEPTANCE</w:t>
      </w:r>
    </w:p>
    <w:p>
      <w:pPr>
        <w:spacing w:after="0" w:line="310" w:lineRule="exact"/>
        <w:rPr>
          <w:sz w:val="20"/>
          <w:szCs w:val="20"/>
          <w:color w:val="auto"/>
        </w:rPr>
      </w:pPr>
    </w:p>
    <w:p>
      <w:pPr>
        <w:ind w:left="4240"/>
        <w:spacing w:after="0"/>
        <w:tabs>
          <w:tab w:leader="none" w:pos="5000" w:val="left"/>
        </w:tabs>
        <w:rPr>
          <w:sz w:val="20"/>
          <w:szCs w:val="20"/>
          <w:color w:val="auto"/>
        </w:rPr>
      </w:pPr>
      <w:r>
        <w:rPr>
          <w:rFonts w:ascii="Arial" w:cs="Arial" w:eastAsia="Arial" w:hAnsi="Arial"/>
          <w:sz w:val="22"/>
          <w:szCs w:val="22"/>
          <w:color w:val="auto"/>
        </w:rPr>
        <w:t>Dated</w:t>
        <w:tab/>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-17780</wp:posOffset>
            </wp:positionV>
            <wp:extent cx="1714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-17780</wp:posOffset>
            </wp:positionV>
            <wp:extent cx="171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40"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9"/>
          <w:szCs w:val="19"/>
          <w:color w:val="auto"/>
        </w:rPr>
        <w:t>Reference is made to the Sixth Amended and Restated Loan and Security Agreement dated as of June 23, 2016 (as amended or modified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among CAC Warehouse Funding Corporation II, as borrower (the “</w:t>
      </w:r>
      <w:r>
        <w:rPr>
          <w:rFonts w:ascii="Arial" w:cs="Arial" w:eastAsia="Arial" w:hAnsi="Arial"/>
          <w:sz w:val="19"/>
          <w:szCs w:val="19"/>
          <w:u w:val="single" w:color="auto"/>
          <w:color w:val="auto"/>
        </w:rPr>
        <w:t>Borrower</w:t>
      </w:r>
      <w:r>
        <w:rPr>
          <w:rFonts w:ascii="Arial" w:cs="Arial" w:eastAsia="Arial" w:hAnsi="Arial"/>
          <w:sz w:val="19"/>
          <w:szCs w:val="19"/>
          <w:color w:val="auto"/>
        </w:rPr>
        <w:t>”), Credit Acceptance Corporation, as servicer (the “</w:t>
      </w:r>
      <w:r>
        <w:rPr>
          <w:rFonts w:ascii="Arial" w:cs="Arial" w:eastAsia="Arial" w:hAnsi="Arial"/>
          <w:sz w:val="19"/>
          <w:szCs w:val="19"/>
          <w:u w:val="single" w:color="auto"/>
          <w:color w:val="auto"/>
        </w:rPr>
        <w:t>Servicer</w:t>
      </w:r>
      <w:r>
        <w:rPr>
          <w:rFonts w:ascii="Arial" w:cs="Arial" w:eastAsia="Arial" w:hAnsi="Arial"/>
          <w:sz w:val="19"/>
          <w:szCs w:val="19"/>
          <w:color w:val="auto"/>
        </w:rPr>
        <w:t>”), the lenders named therein, Wells Fargo Bank, National Association, as deal agent (the “</w:t>
      </w:r>
      <w:r>
        <w:rPr>
          <w:rFonts w:ascii="Arial" w:cs="Arial" w:eastAsia="Arial" w:hAnsi="Arial"/>
          <w:sz w:val="19"/>
          <w:szCs w:val="19"/>
          <w:u w:val="single" w:color="auto"/>
          <w:color w:val="auto"/>
        </w:rPr>
        <w:t>Deal Agent</w:t>
      </w:r>
      <w:r>
        <w:rPr>
          <w:rFonts w:ascii="Arial" w:cs="Arial" w:eastAsia="Arial" w:hAnsi="Arial"/>
          <w:sz w:val="19"/>
          <w:szCs w:val="19"/>
          <w:color w:val="auto"/>
        </w:rPr>
        <w:t>”), Wells Fargo Bank, National Association, as backup servicer and collateral agent (the “</w:t>
      </w:r>
      <w:r>
        <w:rPr>
          <w:rFonts w:ascii="Arial" w:cs="Arial" w:eastAsia="Arial" w:hAnsi="Arial"/>
          <w:sz w:val="19"/>
          <w:szCs w:val="19"/>
          <w:u w:val="single" w:color="auto"/>
          <w:color w:val="auto"/>
        </w:rPr>
        <w:t>Backup Servicer</w:t>
      </w:r>
      <w:r>
        <w:rPr>
          <w:rFonts w:ascii="Arial" w:cs="Arial" w:eastAsia="Arial" w:hAnsi="Arial"/>
          <w:sz w:val="19"/>
          <w:szCs w:val="19"/>
          <w:color w:val="auto"/>
        </w:rPr>
        <w:t>” and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and each other Lender party thereto. Terms defined in the Agreement are used herein with the same meaning.</w:t>
      </w:r>
    </w:p>
    <w:p>
      <w:pPr>
        <w:spacing w:after="0" w:line="176" w:lineRule="exact"/>
        <w:rPr>
          <w:sz w:val="20"/>
          <w:szCs w:val="20"/>
          <w:color w:val="auto"/>
        </w:rPr>
      </w:pPr>
    </w:p>
    <w:p>
      <w:pPr>
        <w:ind w:left="900"/>
        <w:spacing w:after="0"/>
        <w:tabs>
          <w:tab w:leader="none" w:pos="2900" w:val="left"/>
        </w:tabs>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Assignor</w:t>
      </w:r>
      <w:r>
        <w:rPr>
          <w:rFonts w:ascii="Arial" w:cs="Arial" w:eastAsia="Arial" w:hAnsi="Arial"/>
          <w:sz w:val="22"/>
          <w:szCs w:val="22"/>
          <w:color w:val="auto"/>
        </w:rPr>
        <w:t>”) and</w:t>
      </w:r>
      <w:r>
        <w:rPr>
          <w:sz w:val="20"/>
          <w:szCs w:val="20"/>
          <w:color w:val="auto"/>
        </w:rPr>
        <w:tab/>
      </w:r>
      <w:r>
        <w:rPr>
          <w:rFonts w:ascii="Arial" w:cs="Arial" w:eastAsia="Arial" w:hAnsi="Arial"/>
          <w:sz w:val="19"/>
          <w:szCs w:val="19"/>
          <w:color w:val="auto"/>
        </w:rPr>
        <w:t>(the “</w:t>
      </w:r>
      <w:r>
        <w:rPr>
          <w:rFonts w:ascii="Arial" w:cs="Arial" w:eastAsia="Arial" w:hAnsi="Arial"/>
          <w:sz w:val="19"/>
          <w:szCs w:val="19"/>
          <w:u w:val="single" w:color="auto"/>
          <w:color w:val="auto"/>
        </w:rPr>
        <w:t>Assignee</w:t>
      </w:r>
      <w:r>
        <w:rPr>
          <w:rFonts w:ascii="Arial" w:cs="Arial" w:eastAsia="Arial" w:hAnsi="Arial"/>
          <w:sz w:val="19"/>
          <w:szCs w:val="19"/>
          <w:color w:val="auto"/>
        </w:rPr>
        <w:t>”)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-17780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-17780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0" w:lineRule="exact"/>
        <w:rPr>
          <w:sz w:val="20"/>
          <w:szCs w:val="20"/>
          <w:color w:val="auto"/>
        </w:rPr>
      </w:pPr>
    </w:p>
    <w:p>
      <w:pPr>
        <w:jc w:val="both"/>
        <w:ind w:right="40" w:firstLine="640"/>
        <w:spacing w:after="0" w:line="246" w:lineRule="auto"/>
        <w:tabs>
          <w:tab w:leader="none" w:pos="1256" w:val="left"/>
        </w:tabs>
        <w:numPr>
          <w:ilvl w:val="0"/>
          <w:numId w:val="455"/>
        </w:numPr>
        <w:rPr>
          <w:rFonts w:ascii="Arial" w:cs="Arial" w:eastAsia="Arial" w:hAnsi="Arial"/>
          <w:sz w:val="22"/>
          <w:szCs w:val="22"/>
          <w:color w:val="auto"/>
        </w:rPr>
      </w:pPr>
      <w:r>
        <w:rPr>
          <w:rFonts w:ascii="Arial" w:cs="Arial" w:eastAsia="Arial" w:hAnsi="Arial"/>
          <w:sz w:val="22"/>
          <w:szCs w:val="22"/>
          <w:color w:val="auto"/>
        </w:rPr>
        <w:t>The Assignor hereby sells and assigns to the Assignee, and the Assignee hereby purchases and assumes from the Assignor, that interest in and to all of the Assignor’s rights and obligations under the Agreement as of the date hereof which represents the percentage interest specified in Section 1 of Schedule 1 of all outstanding rights and obligations of the Assignor under the Agreement, including, without limitation, such interest in the Lender’s Commitment of the Assignor and the Advance made by the Assignor. After giving effect to such sale and assignment, the Lender’s Commitment and the amount of the Capital made by the Assignee will be as set forth in Section 2 of Schedule 1.</w:t>
      </w:r>
    </w:p>
    <w:p>
      <w:pPr>
        <w:spacing w:after="0" w:line="236" w:lineRule="exact"/>
        <w:rPr>
          <w:rFonts w:ascii="Arial" w:cs="Arial" w:eastAsia="Arial" w:hAnsi="Arial"/>
          <w:sz w:val="22"/>
          <w:szCs w:val="22"/>
          <w:color w:val="auto"/>
        </w:rPr>
      </w:pPr>
    </w:p>
    <w:p>
      <w:pPr>
        <w:jc w:val="both"/>
        <w:ind w:right="60" w:firstLine="640"/>
        <w:spacing w:after="0" w:line="297" w:lineRule="auto"/>
        <w:tabs>
          <w:tab w:leader="none" w:pos="1256" w:val="left"/>
        </w:tabs>
        <w:numPr>
          <w:ilvl w:val="0"/>
          <w:numId w:val="455"/>
        </w:numPr>
        <w:rPr>
          <w:rFonts w:ascii="Arial" w:cs="Arial" w:eastAsia="Arial" w:hAnsi="Arial"/>
          <w:sz w:val="19"/>
          <w:szCs w:val="19"/>
          <w:color w:val="auto"/>
        </w:rPr>
      </w:pPr>
      <w:r>
        <w:rPr>
          <w:rFonts w:ascii="Arial" w:cs="Arial" w:eastAsia="Arial" w:hAnsi="Arial"/>
          <w:sz w:val="19"/>
          <w:szCs w:val="19"/>
          <w:color w:val="auto"/>
        </w:rPr>
        <w:t>The Assignor: (i) represents and warrants that it is the legal and beneficial owner of the interest being assigned by it hereunder and that such interest is free and clear of any adverse claim and (ii) makes no representation or warranty and assumes no responsibility with respect to any statements, warranties or representations made in or in connection with the Agreement or the execution, legality, validity, enforceability, genuineness, sufficiency or value of the Agreement or any other instrument or document furnished pursuant thereto.</w:t>
      </w:r>
    </w:p>
    <w:p>
      <w:pPr>
        <w:spacing w:after="0" w:line="173" w:lineRule="exact"/>
        <w:rPr>
          <w:rFonts w:ascii="Arial" w:cs="Arial" w:eastAsia="Arial" w:hAnsi="Arial"/>
          <w:sz w:val="19"/>
          <w:szCs w:val="19"/>
          <w:color w:val="auto"/>
        </w:rPr>
      </w:pPr>
    </w:p>
    <w:p>
      <w:pPr>
        <w:jc w:val="both"/>
        <w:ind w:right="60" w:firstLine="640"/>
        <w:spacing w:after="0" w:line="288" w:lineRule="auto"/>
        <w:tabs>
          <w:tab w:leader="none" w:pos="1256" w:val="left"/>
        </w:tabs>
        <w:numPr>
          <w:ilvl w:val="0"/>
          <w:numId w:val="455"/>
        </w:numPr>
        <w:rPr>
          <w:rFonts w:ascii="Arial" w:cs="Arial" w:eastAsia="Arial" w:hAnsi="Arial"/>
          <w:sz w:val="19"/>
          <w:szCs w:val="19"/>
          <w:color w:val="auto"/>
        </w:rPr>
      </w:pPr>
      <w:r>
        <w:rPr>
          <w:rFonts w:ascii="Arial" w:cs="Arial" w:eastAsia="Arial" w:hAnsi="Arial"/>
          <w:sz w:val="19"/>
          <w:szCs w:val="19"/>
          <w:color w:val="auto"/>
        </w:rPr>
        <w:t>The Assignee: (i) confirms that it has received a copy of the Agreement, together with copies of such financial statements and such other documents and information as it has deemed appropriate to make its own credit analysis and decision to enter into this Assignment and Acceptance; (ii) agrees that it will, independently and without reliance upon the Deal Agent, the Collateral Agent, the Assignor or any other Lender and based on such documents and information as it shall deem appropriate at the time, continue to make its own credit decisions in taking or not taking action under the Agreement; (iii) appoints and authorizes the Deal Agent and the Collateral Agent each to take such action as agent on its behalf and to exercise such powers under the Agreement as are delegated to the Deal Agent by the terms thereof, together with such powers as are reasonably incidental thereto; (iv) agrees that it will perform in accordance with their terms all of the obligations which by the terms of the Agreement are required to be performed by it as a Lender; and (v) agrees and acknowledges that the Assignee,</w:t>
      </w:r>
    </w:p>
    <w:p>
      <w:pPr>
        <w:spacing w:after="0" w:line="186"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440"/>
          </w:cols>
          <w:pgMar w:left="1020" w:top="1427" w:right="439" w:bottom="1440" w:gutter="0" w:footer="0" w:header="0"/>
        </w:sectPr>
      </w:pPr>
    </w:p>
    <w:bookmarkStart w:id="394" w:name="page395"/>
    <w:bookmarkEnd w:id="394"/>
    <w:p>
      <w:pPr>
        <w:spacing w:after="0"/>
        <w:rPr>
          <w:sz w:val="20"/>
          <w:szCs w:val="20"/>
          <w:color w:val="auto"/>
        </w:rPr>
      </w:pPr>
      <w:r>
        <w:rPr>
          <w:rFonts w:ascii="Arial" w:cs="Arial" w:eastAsia="Arial" w:hAnsi="Arial"/>
          <w:sz w:val="22"/>
          <w:szCs w:val="22"/>
          <w:color w:val="auto"/>
        </w:rPr>
        <w:t>as Lender and Secured Party is bound by the confidentiality provisions of Section 14.13 of the Agreement.</w:t>
      </w:r>
    </w:p>
    <w:p>
      <w:pPr>
        <w:spacing w:after="0" w:line="260" w:lineRule="exact"/>
        <w:rPr>
          <w:sz w:val="20"/>
          <w:szCs w:val="20"/>
          <w:color w:val="auto"/>
        </w:rPr>
      </w:pPr>
    </w:p>
    <w:p>
      <w:pPr>
        <w:jc w:val="both"/>
        <w:ind w:firstLine="644"/>
        <w:spacing w:after="0" w:line="250" w:lineRule="auto"/>
        <w:tabs>
          <w:tab w:leader="none" w:pos="1188" w:val="left"/>
        </w:tabs>
        <w:numPr>
          <w:ilvl w:val="0"/>
          <w:numId w:val="456"/>
        </w:numPr>
        <w:rPr>
          <w:rFonts w:ascii="Arial" w:cs="Arial" w:eastAsia="Arial" w:hAnsi="Arial"/>
          <w:sz w:val="22"/>
          <w:szCs w:val="22"/>
          <w:color w:val="auto"/>
        </w:rPr>
      </w:pPr>
      <w:r>
        <w:rPr>
          <w:rFonts w:ascii="Arial" w:cs="Arial" w:eastAsia="Arial" w:hAnsi="Arial"/>
          <w:sz w:val="22"/>
          <w:szCs w:val="22"/>
          <w:color w:val="auto"/>
        </w:rPr>
        <w:t>Following the execution of this Assignment and Acceptance by the Assignor and the Assignee, it will be delivered to each of the Deal Agent and the Collateral Agent for acceptance and recording by the Deal Agent. The effective date of this Assignment and Acceptance (the “</w:t>
      </w:r>
      <w:r>
        <w:rPr>
          <w:rFonts w:ascii="Arial" w:cs="Arial" w:eastAsia="Arial" w:hAnsi="Arial"/>
          <w:sz w:val="22"/>
          <w:szCs w:val="22"/>
          <w:u w:val="single" w:color="auto"/>
          <w:color w:val="auto"/>
        </w:rPr>
        <w:t>Assignment Date</w:t>
      </w:r>
      <w:r>
        <w:rPr>
          <w:rFonts w:ascii="Arial" w:cs="Arial" w:eastAsia="Arial" w:hAnsi="Arial"/>
          <w:sz w:val="22"/>
          <w:szCs w:val="22"/>
          <w:color w:val="auto"/>
        </w:rPr>
        <w:t>”) shall be the date of acceptance thereof by the Deal Agent, unless a later date is specified in Section 3 of Schedule 1.</w:t>
      </w:r>
    </w:p>
    <w:p>
      <w:pPr>
        <w:spacing w:after="0" w:line="214" w:lineRule="exact"/>
        <w:rPr>
          <w:rFonts w:ascii="Arial" w:cs="Arial" w:eastAsia="Arial" w:hAnsi="Arial"/>
          <w:sz w:val="22"/>
          <w:szCs w:val="22"/>
          <w:color w:val="auto"/>
        </w:rPr>
      </w:pPr>
    </w:p>
    <w:p>
      <w:pPr>
        <w:jc w:val="both"/>
        <w:ind w:firstLine="644"/>
        <w:spacing w:after="0" w:line="302" w:lineRule="auto"/>
        <w:tabs>
          <w:tab w:leader="none" w:pos="1188" w:val="left"/>
        </w:tabs>
        <w:numPr>
          <w:ilvl w:val="0"/>
          <w:numId w:val="456"/>
        </w:numPr>
        <w:rPr>
          <w:rFonts w:ascii="Arial" w:cs="Arial" w:eastAsia="Arial" w:hAnsi="Arial"/>
          <w:sz w:val="19"/>
          <w:szCs w:val="19"/>
          <w:color w:val="auto"/>
        </w:rPr>
      </w:pPr>
      <w:r>
        <w:rPr>
          <w:rFonts w:ascii="Arial" w:cs="Arial" w:eastAsia="Arial" w:hAnsi="Arial"/>
          <w:sz w:val="19"/>
          <w:szCs w:val="19"/>
          <w:color w:val="auto"/>
        </w:rPr>
        <w:t>Upon such acceptance by the Deal Agent and the Collateral and upon such recording by the Deal Agent, as of the Assignment Date, (i) the Assignee shall be a party to the Agreement and, to the extent provided in this Assignment and Acceptance, have the rights and obligations of a Lender thereunder and (ii) the Assignor shall, to the extent provided in this Assignment and Acceptance, relinquish its rights and be released from its obligations under the Agreement.</w:t>
      </w:r>
    </w:p>
    <w:p>
      <w:pPr>
        <w:spacing w:after="0" w:line="182" w:lineRule="exact"/>
        <w:rPr>
          <w:rFonts w:ascii="Arial" w:cs="Arial" w:eastAsia="Arial" w:hAnsi="Arial"/>
          <w:sz w:val="19"/>
          <w:szCs w:val="19"/>
          <w:color w:val="auto"/>
        </w:rPr>
      </w:pPr>
    </w:p>
    <w:p>
      <w:pPr>
        <w:jc w:val="both"/>
        <w:ind w:firstLine="644"/>
        <w:spacing w:after="0" w:line="263" w:lineRule="auto"/>
        <w:tabs>
          <w:tab w:leader="none" w:pos="1189" w:val="left"/>
        </w:tabs>
        <w:numPr>
          <w:ilvl w:val="0"/>
          <w:numId w:val="456"/>
        </w:numPr>
        <w:rPr>
          <w:rFonts w:ascii="Arial" w:cs="Arial" w:eastAsia="Arial" w:hAnsi="Arial"/>
          <w:sz w:val="21"/>
          <w:szCs w:val="21"/>
          <w:color w:val="auto"/>
        </w:rPr>
      </w:pPr>
      <w:r>
        <w:rPr>
          <w:rFonts w:ascii="Arial" w:cs="Arial" w:eastAsia="Arial" w:hAnsi="Arial"/>
          <w:sz w:val="21"/>
          <w:szCs w:val="21"/>
          <w:color w:val="auto"/>
        </w:rPr>
        <w:t>Upon such acceptance and recording by the Deal Agent, from and after the Assignment Date, the Deal Agent and the Collateral Agent shall make, or cause to be made, all payments under the Agreement in respect of the interest assigned hereby (including, without limitation, all payments of principal, interest and Unused Fee with respect thereto) to the Assignee. The Assignor and Assignee shall make all appropriate adjustments in payments under the Agreement for periods prior to the Assignment Date directly between themselves.</w:t>
      </w:r>
    </w:p>
    <w:p>
      <w:pPr>
        <w:spacing w:after="0" w:line="202" w:lineRule="exact"/>
        <w:rPr>
          <w:rFonts w:ascii="Arial" w:cs="Arial" w:eastAsia="Arial" w:hAnsi="Arial"/>
          <w:sz w:val="21"/>
          <w:szCs w:val="21"/>
          <w:color w:val="auto"/>
        </w:rPr>
      </w:pPr>
    </w:p>
    <w:p>
      <w:pPr>
        <w:ind w:left="1180" w:hanging="536"/>
        <w:spacing w:after="0"/>
        <w:tabs>
          <w:tab w:leader="none" w:pos="1180" w:val="left"/>
        </w:tabs>
        <w:numPr>
          <w:ilvl w:val="0"/>
          <w:numId w:val="456"/>
        </w:numPr>
        <w:rPr>
          <w:rFonts w:ascii="Arial" w:cs="Arial" w:eastAsia="Arial" w:hAnsi="Arial"/>
          <w:sz w:val="19"/>
          <w:szCs w:val="19"/>
          <w:color w:val="auto"/>
        </w:rPr>
      </w:pPr>
      <w:r>
        <w:rPr>
          <w:rFonts w:ascii="Arial" w:cs="Arial" w:eastAsia="Arial" w:hAnsi="Arial"/>
          <w:sz w:val="19"/>
          <w:szCs w:val="19"/>
          <w:color w:val="auto"/>
        </w:rPr>
        <w:t>This Assignment and Acceptance shall be governed by, and construed in accordance with, the laws of the State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020"/>
          </w:cols>
          <w:pgMar w:left="440" w:top="1427" w:right="439" w:bottom="1440" w:gutter="0" w:footer="0" w:header="0"/>
        </w:sectPr>
      </w:pPr>
    </w:p>
    <w:bookmarkStart w:id="395" w:name="page396"/>
    <w:bookmarkEnd w:id="395"/>
    <w:p>
      <w:pPr>
        <w:jc w:val="both"/>
        <w:ind w:left="120" w:firstLine="648"/>
        <w:spacing w:after="0" w:line="253" w:lineRule="auto"/>
        <w:rPr>
          <w:sz w:val="20"/>
          <w:szCs w:val="20"/>
          <w:color w:val="auto"/>
        </w:rPr>
      </w:pPr>
      <w:r>
        <w:rPr>
          <w:rFonts w:ascii="Arial" w:cs="Arial" w:eastAsia="Arial" w:hAnsi="Arial"/>
          <w:sz w:val="22"/>
          <w:szCs w:val="22"/>
          <w:color w:val="auto"/>
        </w:rPr>
        <w:t>IN WITNESS WHEREOF, the parties hereto have caused this Assignment and Acceptance to be executed by their respective officers thereunto duly authorized, as of the date first above written, such execution being made on Schedule 1 hereto.</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[ASSIGNOR]</w:t>
      </w:r>
    </w:p>
    <w:p>
      <w:pPr>
        <w:spacing w:after="0" w:line="200" w:lineRule="exact"/>
        <w:rPr>
          <w:sz w:val="20"/>
          <w:szCs w:val="20"/>
          <w:color w:val="auto"/>
        </w:rPr>
      </w:pPr>
    </w:p>
    <w:p>
      <w:pPr>
        <w:spacing w:after="0" w:line="295" w:lineRule="exact"/>
        <w:rPr>
          <w:sz w:val="20"/>
          <w:szCs w:val="20"/>
          <w:color w:val="auto"/>
        </w:rPr>
      </w:pPr>
    </w:p>
    <w:p>
      <w:pPr>
        <w:ind w:left="400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-10160</wp:posOffset>
            </wp:positionV>
            <wp:extent cx="2286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920"/>
        <w:spacing w:after="0"/>
        <w:rPr>
          <w:sz w:val="20"/>
          <w:szCs w:val="20"/>
          <w:color w:val="auto"/>
        </w:rPr>
      </w:pPr>
      <w:r>
        <w:rPr>
          <w:rFonts w:ascii="Arial" w:cs="Arial" w:eastAsia="Arial" w:hAnsi="Arial"/>
          <w:sz w:val="18"/>
          <w:szCs w:val="18"/>
          <w:u w:val="single" w:color="auto"/>
          <w:color w:val="auto"/>
        </w:rPr>
        <w:t>Address for notices</w:t>
      </w:r>
    </w:p>
    <w:p>
      <w:pPr>
        <w:spacing w:after="0" w:line="10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[Address] [ASSIGNEE]</w:t>
      </w:r>
    </w:p>
    <w:p>
      <w:pPr>
        <w:spacing w:after="0" w:line="347" w:lineRule="exact"/>
        <w:rPr>
          <w:sz w:val="20"/>
          <w:szCs w:val="20"/>
          <w:color w:val="auto"/>
        </w:rPr>
      </w:pPr>
    </w:p>
    <w:p>
      <w:pPr>
        <w:ind w:left="400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2707005</wp:posOffset>
            </wp:positionH>
            <wp:positionV relativeFrom="paragraph">
              <wp:posOffset>-10160</wp:posOffset>
            </wp:positionV>
            <wp:extent cx="2286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 for notices</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[Address]</w:t>
      </w:r>
    </w:p>
    <w:p>
      <w:pPr>
        <w:spacing w:after="0" w:line="227" w:lineRule="exact"/>
        <w:rPr>
          <w:sz w:val="20"/>
          <w:szCs w:val="20"/>
          <w:color w:val="auto"/>
        </w:rPr>
      </w:pPr>
    </w:p>
    <w:p>
      <w:pPr>
        <w:spacing w:after="0"/>
        <w:tabs>
          <w:tab w:leader="none" w:pos="2600" w:val="left"/>
        </w:tabs>
        <w:rPr>
          <w:sz w:val="20"/>
          <w:szCs w:val="20"/>
          <w:color w:val="auto"/>
        </w:rPr>
      </w:pPr>
      <w:r>
        <w:rPr>
          <w:rFonts w:ascii="Arial" w:cs="Arial" w:eastAsia="Arial" w:hAnsi="Arial"/>
          <w:sz w:val="20"/>
          <w:szCs w:val="20"/>
          <w:color w:val="auto"/>
        </w:rPr>
        <w:t>A</w:t>
      </w:r>
      <w:r>
        <w:rPr>
          <w:rFonts w:ascii="Arial" w:cs="Arial" w:eastAsia="Arial" w:hAnsi="Arial"/>
          <w:sz w:val="17"/>
          <w:szCs w:val="17"/>
          <w:color w:val="auto"/>
        </w:rPr>
        <w:t>cknowledged and accepted this</w:t>
      </w:r>
      <w:r>
        <w:rPr>
          <w:sz w:val="20"/>
          <w:szCs w:val="20"/>
          <w:color w:val="auto"/>
        </w:rPr>
        <w:tab/>
      </w: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-14605</wp:posOffset>
            </wp:positionV>
            <wp:extent cx="1428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Deal Agent</w:t>
      </w: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-10160</wp:posOffset>
            </wp:positionV>
            <wp:extent cx="2286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Collateral Agent</w:t>
      </w: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-10160</wp:posOffset>
            </wp:positionV>
            <wp:extent cx="2286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140"/>
          </w:cols>
          <w:pgMar w:left="320" w:top="1427" w:right="439" w:bottom="1440" w:gutter="0" w:footer="0" w:header="0"/>
        </w:sectPr>
      </w:pPr>
    </w:p>
    <w:bookmarkStart w:id="396" w:name="page397"/>
    <w:bookmarkEnd w:id="3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1 to</w:t>
      </w:r>
    </w:p>
    <w:p>
      <w:pPr>
        <w:spacing w:after="0" w:line="23" w:lineRule="exact"/>
        <w:rPr>
          <w:sz w:val="20"/>
          <w:szCs w:val="20"/>
          <w:color w:val="auto"/>
        </w:rPr>
      </w:pPr>
    </w:p>
    <w:p>
      <w:pPr>
        <w:jc w:val="center"/>
        <w:ind w:right="-40"/>
        <w:spacing w:after="0"/>
        <w:tabs>
          <w:tab w:leader="none" w:pos="220" w:val="left"/>
        </w:tabs>
        <w:rPr>
          <w:sz w:val="20"/>
          <w:szCs w:val="20"/>
          <w:color w:val="auto"/>
        </w:rPr>
      </w:pPr>
      <w:r>
        <w:rPr>
          <w:rFonts w:ascii="Arial" w:cs="Arial" w:eastAsia="Arial" w:hAnsi="Arial"/>
          <w:sz w:val="18"/>
          <w:szCs w:val="18"/>
          <w:color w:val="auto"/>
        </w:rPr>
        <w:t>Assignment and Acceptance Dated</w:t>
      </w:r>
      <w:r>
        <w:rPr>
          <w:sz w:val="20"/>
          <w:szCs w:val="20"/>
          <w:color w:val="auto"/>
        </w:rPr>
        <w:tab/>
      </w:r>
      <w:r>
        <w:rPr>
          <w:rFonts w:ascii="Arial" w:cs="Arial" w:eastAsia="Arial" w:hAnsi="Arial"/>
          <w:sz w:val="15"/>
          <w:szCs w:val="15"/>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-19050</wp:posOffset>
            </wp:positionV>
            <wp:extent cx="1428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347" w:lineRule="exact"/>
        <w:rPr>
          <w:sz w:val="20"/>
          <w:szCs w:val="20"/>
          <w:color w:val="auto"/>
        </w:rPr>
      </w:pPr>
    </w:p>
    <w:p>
      <w:pPr>
        <w:ind w:left="640"/>
        <w:spacing w:after="0"/>
        <w:tabs>
          <w:tab w:leader="none" w:pos="2440" w:val="left"/>
        </w:tabs>
        <w:rPr>
          <w:sz w:val="20"/>
          <w:szCs w:val="20"/>
          <w:color w:val="auto"/>
        </w:rPr>
      </w:pPr>
      <w:r>
        <w:rPr>
          <w:rFonts w:ascii="Arial" w:cs="Arial" w:eastAsia="Arial" w:hAnsi="Arial"/>
          <w:sz w:val="18"/>
          <w:szCs w:val="18"/>
          <w:color w:val="auto"/>
        </w:rPr>
        <w:t>Percentage Interest: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-10160</wp:posOffset>
            </wp:positionV>
            <wp:extent cx="1428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52" w:lineRule="exact"/>
        <w:rPr>
          <w:sz w:val="20"/>
          <w:szCs w:val="20"/>
          <w:color w:val="auto"/>
        </w:rPr>
      </w:pPr>
    </w:p>
    <w:p>
      <w:pPr>
        <w:ind w:left="640"/>
        <w:spacing w:after="0"/>
        <w:tabs>
          <w:tab w:leader="none" w:pos="2620" w:val="left"/>
        </w:tabs>
        <w:rPr>
          <w:sz w:val="20"/>
          <w:szCs w:val="20"/>
          <w:color w:val="auto"/>
        </w:rPr>
      </w:pPr>
      <w:r>
        <w:rPr>
          <w:rFonts w:ascii="Arial" w:cs="Arial" w:eastAsia="Arial" w:hAnsi="Arial"/>
          <w:sz w:val="18"/>
          <w:szCs w:val="18"/>
          <w:color w:val="auto"/>
        </w:rPr>
        <w:t>Assignee’s Commitment: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1736090</wp:posOffset>
            </wp:positionH>
            <wp:positionV relativeFrom="paragraph">
              <wp:posOffset>-10160</wp:posOffset>
            </wp:positionV>
            <wp:extent cx="1428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3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Aggregate Outstanding Advance owing to the</w:t>
      </w:r>
    </w:p>
    <w:p>
      <w:pPr>
        <w:spacing w:after="0" w:line="23" w:lineRule="exact"/>
        <w:rPr>
          <w:sz w:val="20"/>
          <w:szCs w:val="20"/>
          <w:color w:val="auto"/>
        </w:rPr>
      </w:pPr>
    </w:p>
    <w:p>
      <w:pPr>
        <w:ind w:left="640"/>
        <w:spacing w:after="0"/>
        <w:tabs>
          <w:tab w:leader="none" w:pos="1500" w:val="left"/>
        </w:tabs>
        <w:rPr>
          <w:sz w:val="20"/>
          <w:szCs w:val="20"/>
          <w:color w:val="auto"/>
        </w:rPr>
      </w:pPr>
      <w:r>
        <w:rPr>
          <w:rFonts w:ascii="Arial" w:cs="Arial" w:eastAsia="Arial" w:hAnsi="Arial"/>
          <w:sz w:val="18"/>
          <w:szCs w:val="18"/>
          <w:color w:val="auto"/>
        </w:rPr>
        <w:t>Assignee: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-19050</wp:posOffset>
            </wp:positionV>
            <wp:extent cx="1428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66"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18"/>
          <w:szCs w:val="18"/>
          <w:color w:val="auto"/>
        </w:rPr>
        <w:t>Assignment Date:</w:t>
      </w:r>
      <w:r>
        <w:rPr>
          <w:sz w:val="20"/>
          <w:szCs w:val="20"/>
          <w:color w:val="auto"/>
        </w:rPr>
        <w:tab/>
      </w:r>
      <w:r>
        <w:rPr>
          <w:rFonts w:ascii="Arial" w:cs="Arial" w:eastAsia="Arial" w:hAnsi="Arial"/>
          <w:sz w:val="15"/>
          <w:szCs w:val="15"/>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-10160</wp:posOffset>
            </wp:positionV>
            <wp:extent cx="1428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ectPr>
          <w:pgSz w:w="11900" w:h="16838" w:orient="portrait"/>
          <w:cols w:equalWidth="0" w:num="1">
            <w:col w:w="9079"/>
          </w:cols>
          <w:pgMar w:left="1380" w:top="1440" w:right="1440" w:bottom="1440" w:gutter="0" w:footer="0" w:header="0"/>
        </w:sectPr>
      </w:pPr>
    </w:p>
    <w:bookmarkStart w:id="397" w:name="page398"/>
    <w:bookmarkEnd w:id="397"/>
    <w:p>
      <w:pPr>
        <w:jc w:val="right"/>
        <w:spacing w:after="0"/>
        <w:rPr>
          <w:sz w:val="20"/>
          <w:szCs w:val="20"/>
          <w:color w:val="auto"/>
        </w:rPr>
      </w:pPr>
      <w:r>
        <w:rPr>
          <w:rFonts w:ascii="Arial" w:cs="Arial" w:eastAsia="Arial" w:hAnsi="Arial"/>
          <w:sz w:val="22"/>
          <w:szCs w:val="22"/>
          <w:u w:val="single" w:color="auto"/>
          <w:color w:val="auto"/>
        </w:rPr>
        <w:t>Exhibit C</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Form of Monthly Report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C-1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40"/>
          </w:cols>
          <w:pgMar w:left="320" w:top="1427" w:right="439" w:bottom="1440" w:gutter="0" w:footer="0" w:header="0"/>
        </w:sectPr>
      </w:pPr>
    </w:p>
    <w:bookmarkStart w:id="398" w:name="page399"/>
    <w:bookmarkEnd w:id="398"/>
    <w:p>
      <w:pPr>
        <w:jc w:val="right"/>
        <w:spacing w:after="0"/>
        <w:rPr>
          <w:sz w:val="20"/>
          <w:szCs w:val="20"/>
          <w:color w:val="auto"/>
        </w:rPr>
      </w:pPr>
      <w:r>
        <w:rPr>
          <w:rFonts w:ascii="Arial" w:cs="Arial" w:eastAsia="Arial" w:hAnsi="Arial"/>
          <w:sz w:val="22"/>
          <w:szCs w:val="22"/>
          <w:u w:val="single" w:color="auto"/>
          <w:color w:val="auto"/>
        </w:rPr>
        <w:t>Exhibit D</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Form of Officer’s Certificate as to Solvency</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D-1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40"/>
          </w:cols>
          <w:pgMar w:left="320" w:top="1427" w:right="439" w:bottom="1440" w:gutter="0" w:footer="0" w:header="0"/>
        </w:sectPr>
      </w:pPr>
    </w:p>
    <w:bookmarkStart w:id="399" w:name="page400"/>
    <w:bookmarkEnd w:id="399"/>
    <w:p>
      <w:pPr>
        <w:jc w:val="right"/>
        <w:spacing w:after="0"/>
        <w:rPr>
          <w:sz w:val="20"/>
          <w:szCs w:val="20"/>
          <w:color w:val="auto"/>
        </w:rPr>
      </w:pPr>
      <w:r>
        <w:rPr>
          <w:rFonts w:ascii="Arial" w:cs="Arial" w:eastAsia="Arial" w:hAnsi="Arial"/>
          <w:sz w:val="22"/>
          <w:szCs w:val="22"/>
          <w:u w:val="single" w:color="auto"/>
          <w:color w:val="auto"/>
        </w:rPr>
        <w:t>Exhibit E</w:t>
      </w:r>
    </w:p>
    <w:p>
      <w:pPr>
        <w:spacing w:after="0" w:line="112"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FORM OF TAKE-OUT RELEASE</w:t>
      </w:r>
    </w:p>
    <w:p>
      <w:pPr>
        <w:spacing w:after="0" w:line="328" w:lineRule="exact"/>
        <w:rPr>
          <w:sz w:val="20"/>
          <w:szCs w:val="20"/>
          <w:color w:val="auto"/>
        </w:rPr>
      </w:pPr>
    </w:p>
    <w:p>
      <w:pPr>
        <w:jc w:val="both"/>
        <w:ind w:left="700" w:right="60" w:firstLine="648"/>
        <w:spacing w:after="0" w:line="297" w:lineRule="auto"/>
        <w:rPr>
          <w:sz w:val="20"/>
          <w:szCs w:val="20"/>
          <w:color w:val="auto"/>
        </w:rPr>
      </w:pPr>
      <w:r>
        <w:rPr>
          <w:rFonts w:ascii="Arial" w:cs="Arial" w:eastAsia="Arial" w:hAnsi="Arial"/>
          <w:sz w:val="19"/>
          <w:szCs w:val="19"/>
          <w:color w:val="auto"/>
        </w:rPr>
        <w:t>Reference is hereby made to the Sixth Amended and Restated Loan and Security Agreement, dated as of June 23, 2016, among CAC Warehouse Funding Corporation II, as the Borrower, Credit Acceptance Corporation, as the Servicer, the Lenders named therein, Wells Fargo Bank, National Association, as the Deal Agent, Wells Fargo Bank, National Association, as the Backup Servicer and Collateral Agent, and each other Lender party thereto as it may from time to time be amended, supplemented or otherwise modified in accordance with the terms thereof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4"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Capitalized terms not defined herein shall have the meaning given such terms in the Agreement.</w:t>
      </w:r>
    </w:p>
    <w:p>
      <w:pPr>
        <w:spacing w:after="0" w:line="260" w:lineRule="exact"/>
        <w:rPr>
          <w:sz w:val="20"/>
          <w:szCs w:val="20"/>
          <w:color w:val="auto"/>
        </w:rPr>
      </w:pPr>
    </w:p>
    <w:p>
      <w:pPr>
        <w:jc w:val="both"/>
        <w:ind w:left="700" w:right="40" w:firstLine="648"/>
        <w:spacing w:after="0" w:line="271" w:lineRule="auto"/>
        <w:rPr>
          <w:sz w:val="20"/>
          <w:szCs w:val="20"/>
          <w:color w:val="auto"/>
        </w:rPr>
      </w:pPr>
      <w:r>
        <w:rPr>
          <w:rFonts w:ascii="Arial" w:cs="Arial" w:eastAsia="Arial" w:hAnsi="Arial"/>
          <w:sz w:val="21"/>
          <w:szCs w:val="21"/>
          <w:color w:val="auto"/>
        </w:rPr>
        <w:t xml:space="preserve">Pursuant to Section 2.16(a) of the Agreement, the Borrower requests the Collateral Agent to release all of its right, title and interest, including any security interest and Lien, in and to the Loans and Related Security identified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Released Loans and the Related Security</w:t>
      </w:r>
      <w:r>
        <w:rPr>
          <w:rFonts w:ascii="Arial" w:cs="Arial" w:eastAsia="Arial" w:hAnsi="Arial"/>
          <w:sz w:val="21"/>
          <w:szCs w:val="21"/>
          <w:color w:val="auto"/>
        </w:rPr>
        <w:t>”). The Take-Out Date is as of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-50800</wp:posOffset>
            </wp:positionV>
            <wp:extent cx="171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88" w:lineRule="exact"/>
        <w:rPr>
          <w:sz w:val="20"/>
          <w:szCs w:val="20"/>
          <w:color w:val="auto"/>
        </w:rPr>
      </w:pPr>
    </w:p>
    <w:p>
      <w:pPr>
        <w:jc w:val="both"/>
        <w:ind w:left="700" w:right="80" w:firstLine="648"/>
        <w:spacing w:after="0" w:line="343" w:lineRule="auto"/>
        <w:rPr>
          <w:sz w:val="20"/>
          <w:szCs w:val="20"/>
          <w:color w:val="auto"/>
        </w:rPr>
      </w:pPr>
      <w:r>
        <w:rPr>
          <w:rFonts w:ascii="Arial" w:cs="Arial" w:eastAsia="Arial" w:hAnsi="Arial"/>
          <w:sz w:val="19"/>
          <w:szCs w:val="19"/>
          <w:color w:val="auto"/>
        </w:rPr>
        <w:t>Pursuant to Section 2.16(a)(ii) of the Agreement, the Servicer and the Borrower hereby certify that the Borrower will have sufficient funds on the Take-Out Date to effect the Take-Out in accordance with the Agreement.</w:t>
      </w:r>
    </w:p>
    <w:p>
      <w:pPr>
        <w:spacing w:after="0" w:line="131" w:lineRule="exact"/>
        <w:rPr>
          <w:sz w:val="20"/>
          <w:szCs w:val="20"/>
          <w:color w:val="auto"/>
        </w:rPr>
      </w:pPr>
    </w:p>
    <w:p>
      <w:pPr>
        <w:jc w:val="both"/>
        <w:ind w:left="700" w:right="60" w:firstLine="648"/>
        <w:spacing w:after="0" w:line="248" w:lineRule="auto"/>
        <w:rPr>
          <w:sz w:val="20"/>
          <w:szCs w:val="20"/>
          <w:color w:val="auto"/>
        </w:rPr>
      </w:pPr>
      <w:r>
        <w:rPr>
          <w:rFonts w:ascii="Arial" w:cs="Arial" w:eastAsia="Arial" w:hAnsi="Arial"/>
          <w:sz w:val="22"/>
          <w:szCs w:val="22"/>
          <w:color w:val="auto"/>
        </w:rPr>
        <w:t>Pursuant to Section 2.16(a)(iii) of the Agreement, the Servicer and Borrower hereby certify that after giving effect to the Take-Out and the release to the Borrower of the Loans and Related Security on the Take-Out Date, (x) the representations and warranties contained in Article IV of the Agreement shall continue to be correct in all material respects, except to the extent relating to an earlier date, and (y) neither an Unmatured Termination Event nor a Termination Event has occurred.</w:t>
      </w:r>
    </w:p>
    <w:p>
      <w:pPr>
        <w:spacing w:after="0" w:line="232" w:lineRule="exact"/>
        <w:rPr>
          <w:sz w:val="20"/>
          <w:szCs w:val="20"/>
          <w:color w:val="auto"/>
        </w:rPr>
      </w:pPr>
    </w:p>
    <w:p>
      <w:pPr>
        <w:jc w:val="both"/>
        <w:ind w:left="700" w:right="80" w:firstLine="648"/>
        <w:spacing w:after="0" w:line="263" w:lineRule="auto"/>
        <w:rPr>
          <w:sz w:val="20"/>
          <w:szCs w:val="20"/>
          <w:color w:val="auto"/>
        </w:rPr>
      </w:pPr>
      <w:r>
        <w:rPr>
          <w:rFonts w:ascii="Arial" w:cs="Arial" w:eastAsia="Arial" w:hAnsi="Arial"/>
          <w:sz w:val="22"/>
          <w:szCs w:val="22"/>
          <w:color w:val="auto"/>
        </w:rPr>
        <w:t>Upon deposit in the Collection Account of $[ ] in immediately available funds, the Collateral Agent hereby releases all of its right, title and interest, including any security interest and Lien, in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-208915</wp:posOffset>
            </wp:positionV>
            <wp:extent cx="2146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95" w:lineRule="exact"/>
        <w:rPr>
          <w:sz w:val="20"/>
          <w:szCs w:val="20"/>
          <w:color w:val="auto"/>
        </w:rPr>
      </w:pPr>
    </w:p>
    <w:p>
      <w:pPr>
        <w:jc w:val="both"/>
        <w:ind w:left="2640" w:right="60" w:hanging="652"/>
        <w:spacing w:after="0" w:line="265" w:lineRule="auto"/>
        <w:tabs>
          <w:tab w:leader="none" w:pos="2629" w:val="left"/>
        </w:tabs>
        <w:numPr>
          <w:ilvl w:val="0"/>
          <w:numId w:val="457"/>
        </w:numPr>
        <w:rPr>
          <w:rFonts w:ascii="Arial" w:cs="Arial" w:eastAsia="Arial" w:hAnsi="Arial"/>
          <w:sz w:val="21"/>
          <w:szCs w:val="21"/>
          <w:color w:val="auto"/>
        </w:rPr>
      </w:pPr>
      <w:r>
        <w:rPr>
          <w:rFonts w:ascii="Arial" w:cs="Arial" w:eastAsia="Arial" w:hAnsi="Arial"/>
          <w:sz w:val="21"/>
          <w:szCs w:val="21"/>
          <w:color w:val="auto"/>
        </w:rPr>
        <w:t>the Released Loans and the Related Security related thereto, all monies due or to become due with respect thereto, whether accounts, chattel paper, general intangibles or other property, all monies or remittances on deposit in the Credit Acceptance Payment Account which constitute proceeds of such Released Loans and the Related Security;</w:t>
      </w:r>
    </w:p>
    <w:p>
      <w:pPr>
        <w:spacing w:after="0" w:line="202" w:lineRule="exact"/>
        <w:rPr>
          <w:rFonts w:ascii="Arial" w:cs="Arial" w:eastAsia="Arial" w:hAnsi="Arial"/>
          <w:sz w:val="21"/>
          <w:szCs w:val="21"/>
          <w:color w:val="auto"/>
        </w:rPr>
      </w:pPr>
    </w:p>
    <w:p>
      <w:pPr>
        <w:ind w:left="2640" w:right="60" w:hanging="652"/>
        <w:spacing w:after="0" w:line="263" w:lineRule="auto"/>
        <w:tabs>
          <w:tab w:leader="none" w:pos="264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the security interests in the Contracts granted by Obligors pursuant to the related Released Loan and the Related Security;</w:t>
      </w:r>
    </w:p>
    <w:p>
      <w:pPr>
        <w:spacing w:after="0" w:line="215" w:lineRule="exact"/>
        <w:rPr>
          <w:rFonts w:ascii="Arial" w:cs="Arial" w:eastAsia="Arial" w:hAnsi="Arial"/>
          <w:sz w:val="22"/>
          <w:szCs w:val="22"/>
          <w:color w:val="auto"/>
        </w:rPr>
      </w:pPr>
    </w:p>
    <w:p>
      <w:pPr>
        <w:ind w:left="2640" w:right="60" w:hanging="652"/>
        <w:spacing w:after="0" w:line="287" w:lineRule="auto"/>
        <w:tabs>
          <w:tab w:leader="none" w:pos="2628" w:val="left"/>
        </w:tabs>
        <w:numPr>
          <w:ilvl w:val="0"/>
          <w:numId w:val="457"/>
        </w:numPr>
        <w:rPr>
          <w:rFonts w:ascii="Arial" w:cs="Arial" w:eastAsia="Arial" w:hAnsi="Arial"/>
          <w:sz w:val="21"/>
          <w:szCs w:val="21"/>
          <w:color w:val="auto"/>
        </w:rPr>
      </w:pPr>
      <w:r>
        <w:rPr>
          <w:rFonts w:ascii="Arial" w:cs="Arial" w:eastAsia="Arial" w:hAnsi="Arial"/>
          <w:sz w:val="21"/>
          <w:szCs w:val="21"/>
          <w:color w:val="auto"/>
        </w:rPr>
        <w:t>all of the Borrower’s rights under (x) the Contribution Agreement and (y) each Dealer Agreement, in each case with respect to such Released Loans and the Related Security;</w:t>
      </w:r>
    </w:p>
    <w:p>
      <w:pPr>
        <w:spacing w:after="0" w:line="159" w:lineRule="exact"/>
        <w:rPr>
          <w:rFonts w:ascii="Arial" w:cs="Arial" w:eastAsia="Arial" w:hAnsi="Arial"/>
          <w:sz w:val="21"/>
          <w:szCs w:val="21"/>
          <w:color w:val="auto"/>
        </w:rPr>
      </w:pPr>
    </w:p>
    <w:p>
      <w:pPr>
        <w:ind w:left="2640" w:hanging="652"/>
        <w:spacing w:after="0"/>
        <w:tabs>
          <w:tab w:leader="none" w:pos="2640" w:val="left"/>
        </w:tabs>
        <w:numPr>
          <w:ilvl w:val="0"/>
          <w:numId w:val="457"/>
        </w:numPr>
        <w:rPr>
          <w:rFonts w:ascii="Arial" w:cs="Arial" w:eastAsia="Arial" w:hAnsi="Arial"/>
          <w:sz w:val="22"/>
          <w:szCs w:val="22"/>
          <w:color w:val="auto"/>
        </w:rPr>
      </w:pPr>
      <w:r>
        <w:rPr>
          <w:rFonts w:ascii="Arial" w:cs="Arial" w:eastAsia="Arial" w:hAnsi="Arial"/>
          <w:sz w:val="22"/>
          <w:szCs w:val="22"/>
          <w:color w:val="auto"/>
        </w:rPr>
        <w:t>the proceeds of any and all of the foregoing.</w:t>
      </w:r>
    </w:p>
    <w:p>
      <w:pPr>
        <w:spacing w:after="0" w:line="184" w:lineRule="auto"/>
        <w:rPr>
          <w:sz w:val="20"/>
          <w:szCs w:val="20"/>
          <w:color w:val="auto"/>
        </w:rPr>
      </w:pPr>
      <w:r>
        <w:rPr>
          <w:rFonts w:ascii="Arial" w:cs="Arial" w:eastAsia="Arial" w:hAnsi="Arial"/>
          <w:sz w:val="21"/>
          <w:szCs w:val="21"/>
          <w:color w:val="auto"/>
        </w:rPr>
        <w:t>E-1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40"/>
          </w:cols>
          <w:pgMar w:left="320" w:top="1171" w:right="439" w:bottom="1440" w:gutter="0" w:footer="0" w:header="0"/>
        </w:sectPr>
      </w:pPr>
    </w:p>
    <w:bookmarkStart w:id="400" w:name="page401"/>
    <w:bookmarkEnd w:id="400"/>
    <w:p>
      <w:pPr>
        <w:ind w:left="1340"/>
        <w:spacing w:after="0"/>
        <w:tabs>
          <w:tab w:leader="none" w:pos="2860" w:val="left"/>
        </w:tabs>
        <w:rPr>
          <w:sz w:val="20"/>
          <w:szCs w:val="20"/>
          <w:color w:val="auto"/>
        </w:rPr>
      </w:pPr>
      <w:r>
        <w:rPr>
          <w:rFonts w:ascii="Arial" w:cs="Arial" w:eastAsia="Arial" w:hAnsi="Arial"/>
          <w:sz w:val="22"/>
          <w:szCs w:val="22"/>
          <w:color w:val="auto"/>
        </w:rPr>
        <w:t>Executed as of</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-17780</wp:posOffset>
            </wp:positionV>
            <wp:extent cx="1714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335" w:lineRule="exact"/>
        <w:rPr>
          <w:sz w:val="20"/>
          <w:szCs w:val="20"/>
          <w:color w:val="auto"/>
        </w:rPr>
      </w:pPr>
    </w:p>
    <w:p>
      <w:pPr>
        <w:ind w:left="420"/>
        <w:spacing w:after="0"/>
        <w:rPr>
          <w:sz w:val="20"/>
          <w:szCs w:val="20"/>
          <w:color w:val="auto"/>
        </w:rPr>
      </w:pPr>
      <w:r>
        <w:rPr>
          <w:rFonts w:ascii="Arial" w:cs="Arial" w:eastAsia="Arial" w:hAnsi="Arial"/>
          <w:sz w:val="19"/>
          <w:szCs w:val="19"/>
          <w:color w:val="auto"/>
        </w:rPr>
        <w:t>Credit Acceptance Corporation, as the Servicer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3175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1"/>
          <w:szCs w:val="21"/>
          <w:color w:val="auto"/>
        </w:rPr>
        <w:t>CAC Warehouse Funding Corporation II, as the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Borrower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-17780</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21"/>
          <w:szCs w:val="21"/>
          <w:color w:val="auto"/>
        </w:rPr>
        <w:t>Wells Fargo Bank, National Association, as the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Deal Agent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-17780</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1"/>
          <w:szCs w:val="21"/>
          <w:color w:val="auto"/>
        </w:rPr>
        <w:t>Wells Fargo Bank, National Association, as the</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Collateral Agent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-17780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Signature Page</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27" w:right="1440" w:bottom="1440" w:gutter="0" w:footer="0" w:header="0"/>
        </w:sectPr>
      </w:pPr>
    </w:p>
    <w:bookmarkStart w:id="401" w:name="page402"/>
    <w:bookmarkEnd w:id="401"/>
    <w:p>
      <w:pPr>
        <w:jc w:val="right"/>
        <w:spacing w:after="0"/>
        <w:rPr>
          <w:sz w:val="20"/>
          <w:szCs w:val="20"/>
          <w:color w:val="auto"/>
        </w:rPr>
      </w:pPr>
      <w:r>
        <w:rPr>
          <w:rFonts w:ascii="Arial" w:cs="Arial" w:eastAsia="Arial" w:hAnsi="Arial"/>
          <w:sz w:val="22"/>
          <w:szCs w:val="22"/>
          <w:u w:val="single" w:color="auto"/>
          <w:color w:val="auto"/>
        </w:rPr>
        <w:t>Exhibit F</w:t>
      </w:r>
    </w:p>
    <w:p>
      <w:pPr>
        <w:spacing w:after="0" w:line="200" w:lineRule="exact"/>
        <w:rPr>
          <w:sz w:val="20"/>
          <w:szCs w:val="20"/>
          <w:color w:val="auto"/>
        </w:rPr>
      </w:pPr>
    </w:p>
    <w:p>
      <w:pPr>
        <w:spacing w:after="0" w:line="24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Form of Contribution Agreement [Intentionally</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F-1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40"/>
          </w:cols>
          <w:pgMar w:left="320" w:top="1427" w:right="439" w:bottom="1440" w:gutter="0" w:footer="0" w:header="0"/>
        </w:sectPr>
      </w:pPr>
    </w:p>
    <w:bookmarkStart w:id="402" w:name="page403"/>
    <w:bookmarkEnd w:id="402"/>
    <w:p>
      <w:pPr>
        <w:jc w:val="right"/>
        <w:spacing w:after="0"/>
        <w:rPr>
          <w:sz w:val="20"/>
          <w:szCs w:val="20"/>
          <w:color w:val="auto"/>
        </w:rPr>
      </w:pPr>
      <w:r>
        <w:rPr>
          <w:rFonts w:ascii="Arial" w:cs="Arial" w:eastAsia="Arial" w:hAnsi="Arial"/>
          <w:sz w:val="22"/>
          <w:szCs w:val="22"/>
          <w:u w:val="single" w:color="auto"/>
          <w:color w:val="auto"/>
        </w:rPr>
        <w:t>Exhibit G</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FORM OF VARIABLE FUNDING NOTE</w:t>
      </w:r>
    </w:p>
    <w:p>
      <w:pPr>
        <w:spacing w:after="0" w:line="247" w:lineRule="exact"/>
        <w:rPr>
          <w:sz w:val="20"/>
          <w:szCs w:val="20"/>
          <w:color w:val="auto"/>
        </w:rPr>
      </w:pPr>
    </w:p>
    <w:p>
      <w:pPr>
        <w:jc w:val="center"/>
        <w:ind w:right="-119"/>
        <w:spacing w:after="0"/>
        <w:tabs>
          <w:tab w:leader="none" w:pos="240" w:val="left"/>
        </w:tabs>
        <w:rPr>
          <w:sz w:val="20"/>
          <w:szCs w:val="20"/>
          <w:color w:val="auto"/>
        </w:rPr>
      </w:pPr>
      <w:r>
        <w:rPr>
          <w:rFonts w:ascii="Arial" w:cs="Arial" w:eastAsia="Arial" w:hAnsi="Arial"/>
          <w:sz w:val="22"/>
          <w:szCs w:val="22"/>
          <w:color w:val="auto"/>
        </w:rPr>
        <w:t>New York, New York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-17780</wp:posOffset>
            </wp:positionV>
            <wp:extent cx="1714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40" w:lineRule="exact"/>
        <w:rPr>
          <w:sz w:val="20"/>
          <w:szCs w:val="20"/>
          <w:color w:val="auto"/>
        </w:rPr>
      </w:pPr>
    </w:p>
    <w:p>
      <w:pPr>
        <w:ind w:left="1340"/>
        <w:spacing w:after="0"/>
        <w:tabs>
          <w:tab w:leader="none" w:pos="1960" w:val="left"/>
          <w:tab w:leader="none" w:pos="2880" w:val="left"/>
          <w:tab w:leader="none" w:pos="4220" w:val="left"/>
          <w:tab w:leader="none" w:pos="4700" w:val="left"/>
          <w:tab w:leader="none" w:pos="6020" w:val="left"/>
          <w:tab w:leader="none" w:pos="6680" w:val="left"/>
          <w:tab w:leader="none" w:pos="8220" w:val="left"/>
        </w:tabs>
        <w:rPr>
          <w:sz w:val="20"/>
          <w:szCs w:val="20"/>
          <w:color w:val="auto"/>
        </w:rPr>
      </w:pPr>
      <w:r>
        <w:rPr>
          <w:rFonts w:ascii="Arial" w:cs="Arial" w:eastAsia="Arial" w:hAnsi="Arial"/>
          <w:sz w:val="22"/>
          <w:szCs w:val="22"/>
          <w:color w:val="auto"/>
        </w:rPr>
        <w:t>FOR</w:t>
        <w:tab/>
        <w:t>VALUE</w:t>
        <w:tab/>
        <w:t>RECEIVED,</w:t>
        <w:tab/>
        <w:t>the</w:t>
        <w:tab/>
        <w:t>undersigned,</w:t>
        <w:tab/>
        <w:t>CAC</w:t>
        <w:tab/>
        <w:t>WAREHOUSE</w:t>
      </w:r>
      <w:r>
        <w:rPr>
          <w:sz w:val="20"/>
          <w:szCs w:val="20"/>
          <w:color w:val="auto"/>
        </w:rPr>
        <w:tab/>
      </w:r>
      <w:r>
        <w:rPr>
          <w:rFonts w:ascii="Arial" w:cs="Arial" w:eastAsia="Arial" w:hAnsi="Arial"/>
          <w:sz w:val="21"/>
          <w:szCs w:val="21"/>
          <w:color w:val="auto"/>
        </w:rPr>
        <w:t>FUNDING</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21"/>
          <w:szCs w:val="21"/>
          <w:color w:val="auto"/>
        </w:rPr>
        <w:t>CORPORATION II, a Nevada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promises to pay to the order of Wells Fargo Bank,</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National Association, as Deal Agent, on behalf of [the Lender], on the date specified in Section 2.1(c) of the Sixth</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Amended and Restated Loan and Security Agreement (as hereinafter defined), at 550 South Tryon, Charlotte, North</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Carolina 28202, in lawful money of the United States of America and in immediately available funds, the principal</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22"/>
          <w:szCs w:val="22"/>
          <w:color w:val="auto"/>
        </w:rPr>
        <w:t>amount of [</w:t>
      </w:r>
    </w:p>
    <w:p>
      <w:pPr>
        <w:spacing w:after="0" w:line="4" w:lineRule="exact"/>
        <w:rPr>
          <w:sz w:val="20"/>
          <w:szCs w:val="20"/>
          <w:color w:val="auto"/>
        </w:rPr>
      </w:pPr>
    </w:p>
    <w:p>
      <w:pPr>
        <w:jc w:val="both"/>
        <w:ind w:left="700" w:right="80" w:hanging="9"/>
        <w:spacing w:after="0" w:line="295" w:lineRule="auto"/>
        <w:tabs>
          <w:tab w:leader="none" w:pos="848" w:val="left"/>
        </w:tabs>
        <w:numPr>
          <w:ilvl w:val="0"/>
          <w:numId w:val="458"/>
        </w:numPr>
        <w:rPr>
          <w:rFonts w:ascii="Arial" w:cs="Arial" w:eastAsia="Arial" w:hAnsi="Arial"/>
          <w:sz w:val="19"/>
          <w:szCs w:val="19"/>
          <w:color w:val="auto"/>
        </w:rPr>
      </w:pPr>
      <w:r>
        <w:rPr>
          <w:rFonts w:ascii="Arial" w:cs="Arial" w:eastAsia="Arial" w:hAnsi="Arial"/>
          <w:sz w:val="19"/>
          <w:szCs w:val="19"/>
          <w:color w:val="auto"/>
        </w:rPr>
        <w:t>($[ ]), or, if less, the aggregate unpaid principal amount of the all Advances made by the Lenders to the Borrower pursuant to the Sixth Amended and Restated Loan and Security Agreement, and to pay interest at such office, in like money, from the date hereof on the unpaid principal amount of the Advance from time to time outstanding at the rates and on the dates specified in the Sixth Amended and Restated Loan and Security Agreement.</w:t>
      </w:r>
    </w:p>
    <w:p>
      <w:pPr>
        <w:spacing w:after="0" w:line="177" w:lineRule="exact"/>
        <w:rPr>
          <w:sz w:val="20"/>
          <w:szCs w:val="20"/>
          <w:color w:val="auto"/>
        </w:rPr>
      </w:pPr>
    </w:p>
    <w:p>
      <w:pPr>
        <w:jc w:val="both"/>
        <w:ind w:left="700" w:right="20" w:firstLine="648"/>
        <w:spacing w:after="0" w:line="246" w:lineRule="auto"/>
        <w:rPr>
          <w:sz w:val="20"/>
          <w:szCs w:val="20"/>
          <w:color w:val="auto"/>
        </w:rPr>
      </w:pPr>
      <w:r>
        <w:rPr>
          <w:rFonts w:ascii="Arial" w:cs="Arial" w:eastAsia="Arial" w:hAnsi="Arial"/>
          <w:sz w:val="22"/>
          <w:szCs w:val="22"/>
          <w:color w:val="auto"/>
        </w:rPr>
        <w:t xml:space="preserve">The Deal Agent is authorized to record, on the schedules annexed hereto and made a part hereof or on other appropriate records of the Deal Agent, the date and the amount of the Advance made by the Lenders, each continuation thereof, the funding period for such Advance and the date and amount of each payment or prepayment of principal thereof. Any such recordation shall constitute </w:t>
      </w:r>
      <w:r>
        <w:rPr>
          <w:rFonts w:ascii="Arial" w:cs="Arial" w:eastAsia="Arial" w:hAnsi="Arial"/>
          <w:sz w:val="22"/>
          <w:szCs w:val="22"/>
          <w:u w:val="single" w:color="auto"/>
          <w:color w:val="auto"/>
        </w:rPr>
        <w:t>prima facie</w:t>
      </w:r>
      <w:r>
        <w:rPr>
          <w:rFonts w:ascii="Arial" w:cs="Arial" w:eastAsia="Arial" w:hAnsi="Arial"/>
          <w:sz w:val="22"/>
          <w:szCs w:val="22"/>
          <w:color w:val="auto"/>
        </w:rPr>
        <w:t xml:space="preserve"> evidence of the accuracy of the information so recorded; provided that the failure of the Deal Agent to make any such recordation (or any error in such recordation) shall not affect the obligations of the Borrower hereunder, under the Sixth Amended and Restated Loan and Security Agreement in respect of the Advance.</w:t>
      </w:r>
    </w:p>
    <w:p>
      <w:pPr>
        <w:spacing w:after="0" w:line="237" w:lineRule="exact"/>
        <w:rPr>
          <w:sz w:val="20"/>
          <w:szCs w:val="20"/>
          <w:color w:val="auto"/>
        </w:rPr>
      </w:pPr>
    </w:p>
    <w:p>
      <w:pPr>
        <w:ind w:left="700" w:right="100" w:firstLine="648"/>
        <w:spacing w:after="0" w:line="259" w:lineRule="auto"/>
        <w:rPr>
          <w:sz w:val="20"/>
          <w:szCs w:val="20"/>
          <w:color w:val="auto"/>
        </w:rPr>
      </w:pPr>
      <w:r>
        <w:rPr>
          <w:rFonts w:ascii="Arial" w:cs="Arial" w:eastAsia="Arial" w:hAnsi="Arial"/>
          <w:sz w:val="21"/>
          <w:szCs w:val="21"/>
          <w:color w:val="auto"/>
        </w:rPr>
        <w:t>This Variable Funding Note is one of the Notes referred to in the Sixth Amended and Restated Loan and Security Agreement, dated as of June 23, 2016 (as amended, supplemented, or otherwise modified and in effect from time to time, the “</w:t>
      </w:r>
      <w:r>
        <w:rPr>
          <w:rFonts w:ascii="Arial" w:cs="Arial" w:eastAsia="Arial" w:hAnsi="Arial"/>
          <w:sz w:val="21"/>
          <w:szCs w:val="21"/>
          <w:u w:val="single" w:color="auto"/>
          <w:color w:val="auto"/>
        </w:rPr>
        <w:t>Loan and Security Agreement</w:t>
      </w:r>
      <w:r>
        <w:rPr>
          <w:rFonts w:ascii="Arial" w:cs="Arial" w:eastAsia="Arial" w:hAnsi="Arial"/>
          <w:sz w:val="21"/>
          <w:szCs w:val="21"/>
          <w:color w:val="auto"/>
        </w:rPr>
        <w:t>”), among CAC Warehouse Funding Corporation II (the “</w:t>
      </w:r>
      <w:r>
        <w:rPr>
          <w:rFonts w:ascii="Arial" w:cs="Arial" w:eastAsia="Arial" w:hAnsi="Arial"/>
          <w:sz w:val="21"/>
          <w:szCs w:val="21"/>
          <w:u w:val="single" w:color="auto"/>
          <w:color w:val="auto"/>
        </w:rPr>
        <w:t>Borrower</w:t>
      </w:r>
      <w:r>
        <w:rPr>
          <w:rFonts w:ascii="Arial" w:cs="Arial" w:eastAsia="Arial" w:hAnsi="Arial"/>
          <w:sz w:val="21"/>
          <w:szCs w:val="21"/>
          <w:color w:val="auto"/>
        </w:rPr>
        <w:t>”); Credit Acceptance Corporation (the “</w:t>
      </w:r>
      <w:r>
        <w:rPr>
          <w:rFonts w:ascii="Arial" w:cs="Arial" w:eastAsia="Arial" w:hAnsi="Arial"/>
          <w:sz w:val="21"/>
          <w:szCs w:val="21"/>
          <w:u w:val="single" w:color="auto"/>
          <w:color w:val="auto"/>
        </w:rPr>
        <w:t>Servicer</w:t>
      </w:r>
      <w:r>
        <w:rPr>
          <w:rFonts w:ascii="Arial" w:cs="Arial" w:eastAsia="Arial" w:hAnsi="Arial"/>
          <w:sz w:val="21"/>
          <w:szCs w:val="21"/>
          <w:color w:val="auto"/>
        </w:rPr>
        <w:t>”); the financial institutions listed on the signature pages thereto under the heading “The Lender(s)” (the “</w:t>
      </w:r>
      <w:r>
        <w:rPr>
          <w:rFonts w:ascii="Arial" w:cs="Arial" w:eastAsia="Arial" w:hAnsi="Arial"/>
          <w:sz w:val="21"/>
          <w:szCs w:val="21"/>
          <w:u w:val="single" w:color="auto"/>
          <w:color w:val="auto"/>
        </w:rPr>
        <w:t>Lenders</w:t>
      </w:r>
      <w:r>
        <w:rPr>
          <w:rFonts w:ascii="Arial" w:cs="Arial" w:eastAsia="Arial" w:hAnsi="Arial"/>
          <w:sz w:val="21"/>
          <w:szCs w:val="21"/>
          <w:color w:val="auto"/>
        </w:rPr>
        <w:t>”); Wells Fargo Bank, National Association, as deal agent (the “</w:t>
      </w:r>
      <w:r>
        <w:rPr>
          <w:rFonts w:ascii="Arial" w:cs="Arial" w:eastAsia="Arial" w:hAnsi="Arial"/>
          <w:sz w:val="21"/>
          <w:szCs w:val="21"/>
          <w:u w:val="single" w:color="auto"/>
          <w:color w:val="auto"/>
        </w:rPr>
        <w:t>Deal Agent</w:t>
      </w:r>
      <w:r>
        <w:rPr>
          <w:rFonts w:ascii="Arial" w:cs="Arial" w:eastAsia="Arial" w:hAnsi="Arial"/>
          <w:sz w:val="21"/>
          <w:szCs w:val="21"/>
          <w:color w:val="auto"/>
        </w:rPr>
        <w:t>”); Wells Fargo Bank, National Association, as the Backup Servicer (the “</w:t>
      </w:r>
      <w:r>
        <w:rPr>
          <w:rFonts w:ascii="Arial" w:cs="Arial" w:eastAsia="Arial" w:hAnsi="Arial"/>
          <w:sz w:val="21"/>
          <w:szCs w:val="21"/>
          <w:u w:val="single" w:color="auto"/>
          <w:color w:val="auto"/>
        </w:rPr>
        <w:t>Backup Servicer</w:t>
      </w:r>
      <w:r>
        <w:rPr>
          <w:rFonts w:ascii="Arial" w:cs="Arial" w:eastAsia="Arial" w:hAnsi="Arial"/>
          <w:sz w:val="21"/>
          <w:szCs w:val="21"/>
          <w:color w:val="auto"/>
        </w:rPr>
        <w:t>”); Wells Fargo Bank, National Association, as the Collateral Agent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and each other Lender party thereto, and is entitled to the benefits thereof. Capitalized terms used herein and defined herein have the meanings given them in the Loan and Security Agreement.</w:t>
      </w:r>
    </w:p>
    <w:p>
      <w:pPr>
        <w:spacing w:after="0" w:line="206" w:lineRule="exact"/>
        <w:rPr>
          <w:sz w:val="20"/>
          <w:szCs w:val="20"/>
          <w:color w:val="auto"/>
        </w:rPr>
      </w:pPr>
    </w:p>
    <w:p>
      <w:pPr>
        <w:jc w:val="both"/>
        <w:ind w:left="700" w:right="60" w:firstLine="648"/>
        <w:spacing w:after="0" w:line="302" w:lineRule="auto"/>
        <w:rPr>
          <w:sz w:val="20"/>
          <w:szCs w:val="20"/>
          <w:color w:val="auto"/>
        </w:rPr>
      </w:pPr>
      <w:r>
        <w:rPr>
          <w:rFonts w:ascii="Arial" w:cs="Arial" w:eastAsia="Arial" w:hAnsi="Arial"/>
          <w:sz w:val="19"/>
          <w:szCs w:val="19"/>
          <w:color w:val="auto"/>
        </w:rPr>
        <w:t>This Variable Funding Note is being issued in substitution and replacement of that certain Variable Funding Note, dated as of [ ], made by the Borrower to the order of the Deal Agent, on behalf of the Lender, pursuant to the Existing Loan and Security Agreement (as defined in the Loan and Security Agreement) (the "Replaced Note"). This Variable Funding Note is not intended to be, nor shall it be deemed to be, a repayment of the Replaced Note.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G-1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40"/>
          </w:cols>
          <w:pgMar w:left="320" w:top="1427" w:right="439" w:bottom="1440" w:gutter="0" w:footer="0" w:header="0"/>
        </w:sectPr>
      </w:pPr>
    </w:p>
    <w:bookmarkStart w:id="403" w:name="page404"/>
    <w:bookmarkEnd w:id="403"/>
    <w:p>
      <w:pPr>
        <w:ind w:left="120"/>
        <w:spacing w:after="0"/>
        <w:rPr>
          <w:sz w:val="20"/>
          <w:szCs w:val="20"/>
          <w:color w:val="auto"/>
        </w:rPr>
      </w:pPr>
      <w:r>
        <w:rPr>
          <w:rFonts w:ascii="Arial" w:cs="Arial" w:eastAsia="Arial" w:hAnsi="Arial"/>
          <w:sz w:val="21"/>
          <w:szCs w:val="21"/>
          <w:color w:val="auto"/>
        </w:rPr>
        <w:t>Upon the issuance of this Variable Funding Note, the Replaced Note shall be deemed to cease to have any effect.</w:t>
      </w:r>
    </w:p>
    <w:p>
      <w:pPr>
        <w:spacing w:after="0" w:line="272" w:lineRule="exact"/>
        <w:rPr>
          <w:sz w:val="20"/>
          <w:szCs w:val="20"/>
          <w:color w:val="auto"/>
        </w:rPr>
      </w:pPr>
    </w:p>
    <w:p>
      <w:pPr>
        <w:ind w:left="120" w:firstLine="648"/>
        <w:spacing w:after="0" w:line="263" w:lineRule="auto"/>
        <w:rPr>
          <w:sz w:val="20"/>
          <w:szCs w:val="20"/>
          <w:color w:val="auto"/>
        </w:rPr>
      </w:pPr>
      <w:r>
        <w:rPr>
          <w:rFonts w:ascii="Arial" w:cs="Arial" w:eastAsia="Arial" w:hAnsi="Arial"/>
          <w:sz w:val="22"/>
          <w:szCs w:val="22"/>
          <w:color w:val="auto"/>
        </w:rPr>
        <w:t>This Variable Funding Note is subject to optional and mandatory prepayment as provided in the Loan and Security Agreement.</w:t>
      </w:r>
    </w:p>
    <w:p>
      <w:pPr>
        <w:spacing w:after="0" w:line="202" w:lineRule="exact"/>
        <w:rPr>
          <w:sz w:val="20"/>
          <w:szCs w:val="20"/>
          <w:color w:val="auto"/>
        </w:rPr>
      </w:pPr>
    </w:p>
    <w:p>
      <w:pPr>
        <w:ind w:left="120" w:right="40" w:firstLine="648"/>
        <w:spacing w:after="0" w:line="343" w:lineRule="auto"/>
        <w:rPr>
          <w:sz w:val="20"/>
          <w:szCs w:val="20"/>
          <w:color w:val="auto"/>
        </w:rPr>
      </w:pPr>
      <w:r>
        <w:rPr>
          <w:rFonts w:ascii="Arial" w:cs="Arial" w:eastAsia="Arial" w:hAnsi="Arial"/>
          <w:sz w:val="19"/>
          <w:szCs w:val="19"/>
          <w:color w:val="auto"/>
        </w:rPr>
        <w:t>Upon the occurrence of a Termination Event, the Secured Parties shall have all of the remedies specified in the Loan and Security Agreement. The Borrower hereby waives presentment, demand, protest, and all notices of any kind.</w:t>
      </w:r>
    </w:p>
    <w:p>
      <w:pPr>
        <w:spacing w:after="0" w:line="145" w:lineRule="exact"/>
        <w:rPr>
          <w:sz w:val="20"/>
          <w:szCs w:val="20"/>
          <w:color w:val="auto"/>
        </w:rPr>
      </w:pPr>
    </w:p>
    <w:p>
      <w:pPr>
        <w:ind w:left="120" w:right="20" w:firstLine="648"/>
        <w:spacing w:after="0" w:line="263" w:lineRule="auto"/>
        <w:rPr>
          <w:sz w:val="20"/>
          <w:szCs w:val="20"/>
          <w:color w:val="auto"/>
        </w:rPr>
      </w:pPr>
      <w:r>
        <w:rPr>
          <w:rFonts w:ascii="Arial" w:cs="Arial" w:eastAsia="Arial" w:hAnsi="Arial"/>
          <w:sz w:val="22"/>
          <w:szCs w:val="22"/>
          <w:color w:val="auto"/>
        </w:rPr>
        <w:t>THIS VARIABLE FUNDING NOTE SHALL BE GOVERNED BY, AND CONSTRUED AND INTERPRETED IN ACCORDANCE WITH, THE LAWS OF THE STATE OF NEW YORK.</w:t>
      </w:r>
    </w:p>
    <w:p>
      <w:pPr>
        <w:spacing w:after="0" w:line="28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CAC WAREHOUSE FUNDING CORPORATION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II, as Borrower</w:t>
      </w:r>
    </w:p>
    <w:p>
      <w:pPr>
        <w:spacing w:after="0" w:line="22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-17780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Name: 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G-</w:t>
      </w:r>
      <w:r>
        <w:rPr>
          <w:rFonts w:ascii="Arial" w:cs="Arial" w:eastAsia="Arial" w:hAnsi="Arial"/>
          <w:sz w:val="22"/>
          <w:szCs w:val="22"/>
          <w:u w:val="single" w:color="auto"/>
          <w:color w:val="auto"/>
        </w:rPr>
        <w:t>2</w:t>
      </w:r>
    </w:p>
    <w:p>
      <w:pPr>
        <w:sectPr>
          <w:pgSz w:w="11900" w:h="16838" w:orient="portrait"/>
          <w:cols w:equalWidth="0" w:num="1">
            <w:col w:w="11120"/>
          </w:cols>
          <w:pgMar w:left="320" w:top="1427" w:right="459" w:bottom="1440" w:gutter="0" w:footer="0" w:header="0"/>
        </w:sectPr>
      </w:pPr>
    </w:p>
    <w:bookmarkStart w:id="404" w:name="page405"/>
    <w:bookmarkEnd w:id="404"/>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160" w:type="dxa"/>
            <w:vAlign w:val="bottom"/>
            <w:gridSpan w:val="3"/>
          </w:tcPr>
          <w:p>
            <w:pPr>
              <w:ind w:left="220"/>
              <w:spacing w:after="0"/>
              <w:rPr>
                <w:sz w:val="20"/>
                <w:szCs w:val="20"/>
                <w:color w:val="auto"/>
              </w:rPr>
            </w:pPr>
            <w:r>
              <w:rPr>
                <w:rFonts w:ascii="Arial" w:cs="Arial" w:eastAsia="Arial" w:hAnsi="Arial"/>
                <w:sz w:val="22"/>
                <w:szCs w:val="22"/>
                <w:color w:val="auto"/>
                <w:w w:val="92"/>
              </w:rPr>
              <w:t>Schedule 1 to VARIABLE FUNDING NOTE</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2280" w:type="dxa"/>
            <w:vAlign w:val="bottom"/>
            <w:gridSpan w:val="4"/>
          </w:tcPr>
          <w:p>
            <w:pPr>
              <w:spacing w:after="0"/>
              <w:rPr>
                <w:sz w:val="20"/>
                <w:szCs w:val="20"/>
                <w:color w:val="auto"/>
              </w:rPr>
            </w:pPr>
            <w:r>
              <w:rPr>
                <w:rFonts w:ascii="Arial" w:cs="Arial" w:eastAsia="Arial" w:hAnsi="Arial"/>
                <w:sz w:val="22"/>
                <w:szCs w:val="22"/>
                <w:color w:val="auto"/>
              </w:rPr>
              <w:t>Principal of the</w:t>
            </w:r>
          </w:p>
        </w:tc>
        <w:tc>
          <w:tcPr>
            <w:tcW w:w="1260" w:type="dxa"/>
            <w:vAlign w:val="bottom"/>
            <w:gridSpan w:val="2"/>
          </w:tcPr>
          <w:p>
            <w:pPr>
              <w:spacing w:after="0"/>
              <w:rPr>
                <w:sz w:val="20"/>
                <w:szCs w:val="20"/>
                <w:color w:val="auto"/>
              </w:rPr>
            </w:pPr>
            <w:r>
              <w:rPr>
                <w:rFonts w:ascii="Arial" w:cs="Arial" w:eastAsia="Arial" w:hAnsi="Arial"/>
                <w:sz w:val="22"/>
                <w:szCs w:val="22"/>
                <w:color w:val="auto"/>
              </w:rPr>
              <w:t>Yield on the</w:t>
            </w:r>
          </w:p>
        </w:tc>
        <w:tc>
          <w:tcPr>
            <w:tcW w:w="4160" w:type="dxa"/>
            <w:vAlign w:val="bottom"/>
            <w:gridSpan w:val="3"/>
          </w:tcPr>
          <w:p>
            <w:pPr>
              <w:ind w:left="1400"/>
              <w:spacing w:after="0"/>
              <w:rPr>
                <w:sz w:val="20"/>
                <w:szCs w:val="20"/>
                <w:color w:val="auto"/>
              </w:rPr>
            </w:pPr>
            <w:r>
              <w:rPr>
                <w:rFonts w:ascii="Arial" w:cs="Arial" w:eastAsia="Arial" w:hAnsi="Arial"/>
                <w:sz w:val="22"/>
                <w:szCs w:val="22"/>
                <w:color w:val="auto"/>
              </w:rPr>
              <w:t>Prepayment</w:t>
            </w:r>
          </w:p>
        </w:tc>
        <w:tc>
          <w:tcPr>
            <w:tcW w:w="3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22"/>
                <w:szCs w:val="22"/>
                <w:color w:val="auto"/>
                <w:w w:val="89"/>
              </w:rPr>
              <w:t>Notation by</w:t>
            </w:r>
          </w:p>
        </w:tc>
      </w:tr>
      <w:tr>
        <w:trPr>
          <w:trHeight w:val="260"/>
        </w:trPr>
        <w:tc>
          <w:tcPr>
            <w:tcW w:w="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Arial" w:cs="Arial" w:eastAsia="Arial" w:hAnsi="Arial"/>
                <w:sz w:val="22"/>
                <w:szCs w:val="22"/>
                <w:color w:val="auto"/>
                <w:w w:val="86"/>
              </w:rPr>
              <w:t>Advances</w:t>
            </w:r>
          </w:p>
        </w:tc>
        <w:tc>
          <w:tcPr>
            <w:tcW w:w="14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22"/>
                <w:szCs w:val="22"/>
                <w:color w:val="auto"/>
              </w:rPr>
              <w:t>Advances</w:t>
            </w:r>
          </w:p>
        </w:tc>
        <w:tc>
          <w:tcPr>
            <w:tcW w:w="4160" w:type="dxa"/>
            <w:vAlign w:val="bottom"/>
            <w:gridSpan w:val="3"/>
          </w:tcPr>
          <w:p>
            <w:pPr>
              <w:ind w:left="1400"/>
              <w:spacing w:after="0"/>
              <w:rPr>
                <w:sz w:val="20"/>
                <w:szCs w:val="20"/>
                <w:color w:val="auto"/>
              </w:rPr>
            </w:pPr>
            <w:r>
              <w:rPr>
                <w:rFonts w:ascii="Arial" w:cs="Arial" w:eastAsia="Arial" w:hAnsi="Arial"/>
                <w:sz w:val="22"/>
                <w:szCs w:val="22"/>
                <w:color w:val="auto"/>
              </w:rPr>
              <w:t>of the Advances</w:t>
            </w:r>
          </w:p>
        </w:tc>
        <w:tc>
          <w:tcPr>
            <w:tcW w:w="30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22"/>
                <w:szCs w:val="22"/>
                <w:color w:val="auto"/>
              </w:rPr>
              <w:t>Date</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060"/>
        </w:trPr>
        <w:tc>
          <w:tcPr>
            <w:tcW w:w="2300" w:type="dxa"/>
            <w:vAlign w:val="bottom"/>
            <w:gridSpan w:val="5"/>
          </w:tcPr>
          <w:p>
            <w:pPr>
              <w:spacing w:after="0"/>
              <w:rPr>
                <w:sz w:val="20"/>
                <w:szCs w:val="20"/>
                <w:color w:val="auto"/>
              </w:rPr>
            </w:pPr>
            <w:r>
              <w:rPr>
                <w:rFonts w:ascii="Arial" w:cs="Arial" w:eastAsia="Arial" w:hAnsi="Arial"/>
                <w:sz w:val="22"/>
                <w:szCs w:val="22"/>
                <w:color w:val="auto"/>
              </w:rPr>
              <w:t>G-3</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ectPr>
          <w:pgSz w:w="11900" w:h="16838" w:orient="portrait"/>
          <w:cols w:equalWidth="0" w:num="1">
            <w:col w:w="10139"/>
          </w:cols>
          <w:pgMar w:left="320" w:top="1440" w:right="1440" w:bottom="1440" w:gutter="0" w:footer="0" w:header="0"/>
        </w:sectPr>
      </w:pPr>
    </w:p>
    <w:bookmarkStart w:id="405" w:name="page406"/>
    <w:bookmarkEnd w:id="405"/>
    <w:p>
      <w:pPr>
        <w:jc w:val="right"/>
        <w:spacing w:after="0"/>
        <w:rPr>
          <w:sz w:val="20"/>
          <w:szCs w:val="20"/>
          <w:color w:val="auto"/>
        </w:rPr>
      </w:pPr>
      <w:r>
        <w:rPr>
          <w:rFonts w:ascii="Arial" w:cs="Arial" w:eastAsia="Arial" w:hAnsi="Arial"/>
          <w:sz w:val="22"/>
          <w:szCs w:val="22"/>
          <w:u w:val="single" w:color="auto"/>
          <w:color w:val="auto"/>
        </w:rPr>
        <w:t>Exhibit H</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Form of Dealer Agreement [Intentionally Omitted]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H-1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40"/>
          </w:cols>
          <w:pgMar w:left="320" w:top="1427" w:right="439" w:bottom="1440" w:gutter="0" w:footer="0" w:header="0"/>
        </w:sectPr>
      </w:pPr>
    </w:p>
    <w:bookmarkStart w:id="406" w:name="page407"/>
    <w:bookmarkEnd w:id="406"/>
    <w:p>
      <w:pPr>
        <w:jc w:val="right"/>
        <w:spacing w:after="0"/>
        <w:rPr>
          <w:sz w:val="20"/>
          <w:szCs w:val="20"/>
          <w:color w:val="auto"/>
        </w:rPr>
      </w:pPr>
      <w:r>
        <w:rPr>
          <w:rFonts w:ascii="Arial" w:cs="Arial" w:eastAsia="Arial" w:hAnsi="Arial"/>
          <w:sz w:val="22"/>
          <w:szCs w:val="22"/>
          <w:u w:val="single" w:color="auto"/>
          <w:color w:val="auto"/>
        </w:rPr>
        <w:t>Exhibit I</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Forms of Contracts [Intentionally Omitted]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I-1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60"/>
          </w:cols>
          <w:pgMar w:left="320" w:top="1427" w:right="419" w:bottom="1440" w:gutter="0" w:footer="0" w:header="0"/>
        </w:sectPr>
      </w:pPr>
    </w:p>
    <w:bookmarkStart w:id="407" w:name="page408"/>
    <w:bookmarkEnd w:id="407"/>
    <w:p>
      <w:pPr>
        <w:jc w:val="right"/>
        <w:spacing w:after="0"/>
        <w:rPr>
          <w:sz w:val="20"/>
          <w:szCs w:val="20"/>
          <w:color w:val="auto"/>
        </w:rPr>
      </w:pPr>
      <w:r>
        <w:rPr>
          <w:rFonts w:ascii="Arial" w:cs="Arial" w:eastAsia="Arial" w:hAnsi="Arial"/>
          <w:sz w:val="22"/>
          <w:szCs w:val="22"/>
          <w:u w:val="single" w:color="auto"/>
          <w:color w:val="auto"/>
        </w:rPr>
        <w:t>Exhibit J</w:t>
      </w:r>
    </w:p>
    <w:p>
      <w:pPr>
        <w:spacing w:after="0" w:line="328"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Form of Backup Servicing Agreement</w:t>
      </w: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J-1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60"/>
          </w:cols>
          <w:pgMar w:left="320" w:top="1427" w:right="419" w:bottom="1440" w:gutter="0" w:footer="0" w:header="0"/>
        </w:sectPr>
      </w:pPr>
    </w:p>
    <w:bookmarkStart w:id="408" w:name="page409"/>
    <w:bookmarkEnd w:id="408"/>
    <w:p>
      <w:pPr>
        <w:jc w:val="right"/>
        <w:spacing w:after="0"/>
        <w:rPr>
          <w:sz w:val="20"/>
          <w:szCs w:val="20"/>
          <w:color w:val="auto"/>
        </w:rPr>
      </w:pPr>
      <w:r>
        <w:rPr>
          <w:rFonts w:ascii="Arial" w:cs="Arial" w:eastAsia="Arial" w:hAnsi="Arial"/>
          <w:sz w:val="22"/>
          <w:szCs w:val="22"/>
          <w:u w:val="single" w:color="auto"/>
          <w:color w:val="auto"/>
        </w:rPr>
        <w:t>Exhibit K</w:t>
      </w:r>
    </w:p>
    <w:p>
      <w:pPr>
        <w:spacing w:after="0" w:line="328" w:lineRule="exact"/>
        <w:rPr>
          <w:sz w:val="20"/>
          <w:szCs w:val="20"/>
          <w:color w:val="auto"/>
        </w:rPr>
      </w:pPr>
    </w:p>
    <w:p>
      <w:pPr>
        <w:ind w:left="3620"/>
        <w:spacing w:after="0"/>
        <w:rPr>
          <w:sz w:val="20"/>
          <w:szCs w:val="20"/>
          <w:color w:val="auto"/>
        </w:rPr>
      </w:pPr>
      <w:r>
        <w:rPr>
          <w:rFonts w:ascii="Arial" w:cs="Arial" w:eastAsia="Arial" w:hAnsi="Arial"/>
          <w:sz w:val="22"/>
          <w:szCs w:val="22"/>
          <w:u w:val="single" w:color="auto"/>
          <w:color w:val="auto"/>
        </w:rPr>
        <w:t>Form of Purchase Agreement</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K-1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140"/>
          </w:cols>
          <w:pgMar w:left="320" w:top="1427" w:right="439" w:bottom="1440" w:gutter="0" w:footer="0" w:header="0"/>
        </w:sectPr>
      </w:pPr>
    </w:p>
    <w:bookmarkStart w:id="409" w:name="page410"/>
    <w:bookmarkEnd w:id="409"/>
    <w:p>
      <w:pPr>
        <w:spacing w:after="0" w:line="109"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Schedule I Credit Guidelines</w:t>
      </w:r>
    </w:p>
    <w:p>
      <w:pPr>
        <w:spacing w:after="0" w:line="173"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[On File with Servicer and Deal Agent]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Sch. I-1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40" w:right="1440" w:bottom="1440" w:gutter="0" w:footer="0" w:header="0"/>
        </w:sectPr>
      </w:pPr>
    </w:p>
    <w:bookmarkStart w:id="410" w:name="page411"/>
    <w:bookmarkEnd w:id="410"/>
    <w:p>
      <w:pPr>
        <w:ind w:left="5120"/>
        <w:spacing w:after="0"/>
        <w:rPr>
          <w:sz w:val="20"/>
          <w:szCs w:val="20"/>
          <w:color w:val="auto"/>
        </w:rPr>
      </w:pPr>
      <w:r>
        <w:rPr>
          <w:rFonts w:ascii="Arial" w:cs="Arial" w:eastAsia="Arial" w:hAnsi="Arial"/>
          <w:sz w:val="22"/>
          <w:szCs w:val="22"/>
          <w:color w:val="auto"/>
        </w:rPr>
        <w:t>Schedule II</w:t>
      </w:r>
    </w:p>
    <w:p>
      <w:pPr>
        <w:spacing w:after="0" w:line="328" w:lineRule="exact"/>
        <w:rPr>
          <w:sz w:val="20"/>
          <w:szCs w:val="20"/>
          <w:color w:val="auto"/>
        </w:rPr>
      </w:pPr>
    </w:p>
    <w:p>
      <w:pPr>
        <w:jc w:val="right"/>
        <w:ind w:right="2499"/>
        <w:spacing w:after="0"/>
        <w:rPr>
          <w:sz w:val="20"/>
          <w:szCs w:val="20"/>
          <w:color w:val="auto"/>
        </w:rPr>
      </w:pPr>
      <w:r>
        <w:rPr>
          <w:rFonts w:ascii="Arial" w:cs="Arial" w:eastAsia="Arial" w:hAnsi="Arial"/>
          <w:sz w:val="22"/>
          <w:szCs w:val="22"/>
          <w:color w:val="auto"/>
        </w:rPr>
        <w:t>Tradenames, Fictitious Names and “Doing Business As” Name</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Sch. II-1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27" w:right="1440" w:bottom="1440" w:gutter="0" w:footer="0" w:header="0"/>
        </w:sectPr>
      </w:pPr>
    </w:p>
    <w:bookmarkStart w:id="411" w:name="page412"/>
    <w:bookmarkEnd w:id="411"/>
    <w:p>
      <w:pPr>
        <w:ind w:left="5100"/>
        <w:spacing w:after="0"/>
        <w:rPr>
          <w:sz w:val="20"/>
          <w:szCs w:val="20"/>
          <w:color w:val="auto"/>
        </w:rPr>
      </w:pPr>
      <w:r>
        <w:rPr>
          <w:rFonts w:ascii="Arial" w:cs="Arial" w:eastAsia="Arial" w:hAnsi="Arial"/>
          <w:sz w:val="22"/>
          <w:szCs w:val="22"/>
          <w:color w:val="auto"/>
        </w:rPr>
        <w:t>Schedule III</w:t>
      </w:r>
    </w:p>
    <w:p>
      <w:pPr>
        <w:spacing w:after="0" w:line="382" w:lineRule="exact"/>
        <w:rPr>
          <w:sz w:val="20"/>
          <w:szCs w:val="20"/>
          <w:color w:val="auto"/>
        </w:rPr>
      </w:pPr>
    </w:p>
    <w:p>
      <w:pPr>
        <w:jc w:val="right"/>
        <w:ind w:right="1779"/>
        <w:spacing w:after="0"/>
        <w:rPr>
          <w:sz w:val="20"/>
          <w:szCs w:val="20"/>
          <w:color w:val="auto"/>
        </w:rPr>
      </w:pPr>
      <w:r>
        <w:rPr>
          <w:rFonts w:ascii="Arial" w:cs="Arial" w:eastAsia="Arial" w:hAnsi="Arial"/>
          <w:sz w:val="22"/>
          <w:szCs w:val="22"/>
          <w:color w:val="auto"/>
        </w:rPr>
        <w:t>Location of Records and Contract Files [Intentionally Omitted]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auto"/>
        </w:rPr>
        <w:t>Sch. III-1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27" w:right="1440" w:bottom="1440" w:gutter="0" w:footer="0" w:header="0"/>
        </w:sectPr>
      </w:pPr>
    </w:p>
    <w:bookmarkStart w:id="412" w:name="page413"/>
    <w:bookmarkEnd w:id="412"/>
    <w:p>
      <w:pPr>
        <w:jc w:val="center"/>
        <w:ind w:right="-1100"/>
        <w:spacing w:after="0"/>
        <w:rPr>
          <w:sz w:val="20"/>
          <w:szCs w:val="20"/>
          <w:color w:val="auto"/>
        </w:rPr>
      </w:pPr>
      <w:r>
        <w:rPr>
          <w:rFonts w:ascii="Arial" w:cs="Arial" w:eastAsia="Arial" w:hAnsi="Arial"/>
          <w:sz w:val="22"/>
          <w:szCs w:val="22"/>
          <w:color w:val="auto"/>
        </w:rPr>
        <w:t>Schedule IV</w:t>
      </w:r>
    </w:p>
    <w:p>
      <w:pPr>
        <w:spacing w:after="0" w:line="260"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List of Loans, Contracts, Dealer Agreements and Pools [Disc on File with Deal</w:t>
      </w:r>
    </w:p>
    <w:p>
      <w:pPr>
        <w:spacing w:after="0" w:line="5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Agent]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Sch. IV-1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27" w:right="1440" w:bottom="1440" w:gutter="0" w:footer="0" w:header="0"/>
        </w:sectPr>
      </w:pPr>
    </w:p>
    <w:bookmarkStart w:id="413" w:name="page414"/>
    <w:bookmarkEnd w:id="413"/>
    <w:p>
      <w:pPr>
        <w:spacing w:after="0" w:line="9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Schedule V Forecasted Collections</w:t>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Sch. V-1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40" w:right="1440" w:bottom="1440" w:gutter="0" w:footer="0" w:header="0"/>
        </w:sectPr>
      </w:pPr>
    </w:p>
    <w:bookmarkStart w:id="414" w:name="page415"/>
    <w:bookmarkEnd w:id="414"/>
    <w:p>
      <w:pPr>
        <w:jc w:val="right"/>
        <w:ind w:right="1359"/>
        <w:spacing w:after="0"/>
        <w:rPr>
          <w:sz w:val="20"/>
          <w:szCs w:val="20"/>
          <w:color w:val="auto"/>
        </w:rPr>
      </w:pPr>
      <w:r>
        <w:rPr>
          <w:rFonts w:ascii="Arial" w:cs="Arial" w:eastAsia="Arial" w:hAnsi="Arial"/>
          <w:sz w:val="22"/>
          <w:szCs w:val="22"/>
          <w:color w:val="auto"/>
        </w:rPr>
        <w:t>Schedule VI Commitment Amount of Each Lender</w:t>
      </w:r>
    </w:p>
    <w:p>
      <w:pPr>
        <w:spacing w:after="0" w:line="200" w:lineRule="exact"/>
        <w:rPr>
          <w:sz w:val="20"/>
          <w:szCs w:val="20"/>
          <w:color w:val="auto"/>
        </w:rPr>
      </w:pPr>
    </w:p>
    <w:p>
      <w:pPr>
        <w:spacing w:after="0" w:line="290" w:lineRule="exact"/>
        <w:rPr>
          <w:sz w:val="20"/>
          <w:szCs w:val="20"/>
          <w:color w:val="auto"/>
        </w:rPr>
      </w:pPr>
    </w:p>
    <w:p>
      <w:pPr>
        <w:ind w:left="700"/>
        <w:spacing w:after="0"/>
        <w:tabs>
          <w:tab w:leader="none" w:pos="1500" w:val="left"/>
        </w:tabs>
        <w:rPr>
          <w:sz w:val="20"/>
          <w:szCs w:val="20"/>
          <w:color w:val="auto"/>
        </w:rPr>
      </w:pPr>
      <w:r>
        <w:rPr>
          <w:rFonts w:ascii="Arial" w:cs="Arial" w:eastAsia="Arial" w:hAnsi="Arial"/>
          <w:sz w:val="22"/>
          <w:szCs w:val="22"/>
          <w:u w:val="single" w:color="auto"/>
          <w:color w:val="auto"/>
        </w:rPr>
        <w:t>Lender</w:t>
      </w:r>
      <w:r>
        <w:rPr>
          <w:sz w:val="20"/>
          <w:szCs w:val="20"/>
          <w:color w:val="auto"/>
        </w:rPr>
        <w:tab/>
      </w:r>
      <w:r>
        <w:rPr>
          <w:rFonts w:ascii="Arial" w:cs="Arial" w:eastAsia="Arial" w:hAnsi="Arial"/>
          <w:sz w:val="19"/>
          <w:szCs w:val="19"/>
          <w:u w:val="single" w:color="auto"/>
          <w:color w:val="auto"/>
        </w:rPr>
        <w:t>Commitment Amount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860" w:type="dxa"/>
            <w:vAlign w:val="bottom"/>
          </w:tcPr>
          <w:p>
            <w:pPr>
              <w:spacing w:after="0"/>
              <w:rPr>
                <w:sz w:val="20"/>
                <w:szCs w:val="20"/>
                <w:color w:val="auto"/>
              </w:rPr>
            </w:pPr>
            <w:r>
              <w:rPr>
                <w:rFonts w:ascii="Arial" w:cs="Arial" w:eastAsia="Arial" w:hAnsi="Arial"/>
                <w:sz w:val="22"/>
                <w:szCs w:val="22"/>
                <w:color w:val="auto"/>
              </w:rPr>
              <w:t>Wells Fargo Bank, National</w:t>
            </w:r>
          </w:p>
        </w:tc>
        <w:tc>
          <w:tcPr>
            <w:tcW w:w="1660" w:type="dxa"/>
            <w:vAlign w:val="bottom"/>
          </w:tcPr>
          <w:p>
            <w:pPr>
              <w:jc w:val="right"/>
              <w:spacing w:after="0"/>
              <w:rPr>
                <w:sz w:val="20"/>
                <w:szCs w:val="20"/>
                <w:color w:val="auto"/>
              </w:rPr>
            </w:pPr>
            <w:r>
              <w:rPr>
                <w:rFonts w:ascii="Arial" w:cs="Arial" w:eastAsia="Arial" w:hAnsi="Arial"/>
                <w:sz w:val="22"/>
                <w:szCs w:val="22"/>
                <w:color w:val="auto"/>
              </w:rPr>
              <w:t>$400,000,000</w:t>
            </w:r>
          </w:p>
        </w:tc>
      </w:tr>
    </w:tbl>
    <w:p>
      <w:pPr>
        <w:spacing w:after="0"/>
        <w:rPr>
          <w:sz w:val="20"/>
          <w:szCs w:val="20"/>
          <w:color w:val="auto"/>
        </w:rPr>
      </w:pPr>
      <w:r>
        <w:rPr>
          <w:rFonts w:ascii="Arial" w:cs="Arial" w:eastAsia="Arial" w:hAnsi="Arial"/>
          <w:sz w:val="22"/>
          <w:szCs w:val="22"/>
          <w:color w:val="auto"/>
        </w:rPr>
        <w:t>Association</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Sch. VI-1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0139"/>
          </w:cols>
          <w:pgMar w:left="320" w:top="1427" w:right="1440" w:bottom="1440" w:gutter="0" w:footer="0" w:header="0"/>
        </w:sectPr>
      </w:pPr>
    </w:p>
    <w:bookmarkStart w:id="415" w:name="page416"/>
    <w:bookmarkEnd w:id="415"/>
    <w:p>
      <w:pPr>
        <w:jc w:val="center"/>
        <w:ind w:right="-239"/>
        <w:spacing w:after="0"/>
        <w:rPr>
          <w:sz w:val="20"/>
          <w:szCs w:val="20"/>
          <w:color w:val="auto"/>
        </w:rPr>
      </w:pPr>
      <w:r>
        <w:rPr>
          <w:rFonts w:ascii="Arial" w:cs="Arial" w:eastAsia="Arial" w:hAnsi="Arial"/>
          <w:sz w:val="22"/>
          <w:szCs w:val="22"/>
          <w:color w:val="auto"/>
        </w:rPr>
        <w:t>Schedule VII</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Condition Precedent Documents Relating to Amendment and Restatement</w:t>
      </w:r>
    </w:p>
    <w:p>
      <w:pPr>
        <w:spacing w:after="0" w:line="200" w:lineRule="exact"/>
        <w:rPr>
          <w:sz w:val="20"/>
          <w:szCs w:val="20"/>
          <w:color w:val="auto"/>
        </w:rPr>
      </w:pPr>
    </w:p>
    <w:p>
      <w:pPr>
        <w:spacing w:after="0" w:line="332" w:lineRule="exact"/>
        <w:rPr>
          <w:sz w:val="20"/>
          <w:szCs w:val="20"/>
          <w:color w:val="auto"/>
        </w:rPr>
      </w:pPr>
    </w:p>
    <w:p>
      <w:pPr>
        <w:spacing w:after="0"/>
        <w:tabs>
          <w:tab w:leader="none" w:pos="280" w:val="left"/>
        </w:tabs>
        <w:rPr>
          <w:sz w:val="20"/>
          <w:szCs w:val="20"/>
          <w:color w:val="auto"/>
        </w:rPr>
      </w:pPr>
      <w:r>
        <w:rPr>
          <w:rFonts w:ascii="Arial" w:cs="Arial" w:eastAsia="Arial" w:hAnsi="Arial"/>
          <w:sz w:val="22"/>
          <w:szCs w:val="22"/>
          <w:b w:val="1"/>
          <w:bCs w:val="1"/>
          <w:color w:val="auto"/>
        </w:rPr>
        <w:t>I</w:t>
      </w:r>
      <w:r>
        <w:rPr>
          <w:sz w:val="20"/>
          <w:szCs w:val="20"/>
          <w:color w:val="auto"/>
        </w:rPr>
        <w:tab/>
      </w:r>
      <w:r>
        <w:rPr>
          <w:rFonts w:ascii="Arial" w:cs="Arial" w:eastAsia="Arial" w:hAnsi="Arial"/>
          <w:sz w:val="21"/>
          <w:szCs w:val="21"/>
          <w:b w:val="1"/>
          <w:bCs w:val="1"/>
          <w:color w:val="auto"/>
        </w:rPr>
        <w:t>TRANSACTION DOCUMENTS</w:t>
      </w:r>
    </w:p>
    <w:p>
      <w:pPr>
        <w:sectPr>
          <w:pgSz w:w="11900" w:h="16838" w:orient="portrait"/>
          <w:cols w:equalWidth="0" w:num="1">
            <w:col w:w="11020"/>
          </w:cols>
          <w:pgMar w:left="320" w:top="1427" w:right="559" w:bottom="1440" w:gutter="0" w:footer="0" w:header="0"/>
        </w:sectPr>
      </w:pPr>
    </w:p>
    <w:p>
      <w:pPr>
        <w:spacing w:after="0" w:line="247"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A.</w:t>
      </w:r>
      <w:r>
        <w:rPr>
          <w:sz w:val="20"/>
          <w:szCs w:val="20"/>
          <w:color w:val="auto"/>
        </w:rPr>
        <w:tab/>
      </w:r>
      <w:r>
        <w:rPr>
          <w:rFonts w:ascii="Arial" w:cs="Arial" w:eastAsia="Arial" w:hAnsi="Arial"/>
          <w:sz w:val="19"/>
          <w:szCs w:val="19"/>
          <w:b w:val="1"/>
          <w:bCs w:val="1"/>
          <w:color w:val="auto"/>
        </w:rPr>
        <w:t>Sixth Amended and Restated Loan and Security Agreement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Dechert</w:t>
      </w:r>
    </w:p>
    <w:p>
      <w:pPr>
        <w:spacing w:after="0" w:line="205" w:lineRule="exact"/>
        <w:rPr>
          <w:sz w:val="20"/>
          <w:szCs w:val="20"/>
          <w:color w:val="auto"/>
        </w:rPr>
      </w:pPr>
    </w:p>
    <w:p>
      <w:pPr>
        <w:sectPr>
          <w:pgSz w:w="11900" w:h="16838" w:orient="portrait"/>
          <w:cols w:equalWidth="0" w:num="2">
            <w:col w:w="5900" w:space="660"/>
            <w:col w:w="4460"/>
          </w:cols>
          <w:pgMar w:left="320" w:top="1427" w:right="559" w:bottom="1440" w:gutter="0" w:footer="0" w:header="0"/>
          <w:type w:val="continuous"/>
        </w:sectPr>
      </w:pPr>
    </w:p>
    <w:p>
      <w:pPr>
        <w:spacing w:after="0" w:line="70" w:lineRule="exact"/>
        <w:rPr>
          <w:sz w:val="20"/>
          <w:szCs w:val="20"/>
          <w:color w:val="auto"/>
        </w:rPr>
      </w:pPr>
    </w:p>
    <w:p>
      <w:pPr>
        <w:ind w:left="1300"/>
        <w:spacing w:after="0"/>
        <w:rPr>
          <w:sz w:val="20"/>
          <w:szCs w:val="20"/>
          <w:color w:val="auto"/>
        </w:rPr>
      </w:pPr>
      <w:r>
        <w:rPr>
          <w:rFonts w:ascii="Arial" w:cs="Arial" w:eastAsia="Arial" w:hAnsi="Arial"/>
          <w:sz w:val="19"/>
          <w:szCs w:val="19"/>
          <w:b w:val="1"/>
          <w:bCs w:val="1"/>
          <w:color w:val="auto"/>
        </w:rPr>
        <w:t>Exhibits to Loan and Security Agreement</w:t>
      </w:r>
    </w:p>
    <w:p>
      <w:pPr>
        <w:sectPr>
          <w:pgSz w:w="11900" w:h="16838" w:orient="portrait"/>
          <w:cols w:equalWidth="0" w:num="1">
            <w:col w:w="11020"/>
          </w:cols>
          <w:pgMar w:left="320" w:top="1427" w:right="559" w:bottom="1440" w:gutter="0" w:footer="0" w:header="0"/>
          <w:type w:val="continuous"/>
        </w:sectPr>
      </w:pPr>
    </w:p>
    <w:p>
      <w:pPr>
        <w:spacing w:after="0" w:line="368" w:lineRule="exact"/>
        <w:rPr>
          <w:sz w:val="20"/>
          <w:szCs w:val="20"/>
          <w:color w:val="auto"/>
        </w:rPr>
      </w:pPr>
    </w:p>
    <w:p>
      <w:pPr>
        <w:ind w:left="1500"/>
        <w:spacing w:after="0"/>
        <w:tabs>
          <w:tab w:leader="none" w:pos="4700" w:val="left"/>
        </w:tabs>
        <w:rPr>
          <w:sz w:val="20"/>
          <w:szCs w:val="20"/>
          <w:color w:val="auto"/>
        </w:rPr>
      </w:pPr>
      <w:r>
        <w:rPr>
          <w:rFonts w:ascii="Arial" w:cs="Arial" w:eastAsia="Arial" w:hAnsi="Arial"/>
          <w:sz w:val="22"/>
          <w:szCs w:val="22"/>
          <w:color w:val="auto"/>
        </w:rPr>
        <w:t>Exhibit A Form of Funding Notice</w:t>
      </w:r>
      <w:r>
        <w:rPr>
          <w:sz w:val="20"/>
          <w:szCs w:val="20"/>
          <w:color w:val="auto"/>
        </w:rPr>
        <w:tab/>
      </w:r>
      <w:r>
        <w:rPr>
          <w:rFonts w:ascii="Arial" w:cs="Arial" w:eastAsia="Arial" w:hAnsi="Arial"/>
          <w:sz w:val="19"/>
          <w:szCs w:val="19"/>
          <w:color w:val="auto"/>
        </w:rPr>
        <w:t>WFB</w:t>
      </w:r>
    </w:p>
    <w:p>
      <w:pPr>
        <w:spacing w:after="0" w:line="21" w:lineRule="exact"/>
        <w:rPr>
          <w:sz w:val="20"/>
          <w:szCs w:val="20"/>
          <w:color w:val="auto"/>
        </w:rPr>
      </w:pPr>
    </w:p>
    <w:p>
      <w:pPr>
        <w:ind w:left="1500"/>
        <w:spacing w:after="0"/>
        <w:tabs>
          <w:tab w:leader="none" w:pos="5800" w:val="left"/>
        </w:tabs>
        <w:rPr>
          <w:sz w:val="20"/>
          <w:szCs w:val="20"/>
          <w:color w:val="auto"/>
        </w:rPr>
      </w:pPr>
      <w:r>
        <w:rPr>
          <w:rFonts w:ascii="Arial" w:cs="Arial" w:eastAsia="Arial" w:hAnsi="Arial"/>
          <w:sz w:val="22"/>
          <w:szCs w:val="22"/>
          <w:color w:val="auto"/>
        </w:rPr>
        <w:t>Exhibit B Form of Assignment and Acceptance</w:t>
      </w:r>
      <w:r>
        <w:rPr>
          <w:sz w:val="20"/>
          <w:szCs w:val="20"/>
          <w:color w:val="auto"/>
        </w:rPr>
        <w:tab/>
      </w:r>
      <w:r>
        <w:rPr>
          <w:rFonts w:ascii="Arial" w:cs="Arial" w:eastAsia="Arial" w:hAnsi="Arial"/>
          <w:sz w:val="19"/>
          <w:szCs w:val="19"/>
          <w:color w:val="auto"/>
        </w:rPr>
        <w:t>Dechert</w:t>
      </w:r>
    </w:p>
    <w:p>
      <w:pPr>
        <w:spacing w:after="0" w:line="4" w:lineRule="exact"/>
        <w:rPr>
          <w:sz w:val="20"/>
          <w:szCs w:val="20"/>
          <w:color w:val="auto"/>
        </w:rPr>
      </w:pPr>
    </w:p>
    <w:p>
      <w:pPr>
        <w:ind w:left="1500"/>
        <w:spacing w:after="0"/>
        <w:tabs>
          <w:tab w:leader="none" w:pos="4940" w:val="left"/>
        </w:tabs>
        <w:rPr>
          <w:sz w:val="20"/>
          <w:szCs w:val="20"/>
          <w:color w:val="auto"/>
        </w:rPr>
      </w:pPr>
      <w:r>
        <w:rPr>
          <w:rFonts w:ascii="Arial" w:cs="Arial" w:eastAsia="Arial" w:hAnsi="Arial"/>
          <w:sz w:val="22"/>
          <w:szCs w:val="22"/>
          <w:color w:val="auto"/>
        </w:rPr>
        <w:t>Exhibit C Form of Monthly Report</w:t>
      </w:r>
      <w:r>
        <w:rPr>
          <w:sz w:val="20"/>
          <w:szCs w:val="20"/>
          <w:color w:val="auto"/>
        </w:rPr>
        <w:tab/>
      </w:r>
      <w:r>
        <w:rPr>
          <w:rFonts w:ascii="Arial" w:cs="Arial" w:eastAsia="Arial" w:hAnsi="Arial"/>
          <w:sz w:val="19"/>
          <w:szCs w:val="19"/>
          <w:color w:val="auto"/>
        </w:rPr>
        <w:t>WFB Exhibit D Form of Officer’s Certificate as to</w:t>
      </w:r>
    </w:p>
    <w:p>
      <w:pPr>
        <w:spacing w:after="0" w:line="4"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22"/>
          <w:szCs w:val="22"/>
          <w:color w:val="auto"/>
        </w:rPr>
        <w:t>Solvency</w:t>
      </w:r>
      <w:r>
        <w:rPr>
          <w:sz w:val="20"/>
          <w:szCs w:val="20"/>
          <w:color w:val="auto"/>
        </w:rPr>
        <w:tab/>
      </w:r>
      <w:r>
        <w:rPr>
          <w:rFonts w:ascii="Arial" w:cs="Arial" w:eastAsia="Arial" w:hAnsi="Arial"/>
          <w:sz w:val="19"/>
          <w:szCs w:val="19"/>
          <w:color w:val="auto"/>
        </w:rPr>
        <w:t>Borrower</w:t>
      </w:r>
    </w:p>
    <w:p>
      <w:pPr>
        <w:spacing w:after="0" w:line="4" w:lineRule="exact"/>
        <w:rPr>
          <w:sz w:val="20"/>
          <w:szCs w:val="20"/>
          <w:color w:val="auto"/>
        </w:rPr>
      </w:pPr>
    </w:p>
    <w:p>
      <w:pPr>
        <w:ind w:left="1500"/>
        <w:spacing w:after="0"/>
        <w:tabs>
          <w:tab w:leader="none" w:pos="4860" w:val="left"/>
        </w:tabs>
        <w:rPr>
          <w:sz w:val="20"/>
          <w:szCs w:val="20"/>
          <w:color w:val="auto"/>
        </w:rPr>
      </w:pPr>
      <w:r>
        <w:rPr>
          <w:rFonts w:ascii="Arial" w:cs="Arial" w:eastAsia="Arial" w:hAnsi="Arial"/>
          <w:sz w:val="22"/>
          <w:szCs w:val="22"/>
          <w:color w:val="auto"/>
        </w:rPr>
        <w:t>Exhibit E Form of Take-Out Release</w:t>
      </w:r>
      <w:r>
        <w:rPr>
          <w:sz w:val="20"/>
          <w:szCs w:val="20"/>
          <w:color w:val="auto"/>
        </w:rPr>
        <w:tab/>
      </w:r>
      <w:r>
        <w:rPr>
          <w:rFonts w:ascii="Arial" w:cs="Arial" w:eastAsia="Arial" w:hAnsi="Arial"/>
          <w:sz w:val="19"/>
          <w:szCs w:val="19"/>
          <w:color w:val="auto"/>
        </w:rPr>
        <w:t>Dechert</w:t>
      </w:r>
    </w:p>
    <w:p>
      <w:pPr>
        <w:spacing w:after="0" w:line="4" w:lineRule="exact"/>
        <w:rPr>
          <w:sz w:val="20"/>
          <w:szCs w:val="20"/>
          <w:color w:val="auto"/>
        </w:rPr>
      </w:pPr>
    </w:p>
    <w:p>
      <w:pPr>
        <w:ind w:left="1500"/>
        <w:spacing w:after="0"/>
        <w:tabs>
          <w:tab w:leader="none" w:pos="5440" w:val="left"/>
        </w:tabs>
        <w:rPr>
          <w:sz w:val="20"/>
          <w:szCs w:val="20"/>
          <w:color w:val="auto"/>
        </w:rPr>
      </w:pPr>
      <w:r>
        <w:rPr>
          <w:rFonts w:ascii="Arial" w:cs="Arial" w:eastAsia="Arial" w:hAnsi="Arial"/>
          <w:sz w:val="22"/>
          <w:szCs w:val="22"/>
          <w:color w:val="auto"/>
        </w:rPr>
        <w:t>Exhibit F Form of Contribution Agreement</w:t>
      </w:r>
      <w:r>
        <w:rPr>
          <w:sz w:val="20"/>
          <w:szCs w:val="20"/>
          <w:color w:val="auto"/>
        </w:rPr>
        <w:tab/>
      </w:r>
      <w:r>
        <w:rPr>
          <w:rFonts w:ascii="Arial" w:cs="Arial" w:eastAsia="Arial" w:hAnsi="Arial"/>
          <w:sz w:val="18"/>
          <w:szCs w:val="18"/>
          <w:color w:val="auto"/>
        </w:rPr>
        <w:t>Skadden</w:t>
      </w:r>
    </w:p>
    <w:p>
      <w:pPr>
        <w:spacing w:after="0" w:line="4" w:lineRule="exact"/>
        <w:rPr>
          <w:sz w:val="20"/>
          <w:szCs w:val="20"/>
          <w:color w:val="auto"/>
        </w:rPr>
      </w:pPr>
    </w:p>
    <w:p>
      <w:pPr>
        <w:ind w:left="1500"/>
        <w:spacing w:after="0"/>
        <w:tabs>
          <w:tab w:leader="none" w:pos="5540" w:val="left"/>
          <w:tab w:leader="none" w:pos="9740" w:val="left"/>
        </w:tabs>
        <w:rPr>
          <w:sz w:val="20"/>
          <w:szCs w:val="20"/>
          <w:color w:val="auto"/>
        </w:rPr>
      </w:pPr>
      <w:r>
        <w:rPr>
          <w:rFonts w:ascii="Arial" w:cs="Arial" w:eastAsia="Arial" w:hAnsi="Arial"/>
          <w:sz w:val="22"/>
          <w:szCs w:val="22"/>
          <w:color w:val="auto"/>
        </w:rPr>
        <w:t>Exhibit G Form of Variable Funding Note</w:t>
      </w:r>
      <w:r>
        <w:rPr>
          <w:sz w:val="20"/>
          <w:szCs w:val="20"/>
          <w:color w:val="auto"/>
        </w:rPr>
        <w:tab/>
      </w:r>
      <w:r>
        <w:rPr>
          <w:rFonts w:ascii="Arial" w:cs="Arial" w:eastAsia="Arial" w:hAnsi="Arial"/>
          <w:sz w:val="22"/>
          <w:szCs w:val="22"/>
          <w:color w:val="auto"/>
        </w:rPr>
        <w:t>Dechert Exhibit H Form of Dealer Agreement</w:t>
      </w:r>
      <w:r>
        <w:rPr>
          <w:sz w:val="20"/>
          <w:szCs w:val="20"/>
          <w:color w:val="auto"/>
        </w:rPr>
        <w:tab/>
      </w:r>
      <w:r>
        <w:rPr>
          <w:rFonts w:ascii="Arial" w:cs="Arial" w:eastAsia="Arial" w:hAnsi="Arial"/>
          <w:sz w:val="19"/>
          <w:szCs w:val="19"/>
          <w:color w:val="auto"/>
        </w:rPr>
        <w:t>Credit</w:t>
      </w:r>
    </w:p>
    <w:p>
      <w:pPr>
        <w:spacing w:after="0" w:line="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Acceptance</w:t>
      </w:r>
    </w:p>
    <w:p>
      <w:pPr>
        <w:spacing w:after="0" w:line="4" w:lineRule="exact"/>
        <w:rPr>
          <w:sz w:val="20"/>
          <w:szCs w:val="20"/>
          <w:color w:val="auto"/>
        </w:rPr>
      </w:pPr>
    </w:p>
    <w:p>
      <w:pPr>
        <w:ind w:left="1500"/>
        <w:spacing w:after="0"/>
        <w:tabs>
          <w:tab w:leader="none" w:pos="4100" w:val="left"/>
        </w:tabs>
        <w:rPr>
          <w:sz w:val="20"/>
          <w:szCs w:val="20"/>
          <w:color w:val="auto"/>
        </w:rPr>
      </w:pPr>
      <w:r>
        <w:rPr>
          <w:rFonts w:ascii="Arial" w:cs="Arial" w:eastAsia="Arial" w:hAnsi="Arial"/>
          <w:sz w:val="22"/>
          <w:szCs w:val="22"/>
          <w:color w:val="auto"/>
        </w:rPr>
        <w:t>Exhibit I Form of Contracts</w:t>
      </w:r>
      <w:r>
        <w:rPr>
          <w:sz w:val="20"/>
          <w:szCs w:val="20"/>
          <w:color w:val="auto"/>
        </w:rPr>
        <w:tab/>
      </w:r>
      <w:r>
        <w:rPr>
          <w:rFonts w:ascii="Arial" w:cs="Arial" w:eastAsia="Arial" w:hAnsi="Arial"/>
          <w:sz w:val="19"/>
          <w:szCs w:val="19"/>
          <w:color w:val="auto"/>
        </w:rPr>
        <w:t>Credit Acceptance Exhibit J Form of Backup Servicing Agreement</w:t>
      </w:r>
    </w:p>
    <w:p>
      <w:pPr>
        <w:spacing w:after="0" w:line="4" w:lineRule="exact"/>
        <w:rPr>
          <w:sz w:val="20"/>
          <w:szCs w:val="20"/>
          <w:color w:val="auto"/>
        </w:rPr>
      </w:pPr>
    </w:p>
    <w:p>
      <w:pPr>
        <w:ind w:left="1500"/>
        <w:spacing w:after="0"/>
        <w:tabs>
          <w:tab w:leader="none" w:pos="5160" w:val="left"/>
        </w:tabs>
        <w:rPr>
          <w:sz w:val="20"/>
          <w:szCs w:val="20"/>
          <w:color w:val="auto"/>
        </w:rPr>
      </w:pPr>
      <w:r>
        <w:rPr>
          <w:rFonts w:ascii="Arial" w:cs="Arial" w:eastAsia="Arial" w:hAnsi="Arial"/>
          <w:sz w:val="22"/>
          <w:szCs w:val="22"/>
          <w:color w:val="auto"/>
        </w:rPr>
        <w:t>Exhibit K Form of Purchase Agreement</w:t>
      </w:r>
      <w:r>
        <w:rPr>
          <w:sz w:val="20"/>
          <w:szCs w:val="20"/>
          <w:color w:val="auto"/>
        </w:rPr>
        <w:tab/>
      </w:r>
      <w:r>
        <w:rPr>
          <w:rFonts w:ascii="Arial" w:cs="Arial" w:eastAsia="Arial" w:hAnsi="Arial"/>
          <w:sz w:val="19"/>
          <w:szCs w:val="19"/>
          <w:color w:val="auto"/>
        </w:rPr>
        <w:t>Credit Acceptance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Dechert</w:t>
      </w:r>
    </w:p>
    <w:p>
      <w:pPr>
        <w:spacing w:after="0" w:line="508" w:lineRule="exact"/>
        <w:rPr>
          <w:sz w:val="20"/>
          <w:szCs w:val="20"/>
          <w:color w:val="auto"/>
        </w:rPr>
      </w:pPr>
    </w:p>
    <w:p>
      <w:pPr>
        <w:sectPr>
          <w:pgSz w:w="11900" w:h="16838" w:orient="portrait"/>
          <w:cols w:equalWidth="0" w:num="2">
            <w:col w:w="10300" w:space="40"/>
            <w:col w:w="680"/>
          </w:cols>
          <w:pgMar w:left="320" w:top="1427" w:right="559" w:bottom="1440" w:gutter="0" w:footer="0" w:header="0"/>
          <w:type w:val="continuous"/>
        </w:sectPr>
      </w:pPr>
    </w:p>
    <w:p>
      <w:pPr>
        <w:spacing w:after="0" w:line="23"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Schedules to Loan and Security Agreement</w:t>
      </w:r>
    </w:p>
    <w:p>
      <w:pPr>
        <w:spacing w:after="0" w:line="253" w:lineRule="exact"/>
        <w:rPr>
          <w:sz w:val="20"/>
          <w:szCs w:val="20"/>
          <w:color w:val="auto"/>
        </w:rPr>
      </w:pPr>
    </w:p>
    <w:p>
      <w:pPr>
        <w:ind w:left="1460"/>
        <w:spacing w:after="0"/>
        <w:tabs>
          <w:tab w:leader="none" w:pos="4160" w:val="left"/>
        </w:tabs>
        <w:rPr>
          <w:sz w:val="20"/>
          <w:szCs w:val="20"/>
          <w:color w:val="auto"/>
        </w:rPr>
      </w:pPr>
      <w:r>
        <w:rPr>
          <w:rFonts w:ascii="Arial" w:cs="Arial" w:eastAsia="Arial" w:hAnsi="Arial"/>
          <w:sz w:val="22"/>
          <w:szCs w:val="22"/>
          <w:color w:val="auto"/>
        </w:rPr>
        <w:t>Schedule I Credit Guidelines</w:t>
      </w:r>
      <w:r>
        <w:rPr>
          <w:sz w:val="20"/>
          <w:szCs w:val="20"/>
          <w:color w:val="auto"/>
        </w:rPr>
        <w:tab/>
      </w:r>
      <w:r>
        <w:rPr>
          <w:rFonts w:ascii="Arial" w:cs="Arial" w:eastAsia="Arial" w:hAnsi="Arial"/>
          <w:sz w:val="19"/>
          <w:szCs w:val="19"/>
          <w:color w:val="auto"/>
        </w:rPr>
        <w:t>Credit Acceptance</w:t>
      </w:r>
    </w:p>
    <w:p>
      <w:pPr>
        <w:spacing w:after="0" w:line="21" w:lineRule="exact"/>
        <w:rPr>
          <w:sz w:val="20"/>
          <w:szCs w:val="20"/>
          <w:color w:val="auto"/>
        </w:rPr>
      </w:pPr>
    </w:p>
    <w:p>
      <w:pPr>
        <w:ind w:left="1460"/>
        <w:spacing w:after="0"/>
        <w:tabs>
          <w:tab w:leader="none" w:pos="5760" w:val="left"/>
        </w:tabs>
        <w:rPr>
          <w:sz w:val="20"/>
          <w:szCs w:val="20"/>
          <w:color w:val="auto"/>
        </w:rPr>
      </w:pPr>
      <w:r>
        <w:rPr>
          <w:rFonts w:ascii="Arial" w:cs="Arial" w:eastAsia="Arial" w:hAnsi="Arial"/>
          <w:sz w:val="22"/>
          <w:szCs w:val="22"/>
          <w:color w:val="auto"/>
        </w:rPr>
        <w:t>Schedule II Tradenames, Fictitious Names and</w:t>
      </w:r>
      <w:r>
        <w:rPr>
          <w:sz w:val="20"/>
          <w:szCs w:val="20"/>
          <w:color w:val="auto"/>
        </w:rPr>
        <w:tab/>
      </w:r>
      <w:r>
        <w:rPr>
          <w:rFonts w:ascii="Arial" w:cs="Arial" w:eastAsia="Arial" w:hAnsi="Arial"/>
          <w:sz w:val="19"/>
          <w:szCs w:val="19"/>
          <w:color w:val="auto"/>
        </w:rPr>
        <w:t>Credit Acceptance</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“Doing Business As” Names</w:t>
      </w:r>
    </w:p>
    <w:p>
      <w:pPr>
        <w:spacing w:after="0" w:line="4" w:lineRule="exact"/>
        <w:rPr>
          <w:sz w:val="20"/>
          <w:szCs w:val="20"/>
          <w:color w:val="auto"/>
        </w:rPr>
      </w:pPr>
    </w:p>
    <w:p>
      <w:pPr>
        <w:ind w:left="1500"/>
        <w:spacing w:after="0"/>
        <w:tabs>
          <w:tab w:leader="none" w:pos="6220" w:val="left"/>
        </w:tabs>
        <w:rPr>
          <w:sz w:val="20"/>
          <w:szCs w:val="20"/>
          <w:color w:val="auto"/>
        </w:rPr>
      </w:pPr>
      <w:r>
        <w:rPr>
          <w:rFonts w:ascii="Arial" w:cs="Arial" w:eastAsia="Arial" w:hAnsi="Arial"/>
          <w:sz w:val="22"/>
          <w:szCs w:val="22"/>
          <w:color w:val="auto"/>
        </w:rPr>
        <w:t>Schedule III Location of Records and Contract Files</w:t>
      </w:r>
      <w:r>
        <w:rPr>
          <w:sz w:val="20"/>
          <w:szCs w:val="20"/>
          <w:color w:val="auto"/>
        </w:rPr>
        <w:tab/>
      </w:r>
      <w:r>
        <w:rPr>
          <w:rFonts w:ascii="Arial" w:cs="Arial" w:eastAsia="Arial" w:hAnsi="Arial"/>
          <w:sz w:val="19"/>
          <w:szCs w:val="19"/>
          <w:color w:val="auto"/>
        </w:rPr>
        <w:t>Credit Acceptance</w:t>
      </w:r>
    </w:p>
    <w:p>
      <w:pPr>
        <w:spacing w:after="0" w:line="4" w:lineRule="exact"/>
        <w:rPr>
          <w:sz w:val="20"/>
          <w:szCs w:val="20"/>
          <w:color w:val="auto"/>
        </w:rPr>
      </w:pPr>
    </w:p>
    <w:p>
      <w:pPr>
        <w:ind w:left="1460"/>
        <w:spacing w:after="0"/>
        <w:tabs>
          <w:tab w:leader="none" w:pos="6720" w:val="left"/>
        </w:tabs>
        <w:rPr>
          <w:sz w:val="20"/>
          <w:szCs w:val="20"/>
          <w:color w:val="auto"/>
        </w:rPr>
      </w:pPr>
      <w:r>
        <w:rPr>
          <w:rFonts w:ascii="Arial" w:cs="Arial" w:eastAsia="Arial" w:hAnsi="Arial"/>
          <w:sz w:val="22"/>
          <w:szCs w:val="22"/>
          <w:color w:val="auto"/>
        </w:rPr>
        <w:t>Schedule IV List of Loans, Contracts, Dealer Agreements</w:t>
      </w:r>
      <w:r>
        <w:rPr>
          <w:sz w:val="20"/>
          <w:szCs w:val="20"/>
          <w:color w:val="auto"/>
        </w:rPr>
        <w:tab/>
      </w:r>
      <w:r>
        <w:rPr>
          <w:rFonts w:ascii="Arial" w:cs="Arial" w:eastAsia="Arial" w:hAnsi="Arial"/>
          <w:sz w:val="19"/>
          <w:szCs w:val="19"/>
          <w:color w:val="auto"/>
        </w:rPr>
        <w:t>Credit Acceptance</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and Pools</w:t>
      </w:r>
    </w:p>
    <w:p>
      <w:pPr>
        <w:spacing w:after="0" w:line="4" w:lineRule="exact"/>
        <w:rPr>
          <w:sz w:val="20"/>
          <w:szCs w:val="20"/>
          <w:color w:val="auto"/>
        </w:rPr>
      </w:pPr>
    </w:p>
    <w:p>
      <w:pPr>
        <w:ind w:left="1500"/>
        <w:spacing w:after="0"/>
        <w:tabs>
          <w:tab w:leader="none" w:pos="4720" w:val="left"/>
        </w:tabs>
        <w:rPr>
          <w:sz w:val="20"/>
          <w:szCs w:val="20"/>
          <w:color w:val="auto"/>
        </w:rPr>
      </w:pPr>
      <w:r>
        <w:rPr>
          <w:rFonts w:ascii="Arial" w:cs="Arial" w:eastAsia="Arial" w:hAnsi="Arial"/>
          <w:sz w:val="22"/>
          <w:szCs w:val="22"/>
          <w:color w:val="auto"/>
        </w:rPr>
        <w:t>Schedule V Forecasted Collections</w:t>
      </w:r>
      <w:r>
        <w:rPr>
          <w:sz w:val="20"/>
          <w:szCs w:val="20"/>
          <w:color w:val="auto"/>
        </w:rPr>
        <w:tab/>
      </w:r>
      <w:r>
        <w:rPr>
          <w:rFonts w:ascii="Arial" w:cs="Arial" w:eastAsia="Arial" w:hAnsi="Arial"/>
          <w:sz w:val="19"/>
          <w:szCs w:val="19"/>
          <w:color w:val="auto"/>
        </w:rPr>
        <w:t>Credit Acceptance Schedule VI Commitment Amount of Each</w:t>
      </w:r>
    </w:p>
    <w:p>
      <w:pPr>
        <w:spacing w:after="0" w:line="4" w:lineRule="exact"/>
        <w:rPr>
          <w:sz w:val="20"/>
          <w:szCs w:val="20"/>
          <w:color w:val="auto"/>
        </w:rPr>
      </w:pPr>
    </w:p>
    <w:p>
      <w:pPr>
        <w:ind w:left="1500"/>
        <w:spacing w:after="0"/>
        <w:tabs>
          <w:tab w:leader="none" w:pos="2520" w:val="left"/>
        </w:tabs>
        <w:rPr>
          <w:sz w:val="20"/>
          <w:szCs w:val="20"/>
          <w:color w:val="auto"/>
        </w:rPr>
      </w:pPr>
      <w:r>
        <w:rPr>
          <w:rFonts w:ascii="Arial" w:cs="Arial" w:eastAsia="Arial" w:hAnsi="Arial"/>
          <w:sz w:val="22"/>
          <w:szCs w:val="22"/>
          <w:color w:val="auto"/>
        </w:rPr>
        <w:t>Lender</w:t>
      </w:r>
      <w:r>
        <w:rPr>
          <w:sz w:val="20"/>
          <w:szCs w:val="20"/>
          <w:color w:val="auto"/>
        </w:rPr>
        <w:tab/>
      </w:r>
      <w:r>
        <w:rPr>
          <w:rFonts w:ascii="Arial" w:cs="Arial" w:eastAsia="Arial" w:hAnsi="Arial"/>
          <w:sz w:val="22"/>
          <w:szCs w:val="22"/>
          <w:color w:val="auto"/>
        </w:rPr>
        <w:t>Dechert</w:t>
      </w:r>
    </w:p>
    <w:p>
      <w:pPr>
        <w:spacing w:after="0" w:line="4" w:lineRule="exact"/>
        <w:rPr>
          <w:sz w:val="20"/>
          <w:szCs w:val="20"/>
          <w:color w:val="auto"/>
        </w:rPr>
      </w:pPr>
    </w:p>
    <w:p>
      <w:pPr>
        <w:ind w:left="1500"/>
        <w:spacing w:after="0"/>
        <w:tabs>
          <w:tab w:leader="none" w:pos="6980" w:val="left"/>
        </w:tabs>
        <w:rPr>
          <w:sz w:val="20"/>
          <w:szCs w:val="20"/>
          <w:color w:val="auto"/>
        </w:rPr>
      </w:pPr>
      <w:r>
        <w:rPr>
          <w:rFonts w:ascii="Arial" w:cs="Arial" w:eastAsia="Arial" w:hAnsi="Arial"/>
          <w:sz w:val="22"/>
          <w:szCs w:val="22"/>
          <w:color w:val="auto"/>
        </w:rPr>
        <w:t>Schedule VII Condition Precedent Documents Relating to</w:t>
      </w:r>
      <w:r>
        <w:rPr>
          <w:sz w:val="20"/>
          <w:szCs w:val="20"/>
          <w:color w:val="auto"/>
        </w:rPr>
        <w:tab/>
      </w:r>
      <w:r>
        <w:rPr>
          <w:rFonts w:ascii="Arial" w:cs="Arial" w:eastAsia="Arial" w:hAnsi="Arial"/>
          <w:sz w:val="19"/>
          <w:szCs w:val="19"/>
          <w:color w:val="auto"/>
        </w:rPr>
        <w:t>Dechert</w:t>
      </w:r>
    </w:p>
    <w:p>
      <w:pPr>
        <w:spacing w:after="0" w:line="4"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Amendment and Restatement</w:t>
      </w:r>
    </w:p>
    <w:p>
      <w:pPr>
        <w:sectPr>
          <w:pgSz w:w="11900" w:h="16838" w:orient="portrait"/>
          <w:cols w:equalWidth="0" w:num="1">
            <w:col w:w="11020"/>
          </w:cols>
          <w:pgMar w:left="320" w:top="1427" w:right="559" w:bottom="1440" w:gutter="0" w:footer="0" w:header="0"/>
          <w:type w:val="continuous"/>
        </w:sectPr>
      </w:pPr>
    </w:p>
    <w:p>
      <w:pPr>
        <w:spacing w:after="0" w:line="236" w:lineRule="exact"/>
        <w:rPr>
          <w:sz w:val="20"/>
          <w:szCs w:val="20"/>
          <w:color w:val="auto"/>
        </w:rPr>
      </w:pPr>
    </w:p>
    <w:p>
      <w:pPr>
        <w:ind w:left="300" w:hanging="292"/>
        <w:spacing w:after="0"/>
        <w:tabs>
          <w:tab w:leader="none" w:pos="300" w:val="left"/>
        </w:tabs>
        <w:numPr>
          <w:ilvl w:val="0"/>
          <w:numId w:val="459"/>
        </w:numPr>
        <w:rPr>
          <w:rFonts w:ascii="Arial" w:cs="Arial" w:eastAsia="Arial" w:hAnsi="Arial"/>
          <w:sz w:val="22"/>
          <w:szCs w:val="22"/>
          <w:b w:val="1"/>
          <w:bCs w:val="1"/>
          <w:color w:val="auto"/>
        </w:rPr>
      </w:pPr>
      <w:r>
        <w:rPr>
          <w:rFonts w:ascii="Arial" w:cs="Arial" w:eastAsia="Arial" w:hAnsi="Arial"/>
          <w:sz w:val="22"/>
          <w:szCs w:val="22"/>
          <w:b w:val="1"/>
          <w:bCs w:val="1"/>
          <w:color w:val="auto"/>
        </w:rPr>
        <w:t>OPINIONS OF COUNSEL</w:t>
      </w:r>
    </w:p>
    <w:p>
      <w:pPr>
        <w:spacing w:after="0" w:line="27" w:lineRule="exact"/>
        <w:rPr>
          <w:sz w:val="20"/>
          <w:szCs w:val="20"/>
          <w:color w:val="auto"/>
        </w:rPr>
      </w:pPr>
    </w:p>
    <w:p>
      <w:pPr>
        <w:ind w:left="980"/>
        <w:spacing w:after="0"/>
        <w:tabs>
          <w:tab w:leader="none" w:pos="5680" w:val="left"/>
        </w:tabs>
        <w:rPr>
          <w:sz w:val="20"/>
          <w:szCs w:val="20"/>
          <w:color w:val="auto"/>
        </w:rPr>
      </w:pPr>
      <w:r>
        <w:rPr>
          <w:rFonts w:ascii="Arial" w:cs="Arial" w:eastAsia="Arial" w:hAnsi="Arial"/>
          <w:sz w:val="22"/>
          <w:szCs w:val="22"/>
          <w:color w:val="auto"/>
        </w:rPr>
        <w:t>A.  Opinion of Skadden as to certain corporate and</w:t>
      </w:r>
      <w:r>
        <w:rPr>
          <w:sz w:val="20"/>
          <w:szCs w:val="20"/>
          <w:color w:val="auto"/>
        </w:rPr>
        <w:tab/>
      </w:r>
      <w:r>
        <w:rPr>
          <w:rFonts w:ascii="Arial" w:cs="Arial" w:eastAsia="Arial" w:hAnsi="Arial"/>
          <w:sz w:val="18"/>
          <w:szCs w:val="18"/>
          <w:color w:val="auto"/>
        </w:rPr>
        <w:t>Skadden</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enforceability matters</w:t>
      </w:r>
    </w:p>
    <w:p>
      <w:pPr>
        <w:spacing w:after="0" w:line="67" w:lineRule="exact"/>
        <w:rPr>
          <w:sz w:val="20"/>
          <w:szCs w:val="20"/>
          <w:color w:val="auto"/>
        </w:rPr>
      </w:pPr>
    </w:p>
    <w:p>
      <w:pPr>
        <w:ind w:left="1960" w:right="4000" w:hanging="952"/>
        <w:spacing w:after="0"/>
        <w:rPr>
          <w:sz w:val="20"/>
          <w:szCs w:val="20"/>
          <w:color w:val="auto"/>
        </w:rPr>
      </w:pPr>
      <w:r>
        <w:rPr>
          <w:rFonts w:ascii="Arial" w:cs="Arial" w:eastAsia="Arial" w:hAnsi="Arial"/>
          <w:sz w:val="22"/>
          <w:szCs w:val="22"/>
          <w:color w:val="auto"/>
        </w:rPr>
        <w:t>B. Opinion of Skadden as to creation of security interest in</w:t>
      </w:r>
      <w:r>
        <w:rPr>
          <w:sz w:val="20"/>
          <w:szCs w:val="20"/>
          <w:color w:val="auto"/>
        </w:rPr>
        <w:t xml:space="preserve"> </w:t>
      </w:r>
      <w:r>
        <w:rPr>
          <w:rFonts w:ascii="Arial" w:cs="Arial" w:eastAsia="Arial" w:hAnsi="Arial"/>
          <w:sz w:val="22"/>
          <w:szCs w:val="22"/>
          <w:color w:val="auto"/>
        </w:rPr>
        <w:t xml:space="preserve">Sksdden </w:t>
      </w:r>
      <w:r>
        <w:rPr>
          <w:rFonts w:ascii="Arial" w:cs="Arial" w:eastAsia="Arial" w:hAnsi="Arial"/>
          <w:sz w:val="19"/>
          <w:szCs w:val="19"/>
          <w:color w:val="auto"/>
        </w:rPr>
        <w:t>the Collateral</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Sch. VII-1</w:t>
      </w:r>
    </w:p>
    <w:p>
      <w:pPr>
        <w:spacing w:after="0"/>
        <w:rPr>
          <w:sz w:val="20"/>
          <w:szCs w:val="20"/>
          <w:color w:val="auto"/>
        </w:rPr>
      </w:pPr>
      <w:r>
        <w:rPr>
          <w:rFonts w:ascii="Arial" w:cs="Arial" w:eastAsia="Arial" w:hAnsi="Arial"/>
          <w:sz w:val="14"/>
          <w:szCs w:val="14"/>
          <w:color w:val="FF0000"/>
          <w:strike w:val="1"/>
        </w:rPr>
        <w:t>27342200.2</w:t>
      </w:r>
      <w:r>
        <w:rPr>
          <w:rFonts w:ascii="Arial" w:cs="Arial" w:eastAsia="Arial" w:hAnsi="Arial"/>
          <w:sz w:val="14"/>
          <w:szCs w:val="14"/>
          <w:u w:val="single" w:color="auto"/>
          <w:color w:val="0000FF"/>
          <w:strike w:val="1"/>
        </w:rPr>
        <w:t>27342200.7</w:t>
      </w:r>
    </w:p>
    <w:p>
      <w:pPr>
        <w:sectPr>
          <w:pgSz w:w="11900" w:h="16838" w:orient="portrait"/>
          <w:cols w:equalWidth="0" w:num="1">
            <w:col w:w="11020"/>
          </w:cols>
          <w:pgMar w:left="320" w:top="1427" w:right="559" w:bottom="1440" w:gutter="0" w:footer="0" w:header="0"/>
          <w:type w:val="continuous"/>
        </w:sectPr>
      </w:pPr>
    </w:p>
    <w:bookmarkStart w:id="416" w:name="page417"/>
    <w:bookmarkEnd w:id="416"/>
    <w:tbl>
      <w:tblPr>
        <w:tblLayout w:type="fixed"/>
        <w:tblInd w:w="0" w:type="dxa"/>
        <w:tblCellMar>
          <w:top w:w="0" w:type="dxa"/>
          <w:left w:w="0" w:type="dxa"/>
          <w:bottom w:w="0" w:type="dxa"/>
          <w:right w:w="0" w:type="dxa"/>
        </w:tblCellMar>
      </w:tblPr>
      <w:tr>
        <w:trPr>
          <w:trHeight w:val="274"/>
        </w:trPr>
        <w:tc>
          <w:tcPr>
            <w:tcW w:w="3320" w:type="dxa"/>
            <w:vAlign w:val="bottom"/>
            <w:gridSpan w:val="2"/>
          </w:tcPr>
          <w:p>
            <w:pPr>
              <w:spacing w:after="0"/>
              <w:rPr>
                <w:sz w:val="20"/>
                <w:szCs w:val="20"/>
                <w:color w:val="auto"/>
              </w:rPr>
            </w:pPr>
            <w:r>
              <w:rPr>
                <w:rFonts w:ascii="Arial" w:cs="Arial" w:eastAsia="Arial" w:hAnsi="Arial"/>
                <w:sz w:val="22"/>
                <w:szCs w:val="22"/>
                <w:color w:val="auto"/>
              </w:rPr>
              <w:t>the Collateral</w:t>
            </w:r>
          </w:p>
        </w:tc>
        <w:tc>
          <w:tcPr>
            <w:tcW w:w="6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3"/>
        </w:trPr>
        <w:tc>
          <w:tcPr>
            <w:tcW w:w="800" w:type="dxa"/>
            <w:vAlign w:val="bottom"/>
          </w:tcPr>
          <w:p>
            <w:pPr>
              <w:ind w:left="420"/>
              <w:spacing w:after="0"/>
              <w:rPr>
                <w:sz w:val="20"/>
                <w:szCs w:val="20"/>
                <w:color w:val="auto"/>
              </w:rPr>
            </w:pPr>
            <w:r>
              <w:rPr>
                <w:rFonts w:ascii="Arial" w:cs="Arial" w:eastAsia="Arial" w:hAnsi="Arial"/>
                <w:sz w:val="22"/>
                <w:szCs w:val="22"/>
                <w:color w:val="auto"/>
              </w:rPr>
              <w:t>C.</w:t>
            </w:r>
          </w:p>
        </w:tc>
        <w:tc>
          <w:tcPr>
            <w:tcW w:w="5860" w:type="dxa"/>
            <w:vAlign w:val="bottom"/>
            <w:gridSpan w:val="3"/>
          </w:tcPr>
          <w:p>
            <w:pPr>
              <w:ind w:left="40"/>
              <w:spacing w:after="0"/>
              <w:rPr>
                <w:sz w:val="20"/>
                <w:szCs w:val="20"/>
                <w:color w:val="auto"/>
              </w:rPr>
            </w:pPr>
            <w:r>
              <w:rPr>
                <w:rFonts w:ascii="Arial" w:cs="Arial" w:eastAsia="Arial" w:hAnsi="Arial"/>
                <w:sz w:val="22"/>
                <w:szCs w:val="22"/>
                <w:color w:val="auto"/>
              </w:rPr>
              <w:t>Opinion of Skadden as to true sale matters  Skadden</w:t>
            </w:r>
          </w:p>
        </w:tc>
        <w:tc>
          <w:tcPr>
            <w:tcW w:w="0" w:type="dxa"/>
            <w:vAlign w:val="bottom"/>
          </w:tcPr>
          <w:p>
            <w:pPr>
              <w:spacing w:after="0"/>
              <w:rPr>
                <w:sz w:val="1"/>
                <w:szCs w:val="1"/>
                <w:color w:val="auto"/>
              </w:rPr>
            </w:pPr>
          </w:p>
        </w:tc>
      </w:tr>
      <w:tr>
        <w:trPr>
          <w:trHeight w:val="499"/>
        </w:trPr>
        <w:tc>
          <w:tcPr>
            <w:tcW w:w="800" w:type="dxa"/>
            <w:vAlign w:val="bottom"/>
          </w:tcPr>
          <w:p>
            <w:pPr>
              <w:ind w:left="420"/>
              <w:spacing w:after="0"/>
              <w:rPr>
                <w:sz w:val="20"/>
                <w:szCs w:val="20"/>
                <w:color w:val="auto"/>
              </w:rPr>
            </w:pPr>
            <w:r>
              <w:rPr>
                <w:rFonts w:ascii="Arial" w:cs="Arial" w:eastAsia="Arial" w:hAnsi="Arial"/>
                <w:sz w:val="22"/>
                <w:szCs w:val="22"/>
                <w:color w:val="auto"/>
              </w:rPr>
              <w:t>D.</w:t>
            </w:r>
          </w:p>
        </w:tc>
        <w:tc>
          <w:tcPr>
            <w:tcW w:w="5860" w:type="dxa"/>
            <w:vAlign w:val="bottom"/>
            <w:gridSpan w:val="3"/>
          </w:tcPr>
          <w:p>
            <w:pPr>
              <w:ind w:left="40"/>
              <w:spacing w:after="0"/>
              <w:rPr>
                <w:sz w:val="20"/>
                <w:szCs w:val="20"/>
                <w:color w:val="auto"/>
              </w:rPr>
            </w:pPr>
            <w:r>
              <w:rPr>
                <w:rFonts w:ascii="Arial" w:cs="Arial" w:eastAsia="Arial" w:hAnsi="Arial"/>
                <w:sz w:val="22"/>
                <w:szCs w:val="22"/>
                <w:color w:val="auto"/>
                <w:w w:val="90"/>
              </w:rPr>
              <w:t>Opinion of Skadden covering non-consolidation matters  Skadden</w:t>
            </w:r>
          </w:p>
        </w:tc>
        <w:tc>
          <w:tcPr>
            <w:tcW w:w="0" w:type="dxa"/>
            <w:vAlign w:val="bottom"/>
          </w:tcPr>
          <w:p>
            <w:pPr>
              <w:spacing w:after="0"/>
              <w:rPr>
                <w:sz w:val="1"/>
                <w:szCs w:val="1"/>
                <w:color w:val="auto"/>
              </w:rPr>
            </w:pPr>
          </w:p>
        </w:tc>
      </w:tr>
      <w:tr>
        <w:trPr>
          <w:trHeight w:val="482"/>
        </w:trPr>
        <w:tc>
          <w:tcPr>
            <w:tcW w:w="3320" w:type="dxa"/>
            <w:vAlign w:val="bottom"/>
            <w:gridSpan w:val="2"/>
          </w:tcPr>
          <w:p>
            <w:pPr>
              <w:spacing w:after="0"/>
              <w:rPr>
                <w:sz w:val="20"/>
                <w:szCs w:val="20"/>
                <w:color w:val="auto"/>
              </w:rPr>
            </w:pPr>
            <w:r>
              <w:rPr>
                <w:rFonts w:ascii="Arial" w:cs="Arial" w:eastAsia="Arial" w:hAnsi="Arial"/>
                <w:sz w:val="22"/>
                <w:szCs w:val="22"/>
                <w:b w:val="1"/>
                <w:bCs w:val="1"/>
                <w:color w:val="auto"/>
              </w:rPr>
              <w:t>III. ADDITIONAL DOCUMENTS</w:t>
            </w:r>
          </w:p>
        </w:tc>
        <w:tc>
          <w:tcPr>
            <w:tcW w:w="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00" w:type="dxa"/>
            <w:vAlign w:val="bottom"/>
          </w:tcPr>
          <w:p>
            <w:pPr>
              <w:ind w:left="440"/>
              <w:spacing w:after="0"/>
              <w:rPr>
                <w:sz w:val="20"/>
                <w:szCs w:val="20"/>
                <w:color w:val="auto"/>
              </w:rPr>
            </w:pPr>
            <w:r>
              <w:rPr>
                <w:rFonts w:ascii="Arial" w:cs="Arial" w:eastAsia="Arial" w:hAnsi="Arial"/>
                <w:sz w:val="22"/>
                <w:szCs w:val="22"/>
                <w:color w:val="auto"/>
              </w:rPr>
              <w:t>A.</w:t>
            </w:r>
          </w:p>
        </w:tc>
        <w:tc>
          <w:tcPr>
            <w:tcW w:w="3160" w:type="dxa"/>
            <w:vAlign w:val="bottom"/>
            <w:gridSpan w:val="2"/>
          </w:tcPr>
          <w:p>
            <w:pPr>
              <w:ind w:left="100"/>
              <w:spacing w:after="0"/>
              <w:rPr>
                <w:sz w:val="20"/>
                <w:szCs w:val="20"/>
                <w:color w:val="auto"/>
              </w:rPr>
            </w:pPr>
            <w:r>
              <w:rPr>
                <w:rFonts w:ascii="Arial" w:cs="Arial" w:eastAsia="Arial" w:hAnsi="Arial"/>
                <w:sz w:val="22"/>
                <w:szCs w:val="22"/>
                <w:color w:val="auto"/>
                <w:w w:val="96"/>
              </w:rPr>
              <w:t>Amended &amp; Restated Fee Letter</w:t>
            </w:r>
          </w:p>
        </w:tc>
        <w:tc>
          <w:tcPr>
            <w:tcW w:w="2700" w:type="dxa"/>
            <w:vAlign w:val="bottom"/>
          </w:tcPr>
          <w:p>
            <w:pPr>
              <w:ind w:left="20"/>
              <w:spacing w:after="0"/>
              <w:rPr>
                <w:sz w:val="20"/>
                <w:szCs w:val="20"/>
                <w:color w:val="auto"/>
              </w:rPr>
            </w:pPr>
            <w:r>
              <w:rPr>
                <w:rFonts w:ascii="Arial" w:cs="Arial" w:eastAsia="Arial" w:hAnsi="Arial"/>
                <w:sz w:val="22"/>
                <w:szCs w:val="22"/>
                <w:color w:val="auto"/>
              </w:rPr>
              <w:t>Dechert</w:t>
            </w:r>
          </w:p>
        </w:tc>
        <w:tc>
          <w:tcPr>
            <w:tcW w:w="0" w:type="dxa"/>
            <w:vAlign w:val="bottom"/>
          </w:tcPr>
          <w:p>
            <w:pPr>
              <w:spacing w:after="0"/>
              <w:rPr>
                <w:sz w:val="1"/>
                <w:szCs w:val="1"/>
                <w:color w:val="auto"/>
              </w:rPr>
            </w:pPr>
          </w:p>
        </w:tc>
      </w:tr>
      <w:tr>
        <w:trPr>
          <w:trHeight w:val="482"/>
        </w:trPr>
        <w:tc>
          <w:tcPr>
            <w:tcW w:w="800" w:type="dxa"/>
            <w:vAlign w:val="bottom"/>
          </w:tcPr>
          <w:p>
            <w:pPr>
              <w:ind w:left="20"/>
              <w:spacing w:after="0"/>
              <w:rPr>
                <w:sz w:val="20"/>
                <w:szCs w:val="20"/>
                <w:color w:val="auto"/>
              </w:rPr>
            </w:pPr>
            <w:r>
              <w:rPr>
                <w:rFonts w:ascii="Arial" w:cs="Arial" w:eastAsia="Arial" w:hAnsi="Arial"/>
                <w:sz w:val="22"/>
                <w:szCs w:val="22"/>
                <w:color w:val="auto"/>
              </w:rPr>
              <w:t>Key:</w:t>
            </w:r>
          </w:p>
        </w:tc>
        <w:tc>
          <w:tcPr>
            <w:tcW w:w="2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60" w:type="dxa"/>
            <w:vAlign w:val="bottom"/>
            <w:gridSpan w:val="3"/>
          </w:tcPr>
          <w:p>
            <w:pPr>
              <w:spacing w:after="0"/>
              <w:rPr>
                <w:sz w:val="20"/>
                <w:szCs w:val="20"/>
                <w:color w:val="auto"/>
              </w:rPr>
            </w:pPr>
            <w:r>
              <w:rPr>
                <w:rFonts w:ascii="Arial" w:cs="Arial" w:eastAsia="Arial" w:hAnsi="Arial"/>
                <w:sz w:val="22"/>
                <w:szCs w:val="22"/>
                <w:color w:val="auto"/>
              </w:rPr>
              <w:t>Wells Fargo Bank, National Association</w:t>
            </w:r>
          </w:p>
        </w:tc>
        <w:tc>
          <w:tcPr>
            <w:tcW w:w="2700" w:type="dxa"/>
            <w:vAlign w:val="bottom"/>
          </w:tcPr>
          <w:p>
            <w:pPr>
              <w:spacing w:after="0"/>
              <w:rPr>
                <w:sz w:val="20"/>
                <w:szCs w:val="20"/>
                <w:color w:val="auto"/>
              </w:rPr>
            </w:pPr>
            <w:r>
              <w:rPr>
                <w:rFonts w:ascii="Arial" w:cs="Arial" w:eastAsia="Arial" w:hAnsi="Arial"/>
                <w:sz w:val="22"/>
                <w:szCs w:val="22"/>
                <w:color w:val="auto"/>
                <w:w w:val="99"/>
              </w:rPr>
              <w:t>WFB, the Deal Agent or the</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700" w:type="dxa"/>
            <w:vAlign w:val="bottom"/>
          </w:tcPr>
          <w:p>
            <w:pPr>
              <w:ind w:left="580"/>
              <w:spacing w:after="0"/>
              <w:rPr>
                <w:sz w:val="20"/>
                <w:szCs w:val="20"/>
                <w:color w:val="auto"/>
              </w:rPr>
            </w:pPr>
            <w:r>
              <w:rPr>
                <w:rFonts w:ascii="Arial" w:cs="Arial" w:eastAsia="Arial" w:hAnsi="Arial"/>
                <w:sz w:val="22"/>
                <w:szCs w:val="22"/>
                <w:color w:val="auto"/>
              </w:rPr>
              <w:t>Collateral Agent</w:t>
            </w:r>
          </w:p>
        </w:tc>
        <w:tc>
          <w:tcPr>
            <w:tcW w:w="0" w:type="dxa"/>
            <w:vAlign w:val="bottom"/>
          </w:tcPr>
          <w:p>
            <w:pPr>
              <w:spacing w:after="0"/>
              <w:rPr>
                <w:sz w:val="1"/>
                <w:szCs w:val="1"/>
                <w:color w:val="auto"/>
              </w:rPr>
            </w:pPr>
          </w:p>
        </w:tc>
      </w:tr>
      <w:tr>
        <w:trPr>
          <w:trHeight w:val="257"/>
        </w:trPr>
        <w:tc>
          <w:tcPr>
            <w:tcW w:w="3320" w:type="dxa"/>
            <w:vAlign w:val="bottom"/>
            <w:gridSpan w:val="2"/>
          </w:tcPr>
          <w:p>
            <w:pPr>
              <w:spacing w:after="0"/>
              <w:rPr>
                <w:sz w:val="20"/>
                <w:szCs w:val="20"/>
                <w:color w:val="auto"/>
              </w:rPr>
            </w:pPr>
            <w:r>
              <w:rPr>
                <w:rFonts w:ascii="Arial" w:cs="Arial" w:eastAsia="Arial" w:hAnsi="Arial"/>
                <w:sz w:val="22"/>
                <w:szCs w:val="22"/>
                <w:color w:val="auto"/>
              </w:rPr>
              <w:t>Credit Acceptance Corporation</w:t>
            </w:r>
          </w:p>
        </w:tc>
        <w:tc>
          <w:tcPr>
            <w:tcW w:w="3340" w:type="dxa"/>
            <w:vAlign w:val="bottom"/>
            <w:gridSpan w:val="2"/>
          </w:tcPr>
          <w:p>
            <w:pPr>
              <w:ind w:left="80"/>
              <w:spacing w:after="0"/>
              <w:rPr>
                <w:sz w:val="20"/>
                <w:szCs w:val="20"/>
                <w:color w:val="auto"/>
              </w:rPr>
            </w:pPr>
            <w:r>
              <w:rPr>
                <w:rFonts w:ascii="Arial" w:cs="Arial" w:eastAsia="Arial" w:hAnsi="Arial"/>
                <w:sz w:val="22"/>
                <w:szCs w:val="22"/>
                <w:color w:val="auto"/>
              </w:rPr>
              <w:t>Credit Acceptance</w:t>
            </w:r>
          </w:p>
        </w:tc>
        <w:tc>
          <w:tcPr>
            <w:tcW w:w="0" w:type="dxa"/>
            <w:vAlign w:val="bottom"/>
          </w:tcPr>
          <w:p>
            <w:pPr>
              <w:spacing w:after="0"/>
              <w:rPr>
                <w:sz w:val="1"/>
                <w:szCs w:val="1"/>
                <w:color w:val="auto"/>
              </w:rPr>
            </w:pPr>
          </w:p>
        </w:tc>
      </w:tr>
      <w:tr>
        <w:trPr>
          <w:trHeight w:val="256"/>
        </w:trPr>
        <w:tc>
          <w:tcPr>
            <w:tcW w:w="3960" w:type="dxa"/>
            <w:vAlign w:val="bottom"/>
            <w:gridSpan w:val="3"/>
          </w:tcPr>
          <w:p>
            <w:pPr>
              <w:spacing w:after="0"/>
              <w:rPr>
                <w:sz w:val="20"/>
                <w:szCs w:val="20"/>
                <w:color w:val="auto"/>
              </w:rPr>
            </w:pPr>
            <w:r>
              <w:rPr>
                <w:rFonts w:ascii="Arial" w:cs="Arial" w:eastAsia="Arial" w:hAnsi="Arial"/>
                <w:sz w:val="22"/>
                <w:szCs w:val="22"/>
                <w:color w:val="auto"/>
              </w:rPr>
              <w:t>CAC Warehouse Funding Corporation II</w:t>
            </w:r>
          </w:p>
        </w:tc>
        <w:tc>
          <w:tcPr>
            <w:tcW w:w="2700" w:type="dxa"/>
            <w:vAlign w:val="bottom"/>
          </w:tcPr>
          <w:p>
            <w:pPr>
              <w:ind w:left="60"/>
              <w:spacing w:after="0"/>
              <w:rPr>
                <w:sz w:val="20"/>
                <w:szCs w:val="20"/>
                <w:color w:val="auto"/>
              </w:rPr>
            </w:pPr>
            <w:r>
              <w:rPr>
                <w:rFonts w:ascii="Arial" w:cs="Arial" w:eastAsia="Arial" w:hAnsi="Arial"/>
                <w:sz w:val="22"/>
                <w:szCs w:val="22"/>
                <w:color w:val="auto"/>
              </w:rPr>
              <w:t>Borrower</w:t>
            </w:r>
          </w:p>
        </w:tc>
        <w:tc>
          <w:tcPr>
            <w:tcW w:w="0" w:type="dxa"/>
            <w:vAlign w:val="bottom"/>
          </w:tcPr>
          <w:p>
            <w:pPr>
              <w:spacing w:after="0"/>
              <w:rPr>
                <w:sz w:val="1"/>
                <w:szCs w:val="1"/>
                <w:color w:val="auto"/>
              </w:rPr>
            </w:pPr>
          </w:p>
        </w:tc>
      </w:tr>
      <w:tr>
        <w:trPr>
          <w:trHeight w:val="257"/>
        </w:trPr>
        <w:tc>
          <w:tcPr>
            <w:tcW w:w="800" w:type="dxa"/>
            <w:vAlign w:val="bottom"/>
          </w:tcPr>
          <w:p>
            <w:pPr>
              <w:spacing w:after="0"/>
              <w:rPr>
                <w:sz w:val="20"/>
                <w:szCs w:val="20"/>
                <w:color w:val="auto"/>
              </w:rPr>
            </w:pPr>
            <w:r>
              <w:rPr>
                <w:rFonts w:ascii="Arial" w:cs="Arial" w:eastAsia="Arial" w:hAnsi="Arial"/>
                <w:sz w:val="22"/>
                <w:szCs w:val="22"/>
                <w:color w:val="auto"/>
              </w:rPr>
              <w:t>Dechert</w:t>
            </w:r>
          </w:p>
        </w:tc>
        <w:tc>
          <w:tcPr>
            <w:tcW w:w="2520" w:type="dxa"/>
            <w:vAlign w:val="bottom"/>
          </w:tcPr>
          <w:p>
            <w:pPr>
              <w:ind w:left="1240"/>
              <w:spacing w:after="0"/>
              <w:rPr>
                <w:sz w:val="20"/>
                <w:szCs w:val="20"/>
                <w:color w:val="auto"/>
              </w:rPr>
            </w:pPr>
            <w:r>
              <w:rPr>
                <w:rFonts w:ascii="Arial" w:cs="Arial" w:eastAsia="Arial" w:hAnsi="Arial"/>
                <w:sz w:val="22"/>
                <w:szCs w:val="22"/>
                <w:color w:val="auto"/>
              </w:rPr>
              <w:t>Dechert</w:t>
            </w:r>
          </w:p>
        </w:tc>
        <w:tc>
          <w:tcPr>
            <w:tcW w:w="6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w w:val="89"/>
              </w:rPr>
              <w:t>Skadden</w:t>
            </w:r>
          </w:p>
        </w:tc>
        <w:tc>
          <w:tcPr>
            <w:tcW w:w="3160" w:type="dxa"/>
            <w:vAlign w:val="bottom"/>
            <w:gridSpan w:val="2"/>
          </w:tcPr>
          <w:p>
            <w:pPr>
              <w:ind w:left="1300"/>
              <w:spacing w:after="0"/>
              <w:rPr>
                <w:sz w:val="20"/>
                <w:szCs w:val="20"/>
                <w:color w:val="auto"/>
              </w:rPr>
            </w:pPr>
            <w:r>
              <w:rPr>
                <w:rFonts w:ascii="Arial" w:cs="Arial" w:eastAsia="Arial" w:hAnsi="Arial"/>
                <w:sz w:val="22"/>
                <w:szCs w:val="22"/>
                <w:color w:val="auto"/>
                <w:w w:val="86"/>
              </w:rPr>
              <w:t>Skadden, Arps, Slate,</w:t>
            </w:r>
          </w:p>
        </w:tc>
        <w:tc>
          <w:tcPr>
            <w:tcW w:w="2700" w:type="dxa"/>
            <w:vAlign w:val="bottom"/>
            <w:vMerge w:val="restart"/>
          </w:tcPr>
          <w:p>
            <w:pPr>
              <w:ind w:left="580"/>
              <w:spacing w:after="0"/>
              <w:rPr>
                <w:sz w:val="20"/>
                <w:szCs w:val="20"/>
                <w:color w:val="auto"/>
              </w:rPr>
            </w:pPr>
            <w:r>
              <w:rPr>
                <w:rFonts w:ascii="Arial" w:cs="Arial" w:eastAsia="Arial" w:hAnsi="Arial"/>
                <w:sz w:val="22"/>
                <w:szCs w:val="22"/>
                <w:color w:val="auto"/>
              </w:rPr>
              <w:t>Meagher &amp; Flom LLP</w:t>
            </w: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22"/>
                <w:szCs w:val="22"/>
                <w:color w:val="auto"/>
                <w:w w:val="96"/>
              </w:rPr>
              <w:t>Dykema</w:t>
            </w:r>
          </w:p>
        </w:tc>
        <w:tc>
          <w:tcPr>
            <w:tcW w:w="5860" w:type="dxa"/>
            <w:vAlign w:val="bottom"/>
            <w:gridSpan w:val="3"/>
          </w:tcPr>
          <w:p>
            <w:pPr>
              <w:ind w:left="1280"/>
              <w:spacing w:after="0"/>
              <w:rPr>
                <w:sz w:val="20"/>
                <w:szCs w:val="20"/>
                <w:color w:val="auto"/>
              </w:rPr>
            </w:pPr>
            <w:r>
              <w:rPr>
                <w:rFonts w:ascii="Arial" w:cs="Arial" w:eastAsia="Arial" w:hAnsi="Arial"/>
                <w:sz w:val="22"/>
                <w:szCs w:val="22"/>
                <w:color w:val="auto"/>
              </w:rPr>
              <w:t>Dykema Gossett PLLC</w:t>
            </w:r>
          </w:p>
        </w:tc>
        <w:tc>
          <w:tcPr>
            <w:tcW w:w="0" w:type="dxa"/>
            <w:vAlign w:val="bottom"/>
          </w:tcPr>
          <w:p>
            <w:pPr>
              <w:spacing w:after="0"/>
              <w:rPr>
                <w:sz w:val="1"/>
                <w:szCs w:val="1"/>
                <w:color w:val="auto"/>
              </w:rPr>
            </w:pPr>
          </w:p>
        </w:tc>
      </w:tr>
      <w:tr>
        <w:trPr>
          <w:trHeight w:val="257"/>
        </w:trPr>
        <w:tc>
          <w:tcPr>
            <w:tcW w:w="3960" w:type="dxa"/>
            <w:vAlign w:val="bottom"/>
            <w:gridSpan w:val="3"/>
          </w:tcPr>
          <w:p>
            <w:pPr>
              <w:spacing w:after="0"/>
              <w:rPr>
                <w:sz w:val="20"/>
                <w:szCs w:val="20"/>
                <w:color w:val="auto"/>
              </w:rPr>
            </w:pPr>
            <w:r>
              <w:rPr>
                <w:rFonts w:ascii="Arial" w:cs="Arial" w:eastAsia="Arial" w:hAnsi="Arial"/>
                <w:sz w:val="22"/>
                <w:szCs w:val="22"/>
                <w:color w:val="auto"/>
              </w:rPr>
              <w:t>Wells Fargo Bank, National Association</w:t>
            </w:r>
          </w:p>
        </w:tc>
        <w:tc>
          <w:tcPr>
            <w:tcW w:w="2700" w:type="dxa"/>
            <w:vAlign w:val="bottom"/>
          </w:tcPr>
          <w:p>
            <w:pPr>
              <w:ind w:left="20"/>
              <w:spacing w:after="0"/>
              <w:rPr>
                <w:sz w:val="20"/>
                <w:szCs w:val="20"/>
                <w:color w:val="auto"/>
              </w:rPr>
            </w:pPr>
            <w:r>
              <w:rPr>
                <w:rFonts w:ascii="Arial" w:cs="Arial" w:eastAsia="Arial" w:hAnsi="Arial"/>
                <w:sz w:val="22"/>
                <w:szCs w:val="22"/>
                <w:color w:val="auto"/>
              </w:rPr>
              <w:t>Backup Servicer or</w:t>
            </w:r>
          </w:p>
        </w:tc>
        <w:tc>
          <w:tcPr>
            <w:tcW w:w="0" w:type="dxa"/>
            <w:vAlign w:val="bottom"/>
          </w:tcPr>
          <w:p>
            <w:pPr>
              <w:spacing w:after="0"/>
              <w:rPr>
                <w:sz w:val="1"/>
                <w:szCs w:val="1"/>
                <w:color w:val="auto"/>
              </w:rPr>
            </w:pPr>
          </w:p>
        </w:tc>
      </w:tr>
      <w:tr>
        <w:trPr>
          <w:trHeight w:val="274"/>
        </w:trPr>
        <w:tc>
          <w:tcPr>
            <w:tcW w:w="8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00" w:type="dxa"/>
            <w:vAlign w:val="bottom"/>
          </w:tcPr>
          <w:p>
            <w:pPr>
              <w:ind w:left="580"/>
              <w:spacing w:after="0"/>
              <w:rPr>
                <w:sz w:val="20"/>
                <w:szCs w:val="20"/>
                <w:color w:val="auto"/>
              </w:rPr>
            </w:pPr>
            <w:r>
              <w:rPr>
                <w:rFonts w:ascii="Arial" w:cs="Arial" w:eastAsia="Arial" w:hAnsi="Arial"/>
                <w:sz w:val="22"/>
                <w:szCs w:val="22"/>
                <w:color w:val="auto"/>
              </w:rPr>
              <w:t>Collateral Agent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Arial" w:cs="Arial" w:eastAsia="Arial" w:hAnsi="Arial"/>
          <w:sz w:val="19"/>
          <w:szCs w:val="19"/>
          <w:color w:val="auto"/>
        </w:rPr>
        <w:t>Sch. VII-2</w:t>
      </w:r>
    </w:p>
    <w:p>
      <w:pPr>
        <w:sectPr>
          <w:pgSz w:w="11900" w:h="16838" w:orient="portrait"/>
          <w:cols w:equalWidth="0" w:num="1">
            <w:col w:w="10139"/>
          </w:cols>
          <w:pgMar w:left="320" w:top="1427" w:right="1440" w:bottom="1440" w:gutter="0" w:footer="0" w:header="0"/>
          <w:type w:val="continuous"/>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t>Credit Acceptance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January 29, 2021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Treasury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CREDIT ACCEPTANCE ANNOUNCES COMPLETION OF $100.0 MILLION ASSET-BACKED FINANCING AND EXTENSION OF $300.0 MILLION REVOLVING SECURED WAREHOUSE FACILITY</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Southfield, Michigan – January 29, 2021 </w:t>
      </w:r>
      <w:r>
        <w:rPr>
          <w:rFonts w:ascii="Arial" w:cs="Arial" w:eastAsia="Arial" w:hAnsi="Arial"/>
          <w:sz w:val="18"/>
          <w:szCs w:val="18"/>
          <w:color w:val="auto"/>
        </w:rPr>
        <w:t>–</w:t>
      </w:r>
      <w:r>
        <w:rPr>
          <w:rFonts w:ascii="Arial" w:cs="Arial" w:eastAsia="Arial" w:hAnsi="Arial"/>
          <w:sz w:val="18"/>
          <w:szCs w:val="18"/>
          <w:b w:val="1"/>
          <w:bCs w:val="1"/>
          <w:color w:val="auto"/>
        </w:rPr>
        <w:t xml:space="preserve"> Credit Acceptance Corporation (Nasdaq: CACC) </w:t>
      </w:r>
      <w:r>
        <w:rPr>
          <w:rFonts w:ascii="Arial" w:cs="Arial" w:eastAsia="Arial" w:hAnsi="Arial"/>
          <w:sz w:val="18"/>
          <w:szCs w:val="18"/>
          <w:color w:val="auto"/>
        </w:rPr>
        <w:t>(the “Company”, “Credit Acceptance”, “we”, “our”, or</w:t>
      </w:r>
      <w:r>
        <w:rPr>
          <w:rFonts w:ascii="Arial" w:cs="Arial" w:eastAsia="Arial" w:hAnsi="Arial"/>
          <w:sz w:val="18"/>
          <w:szCs w:val="18"/>
          <w:b w:val="1"/>
          <w:bCs w:val="1"/>
          <w:color w:val="auto"/>
        </w:rPr>
        <w:t xml:space="preserve"> </w:t>
      </w:r>
      <w:r>
        <w:rPr>
          <w:rFonts w:ascii="Arial" w:cs="Arial" w:eastAsia="Arial" w:hAnsi="Arial"/>
          <w:sz w:val="18"/>
          <w:szCs w:val="18"/>
          <w:color w:val="auto"/>
        </w:rPr>
        <w:t>“us”) announced today the completion of a $100.0 million asset-backed non-recourse secured financing (the “Financing”). Pursuant to this transaction, we contributed approximately $125.1 million of loans to a wholly-owned special purpose entity that will pledge the loans to an institutional lender under a loan and security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Financing will:</w:t>
      </w:r>
    </w:p>
    <w:p>
      <w:pPr>
        <w:spacing w:after="0" w:line="23" w:lineRule="exact"/>
        <w:rPr>
          <w:sz w:val="20"/>
          <w:szCs w:val="20"/>
          <w:color w:val="auto"/>
        </w:rPr>
      </w:pPr>
    </w:p>
    <w:p>
      <w:pPr>
        <w:ind w:left="700" w:hanging="328"/>
        <w:spacing w:after="0"/>
        <w:tabs>
          <w:tab w:leader="none" w:pos="7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bear interest at one-month LIBOR plus 200 basis points;</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revolve for 24 months after which it will amortize based upon the cash flows on the contributed loans; and</w:t>
      </w:r>
    </w:p>
    <w:p>
      <w:pPr>
        <w:spacing w:after="0" w:line="9" w:lineRule="exact"/>
        <w:rPr>
          <w:rFonts w:ascii="Arial" w:cs="Arial" w:eastAsia="Arial" w:hAnsi="Arial"/>
          <w:sz w:val="18"/>
          <w:szCs w:val="18"/>
          <w:color w:val="auto"/>
        </w:rPr>
      </w:pPr>
    </w:p>
    <w:p>
      <w:pPr>
        <w:ind w:left="700" w:hanging="328"/>
        <w:spacing w:after="0"/>
        <w:tabs>
          <w:tab w:leader="none" w:pos="7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be used by us to repay outstanding indebtedness and for general corporate purposes.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receive 6.0% of the cash flows related to the underlying consumer loans to cover servicing expenses. The remaining 94.0%, less amounts due to dealers for payments of dealer holdback, will be used to pay principal and interest to the institutional lender as well as the ongoing costs of the Financing. The Financing is structured so as not to affect our contractual relationships with our dealers and to preserve the dealers’ rights to future payments of dealer holdback.</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announced today that we extended the date on which our $300.0 million revolving secured warehouse facility will cease to revolve from July 26, 2022 to November 17, 2023. The interest rate on borrowings under the facility has been increased from LIBOR plus 200 basis points to LIBOR plus 210 basis points. There were no other material changes to the terms of the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29, 2021, we did not have a balance outstanding under the revolving secured warehouse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w:t>
      </w:r>
    </w:p>
    <w:p>
      <w:pPr>
        <w:sectPr>
          <w:pgSz w:w="11900" w:h="16838" w:orient="portrait"/>
          <w:cols w:equalWidth="0" w:num="1">
            <w:col w:w="11240"/>
          </w:cols>
          <w:pgMar w:left="320" w:top="756" w:right="3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Credit Acceptance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February 3, 2021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Treasury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EXTENSION OF REVOLVING SECURED WAREHOUSE FACILITY</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Southfield, Michigan – February 3, 2021 – Credit Acceptance Corporation (Nasdaq: CACC) </w:t>
      </w:r>
      <w:r>
        <w:rPr>
          <w:rFonts w:ascii="Arial" w:cs="Arial" w:eastAsia="Arial" w:hAnsi="Arial"/>
          <w:sz w:val="18"/>
          <w:szCs w:val="18"/>
          <w:color w:val="auto"/>
        </w:rPr>
        <w:t>(referred to as the “Company”, “Credit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“we”, “our”, or “us”) announced today that we extended the date on which our $400.0 million revolving secured warehouse facility will cease to revolve from July 12, 2022 to April 30, 2024. There were no other material changes to the terms of the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3, 2021, we had $75.0 million outstanding under the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5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E66B4"/>
    <w:multiLevelType w:val="hybridMultilevel"/>
    <w:lvl w:ilvl="0">
      <w:lvlJc w:val="left"/>
      <w:lvlText w:val="☐"/>
      <w:numFmt w:val="bullet"/>
      <w:start w:val="1"/>
    </w:lvl>
  </w:abstractNum>
  <w:abstractNum w:abstractNumId="1">
    <w:nsid w:val="67A70B69"/>
    <w:multiLevelType w:val="hybridMultilevel"/>
    <w:lvl w:ilvl="0">
      <w:lvlJc w:val="left"/>
      <w:lvlText w:val="•"/>
      <w:numFmt w:val="bullet"/>
      <w:start w:val="1"/>
    </w:lvl>
  </w:abstractNum>
  <w:abstractNum w:abstractNumId="2">
    <w:nsid w:val="5953172F"/>
    <w:multiLevelType w:val="hybridMultilevel"/>
    <w:lvl w:ilvl="0">
      <w:lvlJc w:val="left"/>
      <w:lvlText w:val="%1"/>
      <w:numFmt w:val="decimal"/>
      <w:start w:val="104"/>
    </w:lvl>
  </w:abstractNum>
  <w:abstractNum w:abstractNumId="3">
    <w:nsid w:val="27EDFE3A"/>
    <w:multiLevelType w:val="hybridMultilevel"/>
    <w:lvl w:ilvl="0">
      <w:lvlJc w:val="left"/>
      <w:lvlText w:val="(%1)"/>
      <w:numFmt w:val="decimal"/>
      <w:start w:val="1"/>
    </w:lvl>
  </w:abstractNum>
  <w:abstractNum w:abstractNumId="4">
    <w:nsid w:val="52AC7DFF"/>
    <w:multiLevelType w:val="hybridMultilevel"/>
    <w:lvl w:ilvl="0">
      <w:lvlJc w:val="left"/>
      <w:lvlText w:val="(%1)"/>
      <w:numFmt w:val="lowerLetter"/>
      <w:start w:val="1"/>
    </w:lvl>
  </w:abstractNum>
  <w:abstractNum w:abstractNumId="5">
    <w:nsid w:val="C4C3AF"/>
    <w:multiLevelType w:val="hybridMultilevel"/>
    <w:lvl w:ilvl="0">
      <w:lvlJc w:val="left"/>
      <w:lvlText w:val="(%1)"/>
      <w:numFmt w:val="lowerLetter"/>
      <w:start w:val="1"/>
    </w:lvl>
  </w:abstractNum>
  <w:abstractNum w:abstractNumId="6">
    <w:nsid w:val="44380727"/>
    <w:multiLevelType w:val="hybridMultilevel"/>
    <w:lvl w:ilvl="0">
      <w:lvlJc w:val="left"/>
      <w:lvlText w:val="(%1)"/>
      <w:numFmt w:val="lowerLetter"/>
      <w:start w:val="1"/>
    </w:lvl>
  </w:abstractNum>
  <w:abstractNum w:abstractNumId="7">
    <w:nsid w:val="6C053B16"/>
    <w:multiLevelType w:val="hybridMultilevel"/>
    <w:lvl w:ilvl="0">
      <w:lvlJc w:val="left"/>
      <w:lvlText w:val="(%1)"/>
      <w:numFmt w:val="lowerLetter"/>
      <w:start w:val="11"/>
    </w:lvl>
  </w:abstractNum>
  <w:abstractNum w:abstractNumId="8">
    <w:nsid w:val="4F294393"/>
    <w:multiLevelType w:val="hybridMultilevel"/>
    <w:lvl w:ilvl="0">
      <w:lvlJc w:val="left"/>
      <w:lvlText w:val="(%1)"/>
      <w:numFmt w:val="lowerLetter"/>
      <w:start w:val="1"/>
    </w:lvl>
  </w:abstractNum>
  <w:abstractNum w:abstractNumId="9">
    <w:nsid w:val="5243BFAC"/>
    <w:multiLevelType w:val="hybridMultilevel"/>
    <w:lvl w:ilvl="0">
      <w:lvlJc w:val="left"/>
      <w:lvlText w:val="(%1)"/>
      <w:numFmt w:val="lowerLetter"/>
      <w:start w:val="7"/>
    </w:lvl>
  </w:abstractNum>
  <w:abstractNum w:abstractNumId="10">
    <w:nsid w:val="425EB207"/>
    <w:multiLevelType w:val="hybridMultilevel"/>
    <w:lvl w:ilvl="0">
      <w:lvlJc w:val="left"/>
      <w:lvlText w:val="(%1)"/>
      <w:numFmt w:val="lowerLetter"/>
      <w:start w:val="8"/>
    </w:lvl>
  </w:abstractNum>
  <w:abstractNum w:abstractNumId="11">
    <w:nsid w:val="334A6F1F"/>
    <w:multiLevelType w:val="hybridMultilevel"/>
    <w:lvl w:ilvl="0">
      <w:lvlJc w:val="left"/>
      <w:lvlText w:val="%1."/>
      <w:numFmt w:val="decimal"/>
      <w:start w:val="1"/>
    </w:lvl>
  </w:abstractNum>
  <w:abstractNum w:abstractNumId="12">
    <w:nsid w:val="2E5B12B8"/>
    <w:multiLevelType w:val="hybridMultilevel"/>
    <w:lvl w:ilvl="0">
      <w:lvlJc w:val="left"/>
      <w:lvlText w:val="%1."/>
      <w:numFmt w:val="lowerLetter"/>
      <w:start w:val="1"/>
    </w:lvl>
  </w:abstractNum>
  <w:abstractNum w:abstractNumId="13">
    <w:nsid w:val="5C03D76D"/>
    <w:multiLevelType w:val="hybridMultilevel"/>
    <w:lvl w:ilvl="0">
      <w:lvlJc w:val="left"/>
      <w:lvlText w:val="%1."/>
      <w:numFmt w:val="lowerLetter"/>
      <w:start w:val="6"/>
    </w:lvl>
  </w:abstractNum>
  <w:abstractNum w:abstractNumId="14">
    <w:nsid w:val="66A48D11"/>
    <w:multiLevelType w:val="hybridMultilevel"/>
    <w:lvl w:ilvl="0">
      <w:lvlJc w:val="left"/>
      <w:lvlText w:val="%1."/>
      <w:numFmt w:val="lowerLetter"/>
      <w:start w:val="17"/>
    </w:lvl>
  </w:abstractNum>
  <w:abstractNum w:abstractNumId="15">
    <w:nsid w:val="56C28E34"/>
    <w:multiLevelType w:val="hybridMultilevel"/>
    <w:lvl w:ilvl="0">
      <w:lvlJc w:val="left"/>
      <w:lvlText w:val="(%1)"/>
      <w:numFmt w:val="lowerRoman"/>
      <w:start w:val="2"/>
    </w:lvl>
  </w:abstractNum>
  <w:abstractNum w:abstractNumId="16">
    <w:nsid w:val="13916F2D"/>
    <w:multiLevelType w:val="hybridMultilevel"/>
    <w:lvl w:ilvl="0">
      <w:lvlJc w:val="left"/>
      <w:lvlText w:val="%1"/>
      <w:numFmt w:val="upperLetter"/>
      <w:start w:val="1"/>
    </w:lvl>
    <w:lvl w:ilvl="1">
      <w:lvlJc w:val="left"/>
      <w:lvlText w:val="(%2)"/>
      <w:numFmt w:val="lowerRoman"/>
      <w:start w:val="1"/>
    </w:lvl>
  </w:abstractNum>
  <w:abstractNum w:abstractNumId="17">
    <w:nsid w:val="435D38D"/>
    <w:multiLevelType w:val="hybridMultilevel"/>
    <w:lvl w:ilvl="0">
      <w:lvlJc w:val="left"/>
      <w:lvlText w:val="(%1)"/>
      <w:numFmt w:val="upperLetter"/>
      <w:start w:val="1"/>
    </w:lvl>
    <w:lvl w:ilvl="1">
      <w:lvlJc w:val="left"/>
      <w:lvlText w:val="%2"/>
      <w:numFmt w:val="lowerRoman"/>
      <w:start w:val="1"/>
    </w:lvl>
  </w:abstractNum>
  <w:abstractNum w:abstractNumId="18">
    <w:nsid w:val="822C0EF"/>
    <w:multiLevelType w:val="hybridMultilevel"/>
    <w:lvl w:ilvl="0">
      <w:lvlJc w:val="left"/>
      <w:lvlText w:val="(%1)"/>
      <w:numFmt w:val="lowerLetter"/>
      <w:start w:val="1"/>
    </w:lvl>
  </w:abstractNum>
  <w:abstractNum w:abstractNumId="19">
    <w:nsid w:val="57C5BB4F"/>
    <w:multiLevelType w:val="hybridMultilevel"/>
    <w:lvl w:ilvl="0">
      <w:lvlJc w:val="left"/>
      <w:lvlText w:val="(%1)"/>
      <w:numFmt w:val="lowerRoman"/>
      <w:start w:val="1"/>
    </w:lvl>
  </w:abstractNum>
  <w:abstractNum w:abstractNumId="20">
    <w:nsid w:val="1803D089"/>
    <w:multiLevelType w:val="hybridMultilevel"/>
    <w:lvl w:ilvl="0">
      <w:lvlJc w:val="left"/>
      <w:lvlText w:val="(%1)"/>
      <w:numFmt w:val="lowerRoman"/>
      <w:start w:val="8"/>
    </w:lvl>
  </w:abstractNum>
  <w:abstractNum w:abstractNumId="21">
    <w:nsid w:val="4F3A06D4"/>
    <w:multiLevelType w:val="hybridMultilevel"/>
    <w:lvl w:ilvl="0">
      <w:lvlJc w:val="left"/>
      <w:lvlText w:val="(%1)"/>
      <w:numFmt w:val="lowerRoman"/>
      <w:start w:val="1"/>
    </w:lvl>
  </w:abstractNum>
  <w:abstractNum w:abstractNumId="22">
    <w:nsid w:val="59A377B6"/>
    <w:multiLevelType w:val="hybridMultilevel"/>
    <w:lvl w:ilvl="0">
      <w:lvlJc w:val="left"/>
      <w:lvlText w:val="(%1)"/>
      <w:numFmt w:val="lowerLetter"/>
      <w:start w:val="1"/>
    </w:lvl>
    <w:lvl w:ilvl="1">
      <w:lvlJc w:val="left"/>
      <w:lvlText w:val="(%2)"/>
      <w:numFmt w:val="lowerRoman"/>
      <w:start w:val="1"/>
    </w:lvl>
  </w:abstractNum>
  <w:abstractNum w:abstractNumId="23">
    <w:nsid w:val="48AEB063"/>
    <w:multiLevelType w:val="hybridMultilevel"/>
    <w:lvl w:ilvl="0">
      <w:lvlJc w:val="left"/>
      <w:lvlText w:val="(%1)"/>
      <w:numFmt w:val="lowerLetter"/>
      <w:start w:val="1"/>
    </w:lvl>
  </w:abstractNum>
  <w:abstractNum w:abstractNumId="24">
    <w:nsid w:val="24E135"/>
    <w:multiLevelType w:val="hybridMultilevel"/>
    <w:lvl w:ilvl="0">
      <w:lvlJc w:val="left"/>
      <w:lvlText w:val="(%1)"/>
      <w:numFmt w:val="lowerRoman"/>
      <w:start w:val="2"/>
    </w:lvl>
  </w:abstractNum>
  <w:abstractNum w:abstractNumId="25">
    <w:nsid w:val="BB13C1"/>
    <w:multiLevelType w:val="hybridMultilevel"/>
    <w:lvl w:ilvl="0">
      <w:lvlJc w:val="left"/>
      <w:lvlText w:val="%1"/>
      <w:numFmt w:val="lowerLetter"/>
      <w:start w:val="1"/>
    </w:lvl>
    <w:lvl w:ilvl="1">
      <w:lvlJc w:val="left"/>
      <w:lvlText w:val="(%2)"/>
      <w:numFmt w:val="lowerRoman"/>
      <w:start w:val="4"/>
    </w:lvl>
  </w:abstractNum>
  <w:abstractNum w:abstractNumId="26">
    <w:nsid w:val="271210C7"/>
    <w:multiLevelType w:val="hybridMultilevel"/>
    <w:lvl w:ilvl="0">
      <w:lvlJc w:val="left"/>
      <w:lvlText w:val="(%1)"/>
      <w:numFmt w:val="lowerLetter"/>
      <w:start w:val="2"/>
    </w:lvl>
    <w:lvl w:ilvl="1">
      <w:lvlJc w:val="left"/>
      <w:lvlText w:val="%2"/>
      <w:numFmt w:val="lowerRoman"/>
      <w:start w:val="1"/>
    </w:lvl>
  </w:abstractNum>
  <w:abstractNum w:abstractNumId="27">
    <w:nsid w:val="217B22E4"/>
    <w:multiLevelType w:val="hybridMultilevel"/>
    <w:lvl w:ilvl="0">
      <w:lvlJc w:val="left"/>
      <w:lvlText w:val="(%1)"/>
      <w:numFmt w:val="lowerLetter"/>
      <w:start w:val="1"/>
    </w:lvl>
  </w:abstractNum>
  <w:abstractNum w:abstractNumId="28">
    <w:nsid w:val="53E31A24"/>
    <w:multiLevelType w:val="hybridMultilevel"/>
    <w:lvl w:ilvl="0">
      <w:lvlJc w:val="left"/>
      <w:lvlText w:val="(%1)"/>
      <w:numFmt w:val="lowerRoman"/>
      <w:start w:val="2"/>
    </w:lvl>
  </w:abstractNum>
  <w:abstractNum w:abstractNumId="29">
    <w:nsid w:val="6DC45E83"/>
    <w:multiLevelType w:val="hybridMultilevel"/>
    <w:lvl w:ilvl="0">
      <w:lvlJc w:val="left"/>
      <w:lvlText w:val="(%1)"/>
      <w:numFmt w:val="lowerRoman"/>
      <w:start w:val="1"/>
    </w:lvl>
  </w:abstractNum>
  <w:abstractNum w:abstractNumId="30">
    <w:nsid w:val="17304A67"/>
    <w:multiLevelType w:val="hybridMultilevel"/>
    <w:lvl w:ilvl="0">
      <w:lvlJc w:val="left"/>
      <w:lvlText w:val="%1"/>
      <w:numFmt w:val="lowerLetter"/>
      <w:start w:val="1"/>
    </w:lvl>
    <w:lvl w:ilvl="1">
      <w:lvlJc w:val="left"/>
      <w:lvlText w:val="(%2)"/>
      <w:numFmt w:val="lowerRoman"/>
      <w:start w:val="6"/>
    </w:lvl>
  </w:abstractNum>
  <w:abstractNum w:abstractNumId="31">
    <w:nsid w:val="2BB180D8"/>
    <w:multiLevelType w:val="hybridMultilevel"/>
    <w:lvl w:ilvl="0">
      <w:lvlJc w:val="left"/>
      <w:lvlText w:val="(%1)"/>
      <w:numFmt w:val="lowerLetter"/>
      <w:start w:val="2"/>
    </w:lvl>
    <w:lvl w:ilvl="1">
      <w:lvlJc w:val="left"/>
      <w:lvlText w:val="(%2)"/>
      <w:numFmt w:val="lowerRoman"/>
      <w:start w:val="2"/>
    </w:lvl>
  </w:abstractNum>
  <w:abstractNum w:abstractNumId="32">
    <w:nsid w:val="556B69ED"/>
    <w:multiLevelType w:val="hybridMultilevel"/>
    <w:lvl w:ilvl="0">
      <w:lvlJc w:val="left"/>
      <w:lvlText w:val="(%1)"/>
      <w:numFmt w:val="lowerLetter"/>
      <w:start w:val="1"/>
    </w:lvl>
  </w:abstractNum>
  <w:abstractNum w:abstractNumId="33">
    <w:nsid w:val="70836196"/>
    <w:multiLevelType w:val="hybridMultilevel"/>
    <w:lvl w:ilvl="0">
      <w:lvlJc w:val="left"/>
      <w:lvlText w:val="(%1)"/>
      <w:numFmt w:val="lowerLetter"/>
      <w:start w:val="2"/>
    </w:lvl>
    <w:lvl w:ilvl="1">
      <w:lvlJc w:val="left"/>
      <w:lvlText w:val="(%2)"/>
      <w:numFmt w:val="lowerLetter"/>
      <w:start w:val="35"/>
    </w:lvl>
  </w:abstractNum>
  <w:abstractNum w:abstractNumId="34">
    <w:nsid w:val="539F7F12"/>
    <w:multiLevelType w:val="hybridMultilevel"/>
    <w:lvl w:ilvl="0">
      <w:lvlJc w:val="left"/>
      <w:lvlText w:val="(%1)"/>
      <w:numFmt w:val="lowerLetter"/>
      <w:start w:val="1"/>
    </w:lvl>
  </w:abstractNum>
  <w:abstractNum w:abstractNumId="35">
    <w:nsid w:val="2817E7EC"/>
    <w:multiLevelType w:val="hybridMultilevel"/>
    <w:lvl w:ilvl="0">
      <w:lvlJc w:val="left"/>
      <w:lvlText w:val="(%1)"/>
      <w:numFmt w:val="lowerLetter"/>
      <w:start w:val="3"/>
    </w:lvl>
  </w:abstractNum>
  <w:abstractNum w:abstractNumId="36">
    <w:nsid w:val="71482545"/>
    <w:multiLevelType w:val="hybridMultilevel"/>
    <w:lvl w:ilvl="0">
      <w:lvlJc w:val="left"/>
      <w:lvlText w:val="(%1)"/>
      <w:numFmt w:val="lowerLetter"/>
      <w:start w:val="1"/>
    </w:lvl>
  </w:abstractNum>
  <w:abstractNum w:abstractNumId="37">
    <w:nsid w:val="17D78639"/>
    <w:multiLevelType w:val="hybridMultilevel"/>
    <w:lvl w:ilvl="0">
      <w:lvlJc w:val="left"/>
      <w:lvlText w:val="%1"/>
      <w:numFmt w:val="upperLetter"/>
      <w:start w:val="1"/>
    </w:lvl>
    <w:lvl w:ilvl="1">
      <w:lvlJc w:val="left"/>
      <w:lvlText w:val="(%2)"/>
      <w:numFmt w:val="lowerLetter"/>
      <w:start w:val="1"/>
    </w:lvl>
  </w:abstractNum>
  <w:abstractNum w:abstractNumId="38">
    <w:nsid w:val="141D2302"/>
    <w:multiLevelType w:val="hybridMultilevel"/>
    <w:lvl w:ilvl="0">
      <w:lvlJc w:val="left"/>
      <w:lvlText w:val="(%1)"/>
      <w:numFmt w:val="upperLetter"/>
      <w:start w:val="2"/>
    </w:lvl>
    <w:lvl w:ilvl="1">
      <w:lvlJc w:val="left"/>
      <w:lvlText w:val="%2"/>
      <w:numFmt w:val="lowerLetter"/>
      <w:start w:val="1"/>
    </w:lvl>
  </w:abstractNum>
  <w:abstractNum w:abstractNumId="39">
    <w:nsid w:val="407168D8"/>
    <w:multiLevelType w:val="hybridMultilevel"/>
    <w:lvl w:ilvl="0">
      <w:lvlJc w:val="left"/>
      <w:lvlText w:val="(%1)"/>
      <w:numFmt w:val="lowerLetter"/>
      <w:start w:val="2"/>
    </w:lvl>
  </w:abstractNum>
  <w:abstractNum w:abstractNumId="40">
    <w:nsid w:val="6A1B45E5"/>
    <w:multiLevelType w:val="hybridMultilevel"/>
    <w:lvl w:ilvl="0">
      <w:lvlJc w:val="left"/>
      <w:lvlText w:val="(%1)"/>
      <w:numFmt w:val="lowerLetter"/>
      <w:start w:val="1"/>
    </w:lvl>
  </w:abstractNum>
  <w:abstractNum w:abstractNumId="41">
    <w:nsid w:val="567BD50A"/>
    <w:multiLevelType w:val="hybridMultilevel"/>
    <w:lvl w:ilvl="0">
      <w:lvlJc w:val="left"/>
      <w:lvlText w:val="(%1)"/>
      <w:numFmt w:val="lowerLetter"/>
      <w:start w:val="2"/>
    </w:lvl>
  </w:abstractNum>
  <w:abstractNum w:abstractNumId="42">
    <w:nsid w:val="73BBD7F8"/>
    <w:multiLevelType w:val="hybridMultilevel"/>
    <w:lvl w:ilvl="0">
      <w:lvlJc w:val="left"/>
      <w:lvlText w:val="(%1)"/>
      <w:numFmt w:val="lowerLetter"/>
      <w:start w:val="7"/>
    </w:lvl>
  </w:abstractNum>
  <w:abstractNum w:abstractNumId="43">
    <w:nsid w:val="1876589D"/>
    <w:multiLevelType w:val="hybridMultilevel"/>
    <w:lvl w:ilvl="0">
      <w:lvlJc w:val="left"/>
      <w:lvlText w:val="(%1)"/>
      <w:numFmt w:val="lowerLetter"/>
      <w:start w:val="11"/>
    </w:lvl>
  </w:abstractNum>
  <w:abstractNum w:abstractNumId="44">
    <w:nsid w:val="327FAC77"/>
    <w:multiLevelType w:val="hybridMultilevel"/>
    <w:lvl w:ilvl="0">
      <w:lvlJc w:val="left"/>
      <w:lvlText w:val="(%1)"/>
      <w:numFmt w:val="lowerLetter"/>
      <w:start w:val="1"/>
    </w:lvl>
  </w:abstractNum>
  <w:abstractNum w:abstractNumId="45">
    <w:nsid w:val="5A606509"/>
    <w:multiLevelType w:val="hybridMultilevel"/>
    <w:lvl w:ilvl="0">
      <w:lvlJc w:val="left"/>
      <w:lvlText w:val="(%1)"/>
      <w:numFmt w:val="lowerRoman"/>
      <w:start w:val="1"/>
    </w:lvl>
  </w:abstractNum>
  <w:abstractNum w:abstractNumId="46">
    <w:nsid w:val="6F38E6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7">
    <w:nsid w:val="46111BA5"/>
    <w:multiLevelType w:val="hybridMultilevel"/>
    <w:lvl w:ilvl="0">
      <w:lvlJc w:val="left"/>
      <w:lvlText w:val="(%1)"/>
      <w:numFmt w:val="upperLetter"/>
      <w:start w:val="3"/>
    </w:lvl>
  </w:abstractNum>
  <w:abstractNum w:abstractNumId="48">
    <w:nsid w:val="5E963896"/>
    <w:multiLevelType w:val="hybridMultilevel"/>
    <w:lvl w:ilvl="0">
      <w:lvlJc w:val="left"/>
      <w:lvlText w:val="(%1)"/>
      <w:numFmt w:val="lowerRoman"/>
      <w:start w:val="2"/>
    </w:lvl>
  </w:abstractNum>
  <w:abstractNum w:abstractNumId="49">
    <w:nsid w:val="775BA7C1"/>
    <w:multiLevelType w:val="hybridMultilevel"/>
    <w:lvl w:ilvl="0">
      <w:lvlJc w:val="left"/>
      <w:lvlText w:val="(%1)"/>
      <w:numFmt w:val="lowerLetter"/>
      <w:start w:val="3"/>
    </w:lvl>
  </w:abstractNum>
  <w:abstractNum w:abstractNumId="50">
    <w:nsid w:val="1DD6D6F4"/>
    <w:multiLevelType w:val="hybridMultilevel"/>
    <w:lvl w:ilvl="0">
      <w:lvlJc w:val="left"/>
      <w:lvlText w:val="(%1)"/>
      <w:numFmt w:val="lowerLetter"/>
      <w:start w:val="1"/>
    </w:lvl>
  </w:abstractNum>
  <w:abstractNum w:abstractNumId="51">
    <w:nsid w:val="769A091F"/>
    <w:multiLevelType w:val="hybridMultilevel"/>
    <w:lvl w:ilvl="0">
      <w:lvlJc w:val="left"/>
      <w:lvlText w:val="(%1)"/>
      <w:numFmt w:val="lowerLetter"/>
      <w:start w:val="1"/>
    </w:lvl>
    <w:lvl w:ilvl="1">
      <w:lvlJc w:val="left"/>
      <w:lvlText w:val="(%2)"/>
      <w:numFmt w:val="lowerLetter"/>
      <w:start w:val="9"/>
    </w:lvl>
  </w:abstractNum>
  <w:abstractNum w:abstractNumId="52">
    <w:nsid w:val="4695AE95"/>
    <w:multiLevelType w:val="hybridMultilevel"/>
    <w:lvl w:ilvl="0">
      <w:lvlJc w:val="left"/>
      <w:lvlText w:val="%1"/>
      <w:numFmt w:val="lowerLetter"/>
      <w:start w:val="1"/>
    </w:lvl>
    <w:lvl w:ilvl="1">
      <w:lvlJc w:val="left"/>
      <w:lvlText w:val="(%2)"/>
      <w:numFmt w:val="lowerRoman"/>
      <w:start w:val="2"/>
    </w:lvl>
  </w:abstractNum>
  <w:abstractNum w:abstractNumId="53">
    <w:nsid w:val="777A4EAA"/>
    <w:multiLevelType w:val="hybridMultilevel"/>
    <w:lvl w:ilvl="0">
      <w:lvlJc w:val="left"/>
      <w:lvlText w:val="(%1)"/>
      <w:numFmt w:val="lowerLetter"/>
      <w:start w:val="3"/>
    </w:lvl>
    <w:lvl w:ilvl="1">
      <w:lvlJc w:val="left"/>
      <w:lvlText w:val="%2"/>
      <w:numFmt w:val="lowerRoman"/>
      <w:start w:val="1"/>
    </w:lvl>
  </w:abstractNum>
  <w:abstractNum w:abstractNumId="54">
    <w:nsid w:val="3F48B982"/>
    <w:multiLevelType w:val="hybridMultilevel"/>
    <w:lvl w:ilvl="0">
      <w:lvlJc w:val="left"/>
      <w:lvlText w:val="(%1)"/>
      <w:numFmt w:val="lowerLetter"/>
      <w:start w:val="1"/>
    </w:lvl>
  </w:abstractNum>
  <w:abstractNum w:abstractNumId="55">
    <w:nsid w:val="46BA8FCA"/>
    <w:multiLevelType w:val="hybridMultilevel"/>
    <w:lvl w:ilvl="0">
      <w:lvlJc w:val="left"/>
      <w:lvlText w:val="(%1)"/>
      <w:numFmt w:val="lowerLetter"/>
      <w:start w:val="7"/>
    </w:lvl>
  </w:abstractNum>
  <w:abstractNum w:abstractNumId="56">
    <w:nsid w:val="7835626C"/>
    <w:multiLevelType w:val="hybridMultilevel"/>
    <w:lvl w:ilvl="0">
      <w:lvlJc w:val="left"/>
      <w:lvlText w:val="%1"/>
      <w:numFmt w:val="lowerLetter"/>
      <w:start w:val="1"/>
    </w:lvl>
    <w:lvl w:ilvl="1">
      <w:lvlJc w:val="left"/>
      <w:lvlText w:val="(%2)"/>
      <w:numFmt w:val="lowerLetter"/>
      <w:start w:val="13"/>
    </w:lvl>
  </w:abstractNum>
  <w:abstractNum w:abstractNumId="57">
    <w:nsid w:val="665ACA49"/>
    <w:multiLevelType w:val="hybridMultilevel"/>
    <w:lvl w:ilvl="0">
      <w:lvlJc w:val="left"/>
      <w:lvlText w:val="(%1)"/>
      <w:numFmt w:val="lowerLetter"/>
      <w:start w:val="35"/>
    </w:lvl>
    <w:lvl w:ilvl="1">
      <w:lvlJc w:val="left"/>
      <w:lvlText w:val="%2"/>
      <w:numFmt w:val="lowerLetter"/>
      <w:start w:val="1"/>
    </w:lvl>
  </w:abstractNum>
  <w:abstractNum w:abstractNumId="58">
    <w:nsid w:val="6835B2AE"/>
    <w:multiLevelType w:val="hybridMultilevel"/>
    <w:lvl w:ilvl="0">
      <w:lvlJc w:val="left"/>
      <w:lvlText w:val="(%1)"/>
      <w:numFmt w:val="lowerLetter"/>
      <w:start w:val="18"/>
    </w:lvl>
  </w:abstractNum>
  <w:abstractNum w:abstractNumId="59">
    <w:nsid w:val="4C187C90"/>
    <w:multiLevelType w:val="hybridMultilevel"/>
    <w:lvl w:ilvl="0">
      <w:lvlJc w:val="left"/>
      <w:lvlText w:val="(%1)"/>
      <w:numFmt w:val="lowerLetter"/>
      <w:start w:val="25"/>
    </w:lvl>
  </w:abstractNum>
  <w:abstractNum w:abstractNumId="60">
    <w:nsid w:val="541F28CD"/>
    <w:multiLevelType w:val="hybridMultilevel"/>
    <w:lvl w:ilvl="0">
      <w:lvlJc w:val="left"/>
      <w:lvlText w:val="(%1)"/>
      <w:numFmt w:val="lowerLetter"/>
      <w:start w:val="27"/>
    </w:lvl>
  </w:abstractNum>
  <w:abstractNum w:abstractNumId="61">
    <w:nsid w:val="7F65FD16"/>
    <w:multiLevelType w:val="hybridMultilevel"/>
    <w:lvl w:ilvl="0">
      <w:lvlJc w:val="left"/>
      <w:lvlText w:val="%1"/>
      <w:numFmt w:val="lowerLetter"/>
      <w:start w:val="1"/>
    </w:lvl>
    <w:lvl w:ilvl="1">
      <w:lvlJc w:val="left"/>
      <w:lvlText w:val="(%2)"/>
      <w:numFmt w:val="lowerLetter"/>
      <w:start w:val="29"/>
    </w:lvl>
  </w:abstractNum>
  <w:abstractNum w:abstractNumId="62">
    <w:nsid w:val="77C9FD68"/>
    <w:multiLevelType w:val="hybridMultilevel"/>
    <w:lvl w:ilvl="0">
      <w:lvlJc w:val="left"/>
      <w:lvlText w:val="(%1)"/>
      <w:numFmt w:val="lowerLetter"/>
      <w:start w:val="1"/>
    </w:lvl>
    <w:lvl w:ilvl="1">
      <w:lvlJc w:val="left"/>
      <w:lvlText w:val="(%2)"/>
      <w:numFmt w:val="lowerLetter"/>
      <w:start w:val="33"/>
    </w:lvl>
  </w:abstractNum>
  <w:abstractNum w:abstractNumId="63">
    <w:nsid w:val="298A92BA"/>
    <w:multiLevelType w:val="hybridMultilevel"/>
    <w:lvl w:ilvl="0">
      <w:lvlJc w:val="left"/>
      <w:lvlText w:val="(%1)"/>
      <w:numFmt w:val="lowerLetter"/>
      <w:start w:val="1"/>
    </w:lvl>
    <w:lvl w:ilvl="1">
      <w:lvlJc w:val="left"/>
      <w:lvlText w:val="(%2)"/>
      <w:numFmt w:val="lowerRoman"/>
      <w:start w:val="1"/>
    </w:lvl>
  </w:abstractNum>
  <w:abstractNum w:abstractNumId="64">
    <w:nsid w:val="6FE95EAC"/>
    <w:multiLevelType w:val="hybridMultilevel"/>
    <w:lvl w:ilvl="0">
      <w:lvlJc w:val="left"/>
      <w:lvlText w:val="%1"/>
      <w:numFmt w:val="lowerLetter"/>
      <w:start w:val="1"/>
    </w:lvl>
    <w:lvl w:ilvl="1">
      <w:lvlJc w:val="left"/>
      <w:lvlText w:val="(%2)"/>
      <w:numFmt w:val="lowerRoman"/>
      <w:start w:val="6"/>
    </w:lvl>
  </w:abstractNum>
  <w:abstractNum w:abstractNumId="65">
    <w:nsid w:val="4B697C7A"/>
    <w:multiLevelType w:val="hybridMultilevel"/>
    <w:lvl w:ilvl="0">
      <w:lvlJc w:val="left"/>
      <w:lvlText w:val="(%1)"/>
      <w:numFmt w:val="lowerLetter"/>
      <w:start w:val="2"/>
    </w:lvl>
    <w:lvl w:ilvl="1">
      <w:lvlJc w:val="left"/>
      <w:lvlText w:val="%2"/>
      <w:numFmt w:val="lowerRoman"/>
      <w:start w:val="1"/>
    </w:lvl>
  </w:abstractNum>
  <w:abstractNum w:abstractNumId="66">
    <w:nsid w:val="51A27AA6"/>
    <w:multiLevelType w:val="hybridMultilevel"/>
    <w:lvl w:ilvl="0">
      <w:lvlJc w:val="left"/>
      <w:lvlText w:val="(%1)"/>
      <w:numFmt w:val="lowerLetter"/>
      <w:start w:val="1"/>
    </w:lvl>
  </w:abstractNum>
  <w:abstractNum w:abstractNumId="67">
    <w:nsid w:val="613183F2"/>
    <w:multiLevelType w:val="hybridMultilevel"/>
    <w:lvl w:ilvl="0">
      <w:lvlJc w:val="left"/>
      <w:lvlText w:val="(%1)"/>
      <w:numFmt w:val="lowerLetter"/>
      <w:start w:val="5"/>
    </w:lvl>
  </w:abstractNum>
  <w:abstractNum w:abstractNumId="68">
    <w:nsid w:val="634102B4"/>
    <w:multiLevelType w:val="hybridMultilevel"/>
    <w:lvl w:ilvl="0">
      <w:lvlJc w:val="left"/>
      <w:lvlText w:val="(%1)"/>
      <w:numFmt w:val="lowerLetter"/>
      <w:start w:val="1"/>
    </w:lvl>
  </w:abstractNum>
  <w:abstractNum w:abstractNumId="69">
    <w:nsid w:val="65BF9DA8"/>
    <w:multiLevelType w:val="hybridMultilevel"/>
    <w:lvl w:ilvl="0">
      <w:lvlJc w:val="left"/>
      <w:lvlText w:val="(%1)"/>
      <w:numFmt w:val="lowerLetter"/>
      <w:start w:val="2"/>
    </w:lvl>
  </w:abstractNum>
  <w:abstractNum w:abstractNumId="70">
    <w:nsid w:val="21A2ECCA"/>
    <w:multiLevelType w:val="hybridMultilevel"/>
    <w:lvl w:ilvl="0">
      <w:lvlJc w:val="left"/>
      <w:lvlText w:val="%1"/>
      <w:numFmt w:val="upperLetter"/>
      <w:start w:val="1"/>
    </w:lvl>
    <w:lvl w:ilvl="1">
      <w:lvlJc w:val="left"/>
      <w:lvlText w:val="(%2)"/>
      <w:numFmt w:val="lowerLetter"/>
      <w:start w:val="1"/>
    </w:lvl>
  </w:abstractNum>
  <w:abstractNum w:abstractNumId="71">
    <w:nsid w:val="4D5C4899"/>
    <w:multiLevelType w:val="hybridMultilevel"/>
    <w:lvl w:ilvl="0">
      <w:lvlJc w:val="left"/>
      <w:lvlText w:val="(%1)"/>
      <w:numFmt w:val="upperLetter"/>
      <w:start w:val="1"/>
    </w:lvl>
    <w:lvl w:ilvl="1">
      <w:lvlJc w:val="left"/>
      <w:lvlText w:val="%2"/>
      <w:numFmt w:val="lowerLetter"/>
      <w:start w:val="1"/>
    </w:lvl>
  </w:abstractNum>
  <w:abstractNum w:abstractNumId="72">
    <w:nsid w:val="3C3B72B2"/>
    <w:multiLevelType w:val="hybridMultilevel"/>
    <w:lvl w:ilvl="0">
      <w:lvlJc w:val="left"/>
      <w:lvlText w:val="%1"/>
      <w:numFmt w:val="upperLetter"/>
      <w:start w:val="1"/>
    </w:lvl>
    <w:lvl w:ilvl="1">
      <w:lvlJc w:val="left"/>
      <w:lvlText w:val="(%2)"/>
      <w:numFmt w:val="lowerLetter"/>
      <w:start w:val="2"/>
    </w:lvl>
  </w:abstractNum>
  <w:abstractNum w:abstractNumId="73">
    <w:nsid w:val="155EC4C2"/>
    <w:multiLevelType w:val="hybridMultilevel"/>
    <w:lvl w:ilvl="0">
      <w:lvlJc w:val="left"/>
      <w:lvlText w:val="(%1)"/>
      <w:numFmt w:val="upperLetter"/>
      <w:start w:val="2"/>
    </w:lvl>
    <w:lvl w:ilvl="1">
      <w:lvlJc w:val="left"/>
      <w:lvlText w:val="(%2)"/>
      <w:numFmt w:val="lowerLetter"/>
      <w:start w:val="3"/>
    </w:lvl>
  </w:abstractNum>
  <w:abstractNum w:abstractNumId="74">
    <w:nsid w:val="65D2A137"/>
    <w:multiLevelType w:val="hybridMultilevel"/>
    <w:lvl w:ilvl="0">
      <w:lvlJc w:val="left"/>
      <w:lvlText w:val="(%1)"/>
      <w:numFmt w:val="lowerLetter"/>
      <w:start w:val="1"/>
    </w:lvl>
  </w:abstractNum>
  <w:abstractNum w:abstractNumId="75">
    <w:nsid w:val="6EBB1F2A"/>
    <w:multiLevelType w:val="hybridMultilevel"/>
    <w:lvl w:ilvl="0">
      <w:lvlJc w:val="left"/>
      <w:lvlText w:val="(%1)"/>
      <w:numFmt w:val="lowerLetter"/>
      <w:start w:val="5"/>
    </w:lvl>
    <w:lvl w:ilvl="1">
      <w:lvlJc w:val="left"/>
      <w:lvlText w:val="(%2)"/>
      <w:numFmt w:val="lowerRoman"/>
      <w:start w:val="1"/>
    </w:lvl>
  </w:abstractNum>
  <w:abstractNum w:abstractNumId="76">
    <w:nsid w:val="6FBF29CB"/>
    <w:multiLevelType w:val="hybridMultilevel"/>
    <w:lvl w:ilvl="0">
      <w:lvlJc w:val="left"/>
      <w:lvlText w:val="(%1)"/>
      <w:numFmt w:val="lowerRoman"/>
      <w:start w:val="3"/>
    </w:lvl>
  </w:abstractNum>
  <w:abstractNum w:abstractNumId="77">
    <w:nsid w:val="550B8808"/>
    <w:multiLevelType w:val="hybridMultilevel"/>
    <w:lvl w:ilvl="0">
      <w:lvlJc w:val="left"/>
      <w:lvlText w:val="%1"/>
      <w:numFmt w:val="lowerLetter"/>
      <w:start w:val="1"/>
    </w:lvl>
    <w:lvl w:ilvl="1">
      <w:lvlJc w:val="left"/>
      <w:lvlText w:val="(%2)"/>
      <w:numFmt w:val="lowerRoman"/>
      <w:start w:val="9"/>
    </w:lvl>
  </w:abstractNum>
  <w:abstractNum w:abstractNumId="78">
    <w:nsid w:val="34CC3ACF"/>
    <w:multiLevelType w:val="hybridMultilevel"/>
    <w:lvl w:ilvl="0">
      <w:lvlJc w:val="left"/>
      <w:lvlText w:val="(%1)"/>
      <w:numFmt w:val="lowerLetter"/>
      <w:start w:val="12"/>
    </w:lvl>
    <w:lvl w:ilvl="1">
      <w:lvlJc w:val="left"/>
      <w:lvlText w:val="%2"/>
      <w:numFmt w:val="lowerRoman"/>
      <w:start w:val="1"/>
    </w:lvl>
  </w:abstractNum>
  <w:abstractNum w:abstractNumId="79">
    <w:nsid w:val="4E556261"/>
    <w:multiLevelType w:val="hybridMultilevel"/>
    <w:lvl w:ilvl="0">
      <w:lvlJc w:val="left"/>
      <w:lvlText w:val="(%1)"/>
      <w:numFmt w:val="lowerLetter"/>
      <w:start w:val="14"/>
    </w:lvl>
  </w:abstractNum>
  <w:abstractNum w:abstractNumId="80">
    <w:nsid w:val="4C672FC9"/>
    <w:multiLevelType w:val="hybridMultilevel"/>
    <w:lvl w:ilvl="0">
      <w:lvlJc w:val="left"/>
      <w:lvlText w:val="(%1)"/>
      <w:numFmt w:val="lowerLetter"/>
      <w:start w:val="16"/>
    </w:lvl>
  </w:abstractNum>
  <w:abstractNum w:abstractNumId="81">
    <w:nsid w:val="52A311C3"/>
    <w:multiLevelType w:val="hybridMultilevel"/>
    <w:lvl w:ilvl="0">
      <w:lvlJc w:val="left"/>
      <w:lvlText w:val="(%1)"/>
      <w:numFmt w:val="lowerLetter"/>
      <w:start w:val="1"/>
    </w:lvl>
  </w:abstractNum>
  <w:abstractNum w:abstractNumId="82">
    <w:nsid w:val="44EF6B80"/>
    <w:multiLevelType w:val="hybridMultilevel"/>
    <w:lvl w:ilvl="0">
      <w:lvlJc w:val="left"/>
      <w:lvlText w:val="(%1)"/>
      <w:numFmt w:val="lowerLetter"/>
      <w:start w:val="4"/>
    </w:lvl>
  </w:abstractNum>
  <w:abstractNum w:abstractNumId="83">
    <w:nsid w:val="12FCDE5E"/>
    <w:multiLevelType w:val="hybridMultilevel"/>
    <w:lvl w:ilvl="0">
      <w:lvlJc w:val="left"/>
      <w:lvlText w:val="(%1)"/>
      <w:numFmt w:val="lowerLetter"/>
      <w:start w:val="11"/>
    </w:lvl>
    <w:lvl w:ilvl="1">
      <w:lvlJc w:val="left"/>
      <w:lvlText w:val="(%2)"/>
      <w:numFmt w:val="lowerRoman"/>
      <w:start w:val="1"/>
    </w:lvl>
  </w:abstractNum>
  <w:abstractNum w:abstractNumId="84">
    <w:nsid w:val="4A1D606E"/>
    <w:multiLevelType w:val="hybridMultilevel"/>
    <w:lvl w:ilvl="0">
      <w:lvlJc w:val="left"/>
      <w:lvlText w:val="(%1)"/>
      <w:numFmt w:val="lowerRoman"/>
      <w:start w:val="5"/>
    </w:lvl>
  </w:abstractNum>
  <w:abstractNum w:abstractNumId="85">
    <w:nsid w:val="4382503"/>
    <w:multiLevelType w:val="hybridMultilevel"/>
    <w:lvl w:ilvl="0">
      <w:lvlJc w:val="left"/>
      <w:lvlText w:val="(%1)"/>
      <w:numFmt w:val="lowerRoman"/>
      <w:start w:val="16"/>
    </w:lvl>
  </w:abstractNum>
  <w:abstractNum w:abstractNumId="86">
    <w:nsid w:val="59B76E28"/>
    <w:multiLevelType w:val="hybridMultilevel"/>
    <w:lvl w:ilvl="0">
      <w:lvlJc w:val="left"/>
      <w:lvlText w:val="%1"/>
      <w:numFmt w:val="lowerLetter"/>
      <w:start w:val="1"/>
    </w:lvl>
    <w:lvl w:ilvl="1">
      <w:lvlJc w:val="left"/>
      <w:lvlText w:val="(%2)"/>
      <w:numFmt w:val="lowerRoman"/>
      <w:start w:val="28"/>
    </w:lvl>
  </w:abstractNum>
  <w:abstractNum w:abstractNumId="87">
    <w:nsid w:val="4252C2DA"/>
    <w:multiLevelType w:val="hybridMultilevel"/>
    <w:lvl w:ilvl="0">
      <w:lvlJc w:val="left"/>
      <w:lvlText w:val="(%1)"/>
      <w:numFmt w:val="lowerLetter"/>
      <w:start w:val="16"/>
    </w:lvl>
    <w:lvl w:ilvl="1">
      <w:lvlJc w:val="left"/>
      <w:lvlText w:val="(%2)"/>
      <w:numFmt w:val="lowerRoman"/>
      <w:start w:val="1"/>
    </w:lvl>
  </w:abstractNum>
  <w:abstractNum w:abstractNumId="88">
    <w:nsid w:val="6A92EF4C"/>
    <w:multiLevelType w:val="hybridMultilevel"/>
    <w:lvl w:ilvl="0">
      <w:lvlJc w:val="left"/>
      <w:lvlText w:val="(%1)"/>
      <w:numFmt w:val="lowerLetter"/>
      <w:start w:val="1"/>
    </w:lvl>
  </w:abstractNum>
  <w:abstractNum w:abstractNumId="89">
    <w:nsid w:val="41ED20D7"/>
    <w:multiLevelType w:val="hybridMultilevel"/>
    <w:lvl w:ilvl="0">
      <w:lvlJc w:val="left"/>
      <w:lvlText w:val="%1"/>
      <w:numFmt w:val="lowerLetter"/>
      <w:start w:val="1"/>
    </w:lvl>
    <w:lvl w:ilvl="1">
      <w:lvlJc w:val="left"/>
      <w:lvlText w:val="(%2)"/>
      <w:numFmt w:val="lowerLetter"/>
      <w:start w:val="35"/>
    </w:lvl>
  </w:abstractNum>
  <w:abstractNum w:abstractNumId="90">
    <w:nsid w:val="E6B3F6A"/>
    <w:multiLevelType w:val="hybridMultilevel"/>
    <w:lvl w:ilvl="0">
      <w:lvlJc w:val="left"/>
      <w:lvlText w:val="(%1)"/>
      <w:numFmt w:val="lowerLetter"/>
      <w:start w:val="7"/>
    </w:lvl>
    <w:lvl w:ilvl="1">
      <w:lvlJc w:val="left"/>
      <w:lvlText w:val="%2"/>
      <w:numFmt w:val="lowerLetter"/>
      <w:start w:val="1"/>
    </w:lvl>
  </w:abstractNum>
  <w:abstractNum w:abstractNumId="91">
    <w:nsid w:val="3EB21819"/>
    <w:multiLevelType w:val="hybridMultilevel"/>
    <w:lvl w:ilvl="0">
      <w:lvlJc w:val="left"/>
      <w:lvlText w:val="(%1)"/>
      <w:numFmt w:val="lowerLetter"/>
      <w:start w:val="11"/>
    </w:lvl>
  </w:abstractNum>
  <w:abstractNum w:abstractNumId="92">
    <w:nsid w:val="41531DED"/>
    <w:multiLevelType w:val="hybridMultilevel"/>
    <w:lvl w:ilvl="0">
      <w:lvlJc w:val="left"/>
      <w:lvlText w:val="(%1)"/>
      <w:numFmt w:val="lowerLetter"/>
      <w:start w:val="1"/>
    </w:lvl>
    <w:lvl w:ilvl="1">
      <w:lvlJc w:val="left"/>
      <w:lvlText w:val="(%2)"/>
      <w:numFmt w:val="lowerRoman"/>
      <w:start w:val="1"/>
    </w:lvl>
  </w:abstractNum>
  <w:abstractNum w:abstractNumId="93">
    <w:nsid w:val="6353CD2"/>
    <w:multiLevelType w:val="hybridMultilevel"/>
    <w:lvl w:ilvl="0">
      <w:lvlJc w:val="left"/>
      <w:lvlText w:val="(%1)"/>
      <w:numFmt w:val="lowerLetter"/>
      <w:start w:val="3"/>
    </w:lvl>
  </w:abstractNum>
  <w:abstractNum w:abstractNumId="94">
    <w:nsid w:val="683CAAD3"/>
    <w:multiLevelType w:val="hybridMultilevel"/>
    <w:lvl w:ilvl="0">
      <w:lvlJc w:val="left"/>
      <w:lvlText w:val="(%1)"/>
      <w:numFmt w:val="lowerLetter"/>
      <w:start w:val="1"/>
    </w:lvl>
  </w:abstractNum>
  <w:abstractNum w:abstractNumId="95">
    <w:nsid w:val="313C7C99"/>
    <w:multiLevelType w:val="hybridMultilevel"/>
    <w:lvl w:ilvl="0">
      <w:lvlJc w:val="left"/>
      <w:lvlText w:val="(%1)"/>
      <w:numFmt w:val="lowerLetter"/>
      <w:start w:val="2"/>
    </w:lvl>
  </w:abstractNum>
  <w:abstractNum w:abstractNumId="96">
    <w:nsid w:val="519EB94C"/>
    <w:multiLevelType w:val="hybridMultilevel"/>
    <w:lvl w:ilvl="0">
      <w:lvlJc w:val="left"/>
      <w:lvlText w:val="(%1)"/>
      <w:numFmt w:val="lowerLetter"/>
      <w:start w:val="1"/>
    </w:lvl>
  </w:abstractNum>
  <w:abstractNum w:abstractNumId="97">
    <w:nsid w:val="39DF2579"/>
    <w:multiLevelType w:val="hybridMultilevel"/>
    <w:lvl w:ilvl="0">
      <w:lvlJc w:val="left"/>
      <w:lvlText w:val="(%1)"/>
      <w:numFmt w:val="lowerLetter"/>
      <w:start w:val="3"/>
    </w:lvl>
    <w:lvl w:ilvl="1">
      <w:lvlJc w:val="left"/>
      <w:lvlText w:val="(%2)"/>
      <w:numFmt w:val="lowerRoman"/>
      <w:start w:val="2"/>
    </w:lvl>
  </w:abstractNum>
  <w:abstractNum w:abstractNumId="98">
    <w:nsid w:val="126E008B"/>
    <w:multiLevelType w:val="hybridMultilevel"/>
    <w:lvl w:ilvl="0">
      <w:lvlJc w:val="left"/>
      <w:lvlText w:val="(%1)"/>
      <w:numFmt w:val="upperLetter"/>
      <w:start w:val="1"/>
    </w:lvl>
    <w:lvl w:ilvl="1">
      <w:lvlJc w:val="left"/>
      <w:lvlText w:val="(%2)"/>
      <w:numFmt w:val="upperLetter"/>
      <w:start w:val="2"/>
    </w:lvl>
  </w:abstractNum>
  <w:abstractNum w:abstractNumId="99">
    <w:nsid w:val="34DFBC0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00">
    <w:nsid w:val="1F9EC322"/>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2"/>
    </w:lvl>
  </w:abstractNum>
  <w:abstractNum w:abstractNumId="101">
    <w:nsid w:val="3410ED56"/>
    <w:multiLevelType w:val="hybridMultilevel"/>
    <w:lvl w:ilvl="0">
      <w:lvlJc w:val="left"/>
      <w:lvlText w:val="(%1)"/>
      <w:numFmt w:val="lowerRoman"/>
      <w:start w:val="1"/>
    </w:lvl>
  </w:abstractNum>
  <w:abstractNum w:abstractNumId="102">
    <w:nsid w:val="23C049A"/>
    <w:multiLevelType w:val="hybridMultilevel"/>
    <w:lvl w:ilvl="0">
      <w:lvlJc w:val="left"/>
      <w:lvlText w:val="(%1)"/>
      <w:numFmt w:val="lowerLetter"/>
      <w:start w:val="1"/>
    </w:lvl>
  </w:abstractNum>
  <w:abstractNum w:abstractNumId="103">
    <w:nsid w:val="5BDA35D4"/>
    <w:multiLevelType w:val="hybridMultilevel"/>
    <w:lvl w:ilvl="0">
      <w:lvlJc w:val="left"/>
      <w:lvlText w:val="(%1)"/>
      <w:numFmt w:val="lowerLetter"/>
      <w:start w:val="4"/>
    </w:lvl>
  </w:abstractNum>
  <w:abstractNum w:abstractNumId="104">
    <w:nsid w:val="496FB218"/>
    <w:multiLevelType w:val="hybridMultilevel"/>
    <w:lvl w:ilvl="0">
      <w:lvlJc w:val="left"/>
      <w:lvlText w:val="(%1)"/>
      <w:numFmt w:val="lowerLetter"/>
      <w:start w:val="1"/>
    </w:lvl>
  </w:abstractNum>
  <w:abstractNum w:abstractNumId="105">
    <w:nsid w:val="680EA5D1"/>
    <w:multiLevelType w:val="hybridMultilevel"/>
    <w:lvl w:ilvl="0">
      <w:lvlJc w:val="left"/>
      <w:lvlText w:val="(%1)"/>
      <w:numFmt w:val="lowerLetter"/>
      <w:start w:val="2"/>
    </w:lvl>
  </w:abstractNum>
  <w:abstractNum w:abstractNumId="106">
    <w:nsid w:val="4A9554FE"/>
    <w:multiLevelType w:val="hybridMultilevel"/>
    <w:lvl w:ilvl="0">
      <w:lvlJc w:val="left"/>
      <w:lvlText w:val="(%1)"/>
      <w:numFmt w:val="lowerLetter"/>
      <w:start w:val="1"/>
    </w:lvl>
  </w:abstractNum>
  <w:abstractNum w:abstractNumId="107">
    <w:nsid w:val="392EDBE4"/>
    <w:multiLevelType w:val="hybridMultilevel"/>
    <w:lvl w:ilvl="0">
      <w:lvlJc w:val="left"/>
      <w:lvlText w:val="(%1)"/>
      <w:numFmt w:val="lowerLetter"/>
      <w:start w:val="3"/>
    </w:lvl>
  </w:abstractNum>
  <w:abstractNum w:abstractNumId="108">
    <w:nsid w:val="3D1A2DD9"/>
    <w:multiLevelType w:val="hybridMultilevel"/>
    <w:lvl w:ilvl="0">
      <w:lvlJc w:val="left"/>
      <w:lvlText w:val="(%1)"/>
      <w:numFmt w:val="lowerRoman"/>
      <w:start w:val="1"/>
    </w:lvl>
  </w:abstractNum>
  <w:abstractNum w:abstractNumId="109">
    <w:nsid w:val="7F618FCD"/>
    <w:multiLevelType w:val="hybridMultilevel"/>
    <w:lvl w:ilvl="0">
      <w:lvlJc w:val="left"/>
      <w:lvlText w:val="(%1)"/>
      <w:numFmt w:val="lowerLetter"/>
      <w:start w:val="10"/>
    </w:lvl>
  </w:abstractNum>
  <w:abstractNum w:abstractNumId="110">
    <w:nsid w:val="7843E45"/>
    <w:multiLevelType w:val="hybridMultilevel"/>
    <w:lvl w:ilvl="0">
      <w:lvlJc w:val="left"/>
      <w:lvlText w:val="(%1)"/>
      <w:numFmt w:val="lowerLetter"/>
      <w:start w:val="1"/>
    </w:lvl>
  </w:abstractNum>
  <w:abstractNum w:abstractNumId="111">
    <w:nsid w:val="9815DA3"/>
    <w:multiLevelType w:val="hybridMultilevel"/>
    <w:lvl w:ilvl="0">
      <w:lvlJc w:val="left"/>
      <w:lvlText w:val="(%1)"/>
      <w:numFmt w:val="lowerLetter"/>
      <w:start w:val="2"/>
    </w:lvl>
  </w:abstractNum>
  <w:abstractNum w:abstractNumId="112">
    <w:nsid w:val="5204A191"/>
    <w:multiLevelType w:val="hybridMultilevel"/>
    <w:lvl w:ilvl="0">
      <w:lvlJc w:val="left"/>
      <w:lvlText w:val="(%1)"/>
      <w:numFmt w:val="lowerLetter"/>
      <w:start w:val="1"/>
    </w:lvl>
  </w:abstractNum>
  <w:abstractNum w:abstractNumId="113">
    <w:nsid w:val="4C73A9C6"/>
    <w:multiLevelType w:val="hybridMultilevel"/>
    <w:lvl w:ilvl="0">
      <w:lvlJc w:val="left"/>
      <w:lvlText w:val="(%1)"/>
      <w:numFmt w:val="lowerLetter"/>
      <w:start w:val="3"/>
    </w:lvl>
  </w:abstractNum>
  <w:abstractNum w:abstractNumId="114">
    <w:nsid w:val="1C7E3C01"/>
    <w:multiLevelType w:val="hybridMultilevel"/>
    <w:lvl w:ilvl="0">
      <w:lvlJc w:val="left"/>
      <w:lvlText w:val="(%1)"/>
      <w:numFmt w:val="lowerLetter"/>
      <w:start w:val="2"/>
    </w:lvl>
  </w:abstractNum>
  <w:abstractNum w:abstractNumId="115">
    <w:nsid w:val="1C2201FF"/>
    <w:multiLevelType w:val="hybridMultilevel"/>
    <w:lvl w:ilvl="0">
      <w:lvlJc w:val="left"/>
      <w:lvlText w:val="(%1)"/>
      <w:numFmt w:val="lowerLetter"/>
      <w:start w:val="1"/>
    </w:lvl>
  </w:abstractNum>
  <w:abstractNum w:abstractNumId="116">
    <w:nsid w:val="50ABCEC9"/>
    <w:multiLevelType w:val="hybridMultilevel"/>
    <w:lvl w:ilvl="0">
      <w:lvlJc w:val="left"/>
      <w:lvlText w:val="%1"/>
      <w:numFmt w:val="lowerLetter"/>
      <w:start w:val="1"/>
    </w:lvl>
    <w:lvl w:ilvl="1">
      <w:lvlJc w:val="left"/>
      <w:lvlText w:val="(%2)"/>
      <w:numFmt w:val="lowerLetter"/>
      <w:start w:val="6"/>
    </w:lvl>
  </w:abstractNum>
  <w:abstractNum w:abstractNumId="117">
    <w:nsid w:val="7635AA2A"/>
    <w:multiLevelType w:val="hybridMultilevel"/>
    <w:lvl w:ilvl="0">
      <w:lvlJc w:val="left"/>
      <w:lvlText w:val="(%1)"/>
      <w:numFmt w:val="lowerLetter"/>
      <w:start w:val="24"/>
    </w:lvl>
    <w:lvl w:ilvl="1">
      <w:lvlJc w:val="left"/>
      <w:lvlText w:val="(%2)"/>
      <w:numFmt w:val="lowerLetter"/>
      <w:start w:val="8"/>
    </w:lvl>
  </w:abstractNum>
  <w:abstractNum w:abstractNumId="118">
    <w:nsid w:val="5E74C4D9"/>
    <w:multiLevelType w:val="hybridMultilevel"/>
    <w:lvl w:ilvl="0">
      <w:lvlJc w:val="left"/>
      <w:lvlText w:val="(%1)"/>
      <w:numFmt w:val="lowerLetter"/>
      <w:start w:val="1"/>
    </w:lvl>
  </w:abstractNum>
  <w:abstractNum w:abstractNumId="119">
    <w:nsid w:val="3B3EBE15"/>
    <w:multiLevelType w:val="hybridMultilevel"/>
    <w:lvl w:ilvl="0">
      <w:lvlJc w:val="left"/>
      <w:lvlText w:val="(%1)"/>
      <w:numFmt w:val="lowerLetter"/>
      <w:start w:val="1"/>
    </w:lvl>
  </w:abstractNum>
  <w:abstractNum w:abstractNumId="120">
    <w:nsid w:val="3822CB01"/>
    <w:multiLevelType w:val="hybridMultilevel"/>
    <w:lvl w:ilvl="0">
      <w:lvlJc w:val="left"/>
      <w:lvlText w:val="(%1)"/>
      <w:numFmt w:val="lowerRoman"/>
      <w:start w:val="1"/>
    </w:lvl>
  </w:abstractNum>
  <w:abstractNum w:abstractNumId="121">
    <w:nsid w:val="6CE00443"/>
    <w:multiLevelType w:val="hybridMultilevel"/>
    <w:lvl w:ilvl="0">
      <w:lvlJc w:val="left"/>
      <w:lvlText w:val="%1"/>
      <w:numFmt w:val="lowerLetter"/>
      <w:start w:val="1"/>
    </w:lvl>
    <w:lvl w:ilvl="1">
      <w:lvlJc w:val="left"/>
      <w:lvlText w:val="(%2)"/>
      <w:numFmt w:val="lowerRoman"/>
      <w:start w:val="7"/>
    </w:lvl>
  </w:abstractNum>
  <w:abstractNum w:abstractNumId="122">
    <w:nsid w:val="79F0D62F"/>
    <w:multiLevelType w:val="hybridMultilevel"/>
    <w:lvl w:ilvl="0">
      <w:lvlJc w:val="left"/>
      <w:lvlText w:val="(%1)"/>
      <w:numFmt w:val="lowerLetter"/>
      <w:start w:val="2"/>
    </w:lvl>
    <w:lvl w:ilvl="1">
      <w:lvlJc w:val="left"/>
      <w:lvlText w:val="%2"/>
      <w:numFmt w:val="lowerRoman"/>
      <w:start w:val="1"/>
    </w:lvl>
  </w:abstractNum>
  <w:abstractNum w:abstractNumId="123">
    <w:nsid w:val="7975E8EE"/>
    <w:multiLevelType w:val="hybridMultilevel"/>
    <w:lvl w:ilvl="0">
      <w:lvlJc w:val="left"/>
      <w:lvlText w:val="(%1)"/>
      <w:numFmt w:val="lowerLetter"/>
      <w:start w:val="1"/>
    </w:lvl>
  </w:abstractNum>
  <w:abstractNum w:abstractNumId="124">
    <w:nsid w:val="73154115"/>
    <w:multiLevelType w:val="hybridMultilevel"/>
    <w:lvl w:ilvl="0">
      <w:lvlJc w:val="left"/>
      <w:lvlText w:val="(%1)"/>
      <w:numFmt w:val="lowerLetter"/>
      <w:start w:val="2"/>
    </w:lvl>
  </w:abstractNum>
  <w:abstractNum w:abstractNumId="125">
    <w:nsid w:val="622D8102"/>
    <w:multiLevelType w:val="hybridMultilevel"/>
    <w:lvl w:ilvl="0">
      <w:lvlJc w:val="left"/>
      <w:lvlText w:val="(%1)"/>
      <w:numFmt w:val="lowerLetter"/>
      <w:start w:val="3"/>
    </w:lvl>
  </w:abstractNum>
  <w:abstractNum w:abstractNumId="126">
    <w:nsid w:val="2AB26587"/>
    <w:multiLevelType w:val="hybridMultilevel"/>
    <w:lvl w:ilvl="0">
      <w:lvlJc w:val="left"/>
      <w:lvlText w:val="(%1)"/>
      <w:numFmt w:val="lowerLetter"/>
      <w:start w:val="1"/>
    </w:lvl>
  </w:abstractNum>
  <w:abstractNum w:abstractNumId="127">
    <w:nsid w:val="44B3FA61"/>
    <w:multiLevelType w:val="hybridMultilevel"/>
    <w:lvl w:ilvl="0">
      <w:lvlJc w:val="left"/>
      <w:lvlText w:val="(%1)"/>
      <w:numFmt w:val="lowerLetter"/>
      <w:start w:val="2"/>
    </w:lvl>
  </w:abstractNum>
  <w:abstractNum w:abstractNumId="128">
    <w:nsid w:val="1C0CA67C"/>
    <w:multiLevelType w:val="hybridMultilevel"/>
    <w:lvl w:ilvl="0">
      <w:lvlJc w:val="left"/>
      <w:lvlText w:val="(%1)"/>
      <w:numFmt w:val="lowerLetter"/>
      <w:start w:val="1"/>
    </w:lvl>
  </w:abstractNum>
  <w:abstractNum w:abstractNumId="129">
    <w:nsid w:val="3D206613"/>
    <w:multiLevelType w:val="hybridMultilevel"/>
    <w:lvl w:ilvl="0">
      <w:lvlJc w:val="left"/>
      <w:lvlText w:val="(%1)"/>
      <w:numFmt w:val="lowerLetter"/>
      <w:start w:val="1"/>
    </w:lvl>
  </w:abstractNum>
  <w:abstractNum w:abstractNumId="130">
    <w:nsid w:val="7993B662"/>
    <w:multiLevelType w:val="hybridMultilevel"/>
    <w:lvl w:ilvl="0">
      <w:lvlJc w:val="left"/>
      <w:lvlText w:val="(%1)"/>
      <w:numFmt w:val="lowerLetter"/>
      <w:start w:val="4"/>
    </w:lvl>
  </w:abstractNum>
  <w:abstractNum w:abstractNumId="131">
    <w:nsid w:val="3BAB699E"/>
    <w:multiLevelType w:val="hybridMultilevel"/>
    <w:lvl w:ilvl="0">
      <w:lvlJc w:val="left"/>
      <w:lvlText w:val="(%1)"/>
      <w:numFmt w:val="lowerLetter"/>
      <w:start w:val="8"/>
    </w:lvl>
  </w:abstractNum>
  <w:abstractNum w:abstractNumId="132">
    <w:nsid w:val="71315369"/>
    <w:multiLevelType w:val="hybridMultilevel"/>
    <w:lvl w:ilvl="0">
      <w:lvlJc w:val="left"/>
      <w:lvlText w:val="(%1)"/>
      <w:numFmt w:val="lowerLetter"/>
      <w:start w:val="1"/>
    </w:lvl>
  </w:abstractNum>
  <w:abstractNum w:abstractNumId="133">
    <w:nsid w:val="7BCFBAFC"/>
    <w:multiLevelType w:val="hybridMultilevel"/>
    <w:lvl w:ilvl="0">
      <w:lvlJc w:val="left"/>
      <w:lvlText w:val="(%1)"/>
      <w:numFmt w:val="lowerLetter"/>
      <w:start w:val="2"/>
    </w:lvl>
  </w:abstractNum>
  <w:abstractNum w:abstractNumId="134">
    <w:nsid w:val="17859F72"/>
    <w:multiLevelType w:val="hybridMultilevel"/>
    <w:lvl w:ilvl="0">
      <w:lvlJc w:val="left"/>
      <w:lvlText w:val="(%1)"/>
      <w:numFmt w:val="lowerLetter"/>
      <w:start w:val="1"/>
    </w:lvl>
  </w:abstractNum>
  <w:abstractNum w:abstractNumId="135">
    <w:nsid w:val="3AA10581"/>
    <w:multiLevelType w:val="hybridMultilevel"/>
    <w:lvl w:ilvl="0">
      <w:lvlJc w:val="left"/>
      <w:lvlText w:val="%1"/>
      <w:numFmt w:val="lowerLetter"/>
      <w:start w:val="1"/>
    </w:lvl>
    <w:lvl w:ilvl="1">
      <w:lvlJc w:val="left"/>
      <w:lvlText w:val="(%2)"/>
      <w:numFmt w:val="lowerLetter"/>
      <w:start w:val="1"/>
    </w:lvl>
  </w:abstractNum>
  <w:abstractNum w:abstractNumId="136">
    <w:nsid w:val="63DE60CD"/>
    <w:multiLevelType w:val="hybridMultilevel"/>
    <w:lvl w:ilvl="0">
      <w:lvlJc w:val="left"/>
      <w:lvlText w:val="(%1)"/>
      <w:numFmt w:val="lowerLetter"/>
      <w:start w:val="61"/>
    </w:lvl>
    <w:lvl w:ilvl="1">
      <w:lvlJc w:val="left"/>
      <w:lvlText w:val="%2"/>
      <w:numFmt w:val="lowerLetter"/>
      <w:start w:val="1"/>
    </w:lvl>
  </w:abstractNum>
  <w:abstractNum w:abstractNumId="137">
    <w:nsid w:val="621AF471"/>
    <w:multiLevelType w:val="hybridMultilevel"/>
    <w:lvl w:ilvl="0">
      <w:lvlJc w:val="left"/>
      <w:lvlText w:val="%1"/>
      <w:numFmt w:val="lowerRoman"/>
      <w:start w:val="1"/>
    </w:lvl>
    <w:lvl w:ilvl="1">
      <w:lvlJc w:val="left"/>
      <w:lvlText w:val="(%2)"/>
      <w:numFmt w:val="lowerLetter"/>
      <w:start w:val="2"/>
    </w:lvl>
  </w:abstractNum>
  <w:abstractNum w:abstractNumId="138">
    <w:nsid w:val="73CFE165"/>
    <w:multiLevelType w:val="hybridMultilevel"/>
    <w:lvl w:ilvl="0">
      <w:lvlJc w:val="left"/>
      <w:lvlText w:val="(%1)"/>
      <w:numFmt w:val="lowerRoman"/>
      <w:start w:val="4"/>
    </w:lvl>
    <w:lvl w:ilvl="1">
      <w:lvlJc w:val="left"/>
      <w:lvlText w:val="(%2)"/>
      <w:numFmt w:val="lowerLetter"/>
      <w:start w:val="3"/>
    </w:lvl>
  </w:abstractNum>
  <w:abstractNum w:abstractNumId="139">
    <w:nsid w:val="20F88EA6"/>
    <w:multiLevelType w:val="hybridMultilevel"/>
    <w:lvl w:ilvl="0">
      <w:lvlJc w:val="left"/>
      <w:lvlText w:val="(%1)"/>
      <w:numFmt w:val="lowerLetter"/>
      <w:start w:val="6"/>
    </w:lvl>
  </w:abstractNum>
  <w:abstractNum w:abstractNumId="140">
    <w:nsid w:val="617C843E"/>
    <w:multiLevelType w:val="hybridMultilevel"/>
    <w:lvl w:ilvl="0">
      <w:lvlJc w:val="left"/>
      <w:lvlText w:val="(%1)"/>
      <w:numFmt w:val="lowerLetter"/>
      <w:start w:val="10"/>
    </w:lvl>
  </w:abstractNum>
  <w:abstractNum w:abstractNumId="141">
    <w:nsid w:val="7B541F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2">
    <w:nsid w:val="2A79EC49"/>
    <w:multiLevelType w:val="hybridMultilevel"/>
    <w:lvl w:ilvl="0">
      <w:lvlJc w:val="left"/>
      <w:lvlText w:val="(%1)"/>
      <w:numFmt w:val="upperLetter"/>
      <w:start w:val="8"/>
    </w:lvl>
    <w:lvl w:ilvl="1">
      <w:lvlJc w:val="left"/>
      <w:lvlText w:val="%2"/>
      <w:numFmt w:val="lowerLetter"/>
      <w:start w:val="1"/>
    </w:lvl>
    <w:lvl w:ilvl="2">
      <w:lvlJc w:val="left"/>
      <w:lvlText w:val="(%3)"/>
      <w:numFmt w:val="lowerRoman"/>
      <w:start w:val="2"/>
    </w:lvl>
  </w:abstractNum>
  <w:abstractNum w:abstractNumId="143">
    <w:nsid w:val="338125CF"/>
    <w:multiLevelType w:val="hybridMultilevel"/>
    <w:lvl w:ilvl="0">
      <w:lvlJc w:val="left"/>
      <w:lvlText w:val="(%1)"/>
      <w:numFmt w:val="lowerLetter"/>
      <w:start w:val="3"/>
    </w:lvl>
  </w:abstractNum>
  <w:abstractNum w:abstractNumId="144">
    <w:nsid w:val="47C7C971"/>
    <w:multiLevelType w:val="hybridMultilevel"/>
    <w:lvl w:ilvl="0">
      <w:lvlJc w:val="left"/>
      <w:lvlText w:val="(%1)"/>
      <w:numFmt w:val="lowerLetter"/>
      <w:start w:val="1"/>
    </w:lvl>
  </w:abstractNum>
  <w:abstractNum w:abstractNumId="145">
    <w:nsid w:val="46F8284B"/>
    <w:multiLevelType w:val="hybridMultilevel"/>
    <w:lvl w:ilvl="0">
      <w:lvlJc w:val="left"/>
      <w:lvlText w:val="(%1)"/>
      <w:numFmt w:val="lowerLetter"/>
      <w:start w:val="2"/>
    </w:lvl>
  </w:abstractNum>
  <w:abstractNum w:abstractNumId="146">
    <w:nsid w:val="4FA327CE"/>
    <w:multiLevelType w:val="hybridMultilevel"/>
    <w:lvl w:ilvl="0">
      <w:lvlJc w:val="left"/>
      <w:lvlText w:val="(%1)"/>
      <w:numFmt w:val="lowerLetter"/>
      <w:start w:val="1"/>
    </w:lvl>
    <w:lvl w:ilvl="1">
      <w:lvlJc w:val="left"/>
      <w:lvlText w:val="(%2)"/>
      <w:numFmt w:val="lowerLetter"/>
      <w:start w:val="9"/>
    </w:lvl>
  </w:abstractNum>
  <w:abstractNum w:abstractNumId="147">
    <w:nsid w:val="1873983A"/>
    <w:multiLevelType w:val="hybridMultilevel"/>
    <w:lvl w:ilvl="0">
      <w:lvlJc w:val="left"/>
      <w:lvlText w:val="%1"/>
      <w:numFmt w:val="lowerLetter"/>
      <w:start w:val="1"/>
    </w:lvl>
    <w:lvl w:ilvl="1">
      <w:lvlJc w:val="left"/>
      <w:lvlText w:val="(%2)"/>
      <w:numFmt w:val="lowerLetter"/>
      <w:start w:val="35"/>
    </w:lvl>
  </w:abstractNum>
  <w:abstractNum w:abstractNumId="148">
    <w:nsid w:val="3D2DD275"/>
    <w:multiLevelType w:val="hybridMultilevel"/>
    <w:lvl w:ilvl="0">
      <w:lvlJc w:val="left"/>
      <w:lvlText w:val="(%1)"/>
      <w:numFmt w:val="lowerLetter"/>
      <w:start w:val="5"/>
    </w:lvl>
    <w:lvl w:ilvl="1">
      <w:lvlJc w:val="left"/>
      <w:lvlText w:val="%2"/>
      <w:numFmt w:val="lowerLetter"/>
      <w:start w:val="1"/>
    </w:lvl>
  </w:abstractNum>
  <w:abstractNum w:abstractNumId="149">
    <w:nsid w:val="2E17ECA7"/>
    <w:multiLevelType w:val="hybridMultilevel"/>
    <w:lvl w:ilvl="0">
      <w:lvlJc w:val="left"/>
      <w:lvlText w:val="%1"/>
      <w:numFmt w:val="lowerLetter"/>
      <w:start w:val="1"/>
    </w:lvl>
    <w:lvl w:ilvl="1">
      <w:lvlJc w:val="left"/>
      <w:lvlText w:val="(%2)"/>
      <w:numFmt w:val="lowerLetter"/>
      <w:start w:val="1"/>
    </w:lvl>
  </w:abstractNum>
  <w:abstractNum w:abstractNumId="150">
    <w:nsid w:val="53B2564F"/>
    <w:multiLevelType w:val="hybridMultilevel"/>
    <w:lvl w:ilvl="0">
      <w:lvlJc w:val="left"/>
      <w:lvlText w:val="(%1)"/>
      <w:numFmt w:val="lowerLetter"/>
      <w:start w:val="35"/>
    </w:lvl>
    <w:lvl w:ilvl="1">
      <w:lvlJc w:val="left"/>
      <w:lvlText w:val="%2"/>
      <w:numFmt w:val="lowerLetter"/>
      <w:start w:val="1"/>
    </w:lvl>
  </w:abstractNum>
  <w:abstractNum w:abstractNumId="151">
    <w:nsid w:val="75509D76"/>
    <w:multiLevelType w:val="hybridMultilevel"/>
    <w:lvl w:ilvl="0">
      <w:lvlJc w:val="left"/>
      <w:lvlText w:val="(%1)"/>
      <w:numFmt w:val="lowerLetter"/>
      <w:start w:val="2"/>
    </w:lvl>
  </w:abstractNum>
  <w:abstractNum w:abstractNumId="152">
    <w:nsid w:val="1AF7F0EA"/>
    <w:multiLevelType w:val="hybridMultilevel"/>
    <w:lvl w:ilvl="0">
      <w:lvlJc w:val="left"/>
      <w:lvlText w:val="%1."/>
      <w:numFmt w:val="decimal"/>
      <w:start w:val="1"/>
    </w:lvl>
  </w:abstractNum>
  <w:abstractNum w:abstractNumId="153">
    <w:nsid w:val="4DA32C7E"/>
    <w:multiLevelType w:val="hybridMultilevel"/>
    <w:lvl w:ilvl="0">
      <w:lvlJc w:val="left"/>
      <w:lvlText w:val="%1."/>
      <w:numFmt w:val="decimal"/>
      <w:start w:val="4"/>
    </w:lvl>
  </w:abstractNum>
  <w:abstractNum w:abstractNumId="154">
    <w:nsid w:val="6EC68664"/>
    <w:multiLevelType w:val="hybridMultilevel"/>
    <w:lvl w:ilvl="0">
      <w:lvlJc w:val="left"/>
      <w:lvlText w:val="%1."/>
      <w:numFmt w:val="decimal"/>
      <w:start w:val="1"/>
    </w:lvl>
  </w:abstractNum>
  <w:abstractNum w:abstractNumId="155">
    <w:nsid w:val="E0D31FF"/>
    <w:multiLevelType w:val="hybridMultilevel"/>
    <w:lvl w:ilvl="0">
      <w:lvlJc w:val="left"/>
      <w:lvlText w:val="(%1)"/>
      <w:numFmt w:val="lowerLetter"/>
      <w:start w:val="1"/>
    </w:lvl>
  </w:abstractNum>
  <w:abstractNum w:abstractNumId="156">
    <w:nsid w:val="2FD0AD81"/>
    <w:multiLevelType w:val="hybridMultilevel"/>
    <w:lvl w:ilvl="0">
      <w:lvlJc w:val="left"/>
      <w:lvlText w:val="(%1)"/>
      <w:numFmt w:val="lowerLetter"/>
      <w:start w:val="2"/>
    </w:lvl>
  </w:abstractNum>
  <w:abstractNum w:abstractNumId="157">
    <w:nsid w:val="1978EBE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58">
    <w:nsid w:val="52C12C61"/>
    <w:multiLevelType w:val="hybridMultilevel"/>
    <w:lvl w:ilvl="0">
      <w:lvlJc w:val="left"/>
      <w:lvlText w:val="(%1)"/>
      <w:numFmt w:val="lowerRoman"/>
      <w:start w:val="1"/>
    </w:lvl>
  </w:abstractNum>
  <w:abstractNum w:abstractNumId="159">
    <w:nsid w:val="4BDD53FD"/>
    <w:multiLevelType w:val="hybridMultilevel"/>
    <w:lvl w:ilvl="0">
      <w:lvlJc w:val="left"/>
      <w:lvlText w:val="(%1)"/>
      <w:numFmt w:val="lowerRoman"/>
      <w:start w:val="5"/>
    </w:lvl>
  </w:abstractNum>
  <w:abstractNum w:abstractNumId="160">
    <w:nsid w:val="569951FE"/>
    <w:multiLevelType w:val="hybridMultilevel"/>
    <w:lvl w:ilvl="0">
      <w:lvlJc w:val="left"/>
      <w:lvlText w:val="(%1)"/>
      <w:numFmt w:val="lowerLetter"/>
      <w:start w:val="1"/>
    </w:lvl>
  </w:abstractNum>
  <w:abstractNum w:abstractNumId="161">
    <w:nsid w:val="4C54E2C3"/>
    <w:multiLevelType w:val="hybridMultilevel"/>
    <w:lvl w:ilvl="0">
      <w:lvlJc w:val="left"/>
      <w:lvlText w:val="(%1)"/>
      <w:numFmt w:val="lowerLetter"/>
      <w:start w:val="1"/>
    </w:lvl>
  </w:abstractNum>
  <w:abstractNum w:abstractNumId="162">
    <w:nsid w:val="788BD9B"/>
    <w:multiLevelType w:val="hybridMultilevel"/>
    <w:lvl w:ilvl="0">
      <w:lvlJc w:val="left"/>
      <w:lvlText w:val="(%1)"/>
      <w:numFmt w:val="lowerLetter"/>
      <w:start w:val="2"/>
    </w:lvl>
  </w:abstractNum>
  <w:abstractNum w:abstractNumId="163">
    <w:nsid w:val="47CAA567"/>
    <w:multiLevelType w:val="hybridMultilevel"/>
    <w:lvl w:ilvl="0">
      <w:lvlJc w:val="left"/>
      <w:lvlText w:val="(%1)"/>
      <w:numFmt w:val="lowerLetter"/>
      <w:start w:val="4"/>
    </w:lvl>
  </w:abstractNum>
  <w:abstractNum w:abstractNumId="164">
    <w:nsid w:val="48249DBF"/>
    <w:multiLevelType w:val="hybridMultilevel"/>
    <w:lvl w:ilvl="0">
      <w:lvlJc w:val="left"/>
      <w:lvlText w:val="(%1)"/>
      <w:numFmt w:val="lowerLetter"/>
      <w:start w:val="1"/>
    </w:lvl>
  </w:abstractNum>
  <w:abstractNum w:abstractNumId="165">
    <w:nsid w:val="1F0E5D0D"/>
    <w:multiLevelType w:val="hybridMultilevel"/>
    <w:lvl w:ilvl="0">
      <w:lvlJc w:val="left"/>
      <w:lvlText w:val="(%1)"/>
      <w:numFmt w:val="lowerLetter"/>
      <w:start w:val="4"/>
    </w:lvl>
  </w:abstractNum>
  <w:abstractNum w:abstractNumId="166">
    <w:nsid w:val="26BAAE9"/>
    <w:multiLevelType w:val="hybridMultilevel"/>
    <w:lvl w:ilvl="0">
      <w:lvlJc w:val="left"/>
      <w:lvlText w:val="(%1)"/>
      <w:numFmt w:val="lowerLetter"/>
      <w:start w:val="1"/>
    </w:lvl>
  </w:abstractNum>
  <w:abstractNum w:abstractNumId="167">
    <w:nsid w:val="2C02FE8C"/>
    <w:multiLevelType w:val="hybridMultilevel"/>
    <w:lvl w:ilvl="0">
      <w:lvlJc w:val="left"/>
      <w:lvlText w:val="(%1)"/>
      <w:numFmt w:val="lowerLetter"/>
      <w:start w:val="1"/>
    </w:lvl>
  </w:abstractNum>
  <w:abstractNum w:abstractNumId="168">
    <w:nsid w:val="129517E"/>
    <w:multiLevelType w:val="hybridMultilevel"/>
    <w:lvl w:ilvl="0">
      <w:lvlJc w:val="left"/>
      <w:lvlText w:val="(%1)"/>
      <w:numFmt w:val="lowerLetter"/>
      <w:start w:val="1"/>
    </w:lvl>
  </w:abstractNum>
  <w:abstractNum w:abstractNumId="169">
    <w:nsid w:val="763B8C4E"/>
    <w:multiLevelType w:val="hybridMultilevel"/>
    <w:lvl w:ilvl="0">
      <w:lvlJc w:val="left"/>
      <w:lvlText w:val="(%1)"/>
      <w:numFmt w:val="lowerLetter"/>
      <w:start w:val="2"/>
    </w:lvl>
  </w:abstractNum>
  <w:abstractNum w:abstractNumId="170">
    <w:nsid w:val="4CFB8D32"/>
    <w:multiLevelType w:val="hybridMultilevel"/>
    <w:lvl w:ilvl="0">
      <w:lvlJc w:val="left"/>
      <w:lvlText w:val="(%1)"/>
      <w:numFmt w:val="lowerLetter"/>
      <w:start w:val="5"/>
    </w:lvl>
  </w:abstractNum>
  <w:abstractNum w:abstractNumId="171">
    <w:nsid w:val="62A5D5BD"/>
    <w:multiLevelType w:val="hybridMultilevel"/>
    <w:lvl w:ilvl="0">
      <w:lvlJc w:val="left"/>
      <w:lvlText w:val="(%1)"/>
      <w:numFmt w:val="lowerLetter"/>
      <w:start w:val="9"/>
    </w:lvl>
  </w:abstractNum>
  <w:abstractNum w:abstractNumId="172">
    <w:nsid w:val="718FABF9"/>
    <w:multiLevelType w:val="hybridMultilevel"/>
    <w:lvl w:ilvl="0">
      <w:lvlJc w:val="left"/>
      <w:lvlText w:val="(%1)"/>
      <w:numFmt w:val="lowerRoman"/>
      <w:start w:val="4"/>
    </w:lvl>
  </w:abstractNum>
  <w:abstractNum w:abstractNumId="173">
    <w:nsid w:val="7775797C"/>
    <w:multiLevelType w:val="hybridMultilevel"/>
    <w:lvl w:ilvl="0">
      <w:lvlJc w:val="left"/>
      <w:lvlText w:val="(%1)"/>
      <w:numFmt w:val="lowerLetter"/>
      <w:start w:val="1"/>
    </w:lvl>
  </w:abstractNum>
  <w:abstractNum w:abstractNumId="174">
    <w:nsid w:val="1626FB8C"/>
    <w:multiLevelType w:val="hybridMultilevel"/>
    <w:lvl w:ilvl="0">
      <w:lvlJc w:val="left"/>
      <w:lvlText w:val="(%1)"/>
      <w:numFmt w:val="lowerLetter"/>
      <w:start w:val="4"/>
    </w:lvl>
  </w:abstractNum>
  <w:abstractNum w:abstractNumId="175">
    <w:nsid w:val="3957756A"/>
    <w:multiLevelType w:val="hybridMultilevel"/>
    <w:lvl w:ilvl="0">
      <w:lvlJc w:val="left"/>
      <w:lvlText w:val="(%1)"/>
      <w:numFmt w:val="lowerLetter"/>
      <w:start w:val="11"/>
    </w:lvl>
  </w:abstractNum>
  <w:abstractNum w:abstractNumId="176">
    <w:nsid w:val="3E6DA1C7"/>
    <w:multiLevelType w:val="hybridMultilevel"/>
    <w:lvl w:ilvl="0">
      <w:lvlJc w:val="left"/>
      <w:lvlText w:val="%1"/>
      <w:numFmt w:val="lowerLetter"/>
      <w:start w:val="1"/>
    </w:lvl>
    <w:lvl w:ilvl="1">
      <w:lvlJc w:val="left"/>
      <w:lvlText w:val="(%2)"/>
      <w:numFmt w:val="lowerLetter"/>
      <w:start w:val="1"/>
    </w:lvl>
  </w:abstractNum>
  <w:abstractNum w:abstractNumId="177">
    <w:nsid w:val="65CA235B"/>
    <w:multiLevelType w:val="hybridMultilevel"/>
    <w:lvl w:ilvl="0">
      <w:lvlJc w:val="left"/>
      <w:lvlText w:val="(%1)"/>
      <w:numFmt w:val="lowerLetter"/>
      <w:start w:val="25"/>
    </w:lvl>
    <w:lvl w:ilvl="1">
      <w:lvlJc w:val="left"/>
      <w:lvlText w:val="(%2)"/>
      <w:numFmt w:val="lowerLetter"/>
      <w:start w:val="3"/>
    </w:lvl>
  </w:abstractNum>
  <w:abstractNum w:abstractNumId="178">
    <w:nsid w:val="51CB0DA4"/>
    <w:multiLevelType w:val="hybridMultilevel"/>
    <w:lvl w:ilvl="0">
      <w:lvlJc w:val="left"/>
      <w:lvlText w:val="(%1)"/>
      <w:numFmt w:val="lowerLetter"/>
      <w:start w:val="4"/>
    </w:lvl>
  </w:abstractNum>
  <w:abstractNum w:abstractNumId="179">
    <w:nsid w:val="7B9B743C"/>
    <w:multiLevelType w:val="hybridMultilevel"/>
    <w:lvl w:ilvl="0">
      <w:lvlJc w:val="left"/>
      <w:lvlText w:val="(%1)"/>
      <w:numFmt w:val="lowerLetter"/>
      <w:start w:val="1"/>
    </w:lvl>
  </w:abstractNum>
  <w:abstractNum w:abstractNumId="180">
    <w:nsid w:val="13E21002"/>
    <w:multiLevelType w:val="hybridMultilevel"/>
    <w:lvl w:ilvl="0">
      <w:lvlJc w:val="left"/>
      <w:lvlText w:val="(%1)"/>
      <w:numFmt w:val="lowerLetter"/>
      <w:start w:val="1"/>
    </w:lvl>
  </w:abstractNum>
  <w:abstractNum w:abstractNumId="181">
    <w:nsid w:val="257D63F4"/>
    <w:multiLevelType w:val="hybridMultilevel"/>
    <w:lvl w:ilvl="0">
      <w:lvlJc w:val="left"/>
      <w:lvlText w:val="(%1)"/>
      <w:numFmt w:val="lowerRoman"/>
      <w:start w:val="1"/>
    </w:lvl>
  </w:abstractNum>
  <w:abstractNum w:abstractNumId="182">
    <w:nsid w:val="70EC11B2"/>
    <w:multiLevelType w:val="hybridMultilevel"/>
    <w:lvl w:ilvl="0">
      <w:lvlJc w:val="left"/>
      <w:lvlText w:val="(%1)"/>
      <w:numFmt w:val="lowerRoman"/>
      <w:start w:val="1"/>
    </w:lvl>
  </w:abstractNum>
  <w:abstractNum w:abstractNumId="183">
    <w:nsid w:val="2EDA00ED"/>
    <w:multiLevelType w:val="hybridMultilevel"/>
    <w:lvl w:ilvl="0">
      <w:lvlJc w:val="left"/>
      <w:lvlText w:val="(%1)"/>
      <w:numFmt w:val="lowerLetter"/>
      <w:start w:val="2"/>
    </w:lvl>
  </w:abstractNum>
  <w:abstractNum w:abstractNumId="184">
    <w:nsid w:val="73209072"/>
    <w:multiLevelType w:val="hybridMultilevel"/>
    <w:lvl w:ilvl="0">
      <w:lvlJc w:val="left"/>
      <w:lvlText w:val="(%1)"/>
      <w:numFmt w:val="lowerLetter"/>
      <w:start w:val="6"/>
    </w:lvl>
  </w:abstractNum>
  <w:abstractNum w:abstractNumId="185">
    <w:nsid w:val="5FB29816"/>
    <w:multiLevelType w:val="hybridMultilevel"/>
    <w:lvl w:ilvl="0">
      <w:lvlJc w:val="left"/>
      <w:lvlText w:val="(%1)"/>
      <w:numFmt w:val="lowerRoman"/>
      <w:start w:val="1"/>
    </w:lvl>
  </w:abstractNum>
  <w:abstractNum w:abstractNumId="186">
    <w:nsid w:val="3CE732EC"/>
    <w:multiLevelType w:val="hybridMultilevel"/>
    <w:lvl w:ilvl="0">
      <w:lvlJc w:val="left"/>
      <w:lvlText w:val="(%1)"/>
      <w:numFmt w:val="lowerLetter"/>
      <w:start w:val="1"/>
    </w:lvl>
  </w:abstractNum>
  <w:abstractNum w:abstractNumId="187">
    <w:nsid w:val="22F13DF3"/>
    <w:multiLevelType w:val="hybridMultilevel"/>
    <w:lvl w:ilvl="0">
      <w:lvlJc w:val="left"/>
      <w:lvlText w:val="(%1)"/>
      <w:numFmt w:val="lowerLetter"/>
      <w:start w:val="2"/>
    </w:lvl>
  </w:abstractNum>
  <w:abstractNum w:abstractNumId="188">
    <w:nsid w:val="792B8401"/>
    <w:multiLevelType w:val="hybridMultilevel"/>
    <w:lvl w:ilvl="0">
      <w:lvlJc w:val="left"/>
      <w:lvlText w:val="(%1)"/>
      <w:numFmt w:val="lowerLetter"/>
      <w:start w:val="7"/>
    </w:lvl>
  </w:abstractNum>
  <w:abstractNum w:abstractNumId="189">
    <w:nsid w:val="FA85F4D"/>
    <w:multiLevelType w:val="hybridMultilevel"/>
    <w:lvl w:ilvl="0">
      <w:lvlJc w:val="left"/>
      <w:lvlText w:val="(%1)"/>
      <w:numFmt w:val="lowerLetter"/>
      <w:start w:val="13"/>
    </w:lvl>
  </w:abstractNum>
  <w:abstractNum w:abstractNumId="190">
    <w:nsid w:val="6ECE91F0"/>
    <w:multiLevelType w:val="hybridMultilevel"/>
    <w:lvl w:ilvl="0">
      <w:lvlJc w:val="left"/>
      <w:lvlText w:val="(%1)"/>
      <w:numFmt w:val="lowerLetter"/>
      <w:start w:val="1"/>
    </w:lvl>
  </w:abstractNum>
  <w:abstractNum w:abstractNumId="191">
    <w:nsid w:val="4FC4D600"/>
    <w:multiLevelType w:val="hybridMultilevel"/>
    <w:lvl w:ilvl="0">
      <w:lvlJc w:val="left"/>
      <w:lvlText w:val="(%1)"/>
      <w:numFmt w:val="lowerLetter"/>
      <w:start w:val="1"/>
    </w:lvl>
  </w:abstractNum>
  <w:abstractNum w:abstractNumId="192">
    <w:nsid w:val="5BFD4210"/>
    <w:multiLevelType w:val="hybridMultilevel"/>
    <w:lvl w:ilvl="0">
      <w:lvlJc w:val="left"/>
      <w:lvlText w:val="(%1)"/>
      <w:numFmt w:val="lowerLetter"/>
      <w:start w:val="5"/>
    </w:lvl>
  </w:abstractNum>
  <w:abstractNum w:abstractNumId="193">
    <w:nsid w:val="76574F8B"/>
    <w:multiLevelType w:val="hybridMultilevel"/>
    <w:lvl w:ilvl="0">
      <w:lvlJc w:val="left"/>
      <w:lvlText w:val="(%1)"/>
      <w:numFmt w:val="lowerLetter"/>
      <w:start w:val="12"/>
    </w:lvl>
  </w:abstractNum>
  <w:abstractNum w:abstractNumId="194">
    <w:nsid w:val="178F7B67"/>
    <w:multiLevelType w:val="hybridMultilevel"/>
    <w:lvl w:ilvl="0">
      <w:lvlJc w:val="left"/>
      <w:lvlText w:val="(%1)"/>
      <w:numFmt w:val="lowerLetter"/>
      <w:start w:val="1"/>
    </w:lvl>
  </w:abstractNum>
  <w:abstractNum w:abstractNumId="195">
    <w:nsid w:val="2421DFCF"/>
    <w:multiLevelType w:val="hybridMultilevel"/>
    <w:lvl w:ilvl="0">
      <w:lvlJc w:val="left"/>
      <w:lvlText w:val="(%1)"/>
      <w:numFmt w:val="lowerLetter"/>
      <w:start w:val="6"/>
    </w:lvl>
  </w:abstractNum>
  <w:abstractNum w:abstractNumId="196">
    <w:nsid w:val="1565AC99"/>
    <w:multiLevelType w:val="hybridMultilevel"/>
    <w:lvl w:ilvl="0">
      <w:lvlJc w:val="left"/>
      <w:lvlText w:val="(%1)"/>
      <w:numFmt w:val="lowerLetter"/>
      <w:start w:val="1"/>
    </w:lvl>
  </w:abstractNum>
  <w:abstractNum w:abstractNumId="197">
    <w:nsid w:val="19FB2650"/>
    <w:multiLevelType w:val="hybridMultilevel"/>
    <w:lvl w:ilvl="0">
      <w:lvlJc w:val="left"/>
      <w:lvlText w:val="(%1)"/>
      <w:numFmt w:val="lowerLetter"/>
      <w:start w:val="2"/>
    </w:lvl>
  </w:abstractNum>
  <w:abstractNum w:abstractNumId="198">
    <w:nsid w:val="5024DE5B"/>
    <w:multiLevelType w:val="hybridMultilevel"/>
    <w:lvl w:ilvl="0">
      <w:lvlJc w:val="left"/>
      <w:lvlText w:val="(%1)"/>
      <w:numFmt w:val="lowerLetter"/>
      <w:start w:val="1"/>
    </w:lvl>
  </w:abstractNum>
  <w:abstractNum w:abstractNumId="199">
    <w:nsid w:val="168EFE17"/>
    <w:multiLevelType w:val="hybridMultilevel"/>
    <w:lvl w:ilvl="0">
      <w:lvlJc w:val="left"/>
      <w:lvlText w:val="(%1)"/>
      <w:numFmt w:val="lowerLetter"/>
      <w:start w:val="1"/>
    </w:lvl>
  </w:abstractNum>
  <w:abstractNum w:abstractNumId="200">
    <w:nsid w:val="1036B29F"/>
    <w:multiLevelType w:val="hybridMultilevel"/>
    <w:lvl w:ilvl="0">
      <w:lvlJc w:val="left"/>
      <w:lvlText w:val="(%1)"/>
      <w:numFmt w:val="lowerLetter"/>
      <w:start w:val="1"/>
    </w:lvl>
  </w:abstractNum>
  <w:abstractNum w:abstractNumId="201">
    <w:nsid w:val="1D206B8E"/>
    <w:multiLevelType w:val="hybridMultilevel"/>
    <w:lvl w:ilvl="0">
      <w:lvlJc w:val="left"/>
      <w:lvlText w:val="(%1)"/>
      <w:numFmt w:val="upperLetter"/>
      <w:start w:val="1"/>
    </w:lvl>
  </w:abstractNum>
  <w:abstractNum w:abstractNumId="202">
    <w:nsid w:val="7934D3D4"/>
    <w:multiLevelType w:val="hybridMultilevel"/>
    <w:lvl w:ilvl="0">
      <w:lvlJc w:val="left"/>
      <w:lvlText w:val="%1."/>
      <w:numFmt w:val="upperLetter"/>
      <w:start w:val="1"/>
    </w:lvl>
  </w:abstractNum>
  <w:abstractNum w:abstractNumId="203">
    <w:nsid w:val="1C65E98"/>
    <w:multiLevelType w:val="hybridMultilevel"/>
    <w:lvl w:ilvl="0">
      <w:lvlJc w:val="left"/>
      <w:lvlText w:val="%1."/>
      <w:numFmt w:val="upperLetter"/>
      <w:start w:val="5"/>
    </w:lvl>
  </w:abstractNum>
  <w:abstractNum w:abstractNumId="204">
    <w:nsid w:val="1495E50A"/>
    <w:multiLevelType w:val="hybridMultilevel"/>
    <w:lvl w:ilvl="0">
      <w:lvlJc w:val="left"/>
      <w:lvlText w:val="%1."/>
      <w:numFmt w:val="upperLetter"/>
      <w:start w:val="8"/>
    </w:lvl>
  </w:abstractNum>
  <w:abstractNum w:abstractNumId="205">
    <w:nsid w:val="F5BCF61"/>
    <w:multiLevelType w:val="hybridMultilevel"/>
    <w:lvl w:ilvl="0">
      <w:lvlJc w:val="left"/>
      <w:lvlText w:val="%1."/>
      <w:numFmt w:val="upperLetter"/>
      <w:start w:val="9"/>
    </w:lvl>
  </w:abstractNum>
  <w:abstractNum w:abstractNumId="206">
    <w:nsid w:val="3B1DD403"/>
    <w:multiLevelType w:val="hybridMultilevel"/>
    <w:lvl w:ilvl="0">
      <w:lvlJc w:val="left"/>
      <w:lvlText w:val="%1."/>
      <w:numFmt w:val="upperLetter"/>
      <w:start w:val="11"/>
    </w:lvl>
  </w:abstractNum>
  <w:abstractNum w:abstractNumId="207">
    <w:nsid w:val="530386D1"/>
    <w:multiLevelType w:val="hybridMultilevel"/>
    <w:lvl w:ilvl="0">
      <w:lvlJc w:val="left"/>
      <w:lvlText w:val="%1."/>
      <w:numFmt w:val="upperLetter"/>
      <w:start w:val="13"/>
    </w:lvl>
  </w:abstractNum>
  <w:abstractNum w:abstractNumId="208">
    <w:nsid w:val="7525F2BC"/>
    <w:multiLevelType w:val="hybridMultilevel"/>
    <w:lvl w:ilvl="0">
      <w:lvlJc w:val="left"/>
      <w:lvlText w:val="%1."/>
      <w:numFmt w:val="upperLetter"/>
      <w:start w:val="16"/>
    </w:lvl>
  </w:abstractNum>
  <w:abstractNum w:abstractNumId="209">
    <w:nsid w:val="CE8E1A7"/>
    <w:multiLevelType w:val="hybridMultilevel"/>
    <w:lvl w:ilvl="0">
      <w:lvlJc w:val="left"/>
      <w:lvlText w:val="%1."/>
      <w:numFmt w:val="upperLetter"/>
      <w:start w:val="17"/>
    </w:lvl>
  </w:abstractNum>
  <w:abstractNum w:abstractNumId="210">
    <w:nsid w:val="4E9EFB0D"/>
    <w:multiLevelType w:val="hybridMultilevel"/>
    <w:lvl w:ilvl="0">
      <w:lvlJc w:val="left"/>
      <w:lvlText w:val="%1."/>
      <w:numFmt w:val="upperLetter"/>
      <w:start w:val="19"/>
    </w:lvl>
  </w:abstractNum>
  <w:abstractNum w:abstractNumId="211">
    <w:nsid w:val="90802BE"/>
    <w:multiLevelType w:val="hybridMultilevel"/>
    <w:lvl w:ilvl="0">
      <w:lvlJc w:val="left"/>
      <w:lvlText w:val="%1."/>
      <w:numFmt w:val="upperLetter"/>
      <w:start w:val="21"/>
    </w:lvl>
  </w:abstractNum>
  <w:abstractNum w:abstractNumId="212">
    <w:nsid w:val="3266459B"/>
    <w:multiLevelType w:val="hybridMultilevel"/>
    <w:lvl w:ilvl="0">
      <w:lvlJc w:val="left"/>
      <w:lvlText w:val="%1."/>
      <w:numFmt w:val="upperLetter"/>
      <w:start w:val="22"/>
    </w:lvl>
  </w:abstractNum>
  <w:abstractNum w:abstractNumId="213">
    <w:nsid w:val="3F8B0CBF"/>
    <w:multiLevelType w:val="hybridMultilevel"/>
    <w:lvl w:ilvl="0">
      <w:lvlJc w:val="left"/>
      <w:lvlText w:val="%1."/>
      <w:numFmt w:val="decimal"/>
      <w:start w:val="1"/>
    </w:lvl>
  </w:abstractNum>
  <w:abstractNum w:abstractNumId="214">
    <w:nsid w:val="37E203AB"/>
    <w:multiLevelType w:val="hybridMultilevel"/>
    <w:lvl w:ilvl="0">
      <w:lvlJc w:val="left"/>
      <w:lvlText w:val="(%1)"/>
      <w:numFmt w:val="lowerLetter"/>
      <w:start w:val="1"/>
    </w:lvl>
  </w:abstractNum>
  <w:abstractNum w:abstractNumId="215">
    <w:nsid w:val="2586D60E"/>
    <w:multiLevelType w:val="hybridMultilevel"/>
    <w:lvl w:ilvl="0">
      <w:lvlJc w:val="left"/>
      <w:lvlText w:val="(%1)"/>
      <w:numFmt w:val="lowerLetter"/>
      <w:start w:val="3"/>
    </w:lvl>
  </w:abstractNum>
  <w:abstractNum w:abstractNumId="216">
    <w:nsid w:val="1F3DA4D5"/>
    <w:multiLevelType w:val="hybridMultilevel"/>
    <w:lvl w:ilvl="0">
      <w:lvlJc w:val="left"/>
      <w:lvlText w:val="(%1)"/>
      <w:numFmt w:val="lowerLetter"/>
      <w:start w:val="5"/>
    </w:lvl>
  </w:abstractNum>
  <w:abstractNum w:abstractNumId="217">
    <w:nsid w:val="74C93698"/>
    <w:multiLevelType w:val="hybridMultilevel"/>
    <w:lvl w:ilvl="0">
      <w:lvlJc w:val="left"/>
      <w:lvlText w:val="(%1)"/>
      <w:numFmt w:val="lowerLetter"/>
      <w:start w:val="7"/>
    </w:lvl>
  </w:abstractNum>
  <w:abstractNum w:abstractNumId="218">
    <w:nsid w:val="48781401"/>
    <w:multiLevelType w:val="hybridMultilevel"/>
    <w:lvl w:ilvl="0">
      <w:lvlJc w:val="left"/>
      <w:lvlText w:val="(%1)"/>
      <w:numFmt w:val="lowerLetter"/>
      <w:start w:val="9"/>
    </w:lvl>
  </w:abstractNum>
  <w:abstractNum w:abstractNumId="219">
    <w:nsid w:val="186928D6"/>
    <w:multiLevelType w:val="hybridMultilevel"/>
    <w:lvl w:ilvl="0">
      <w:lvlJc w:val="left"/>
      <w:lvlText w:val="(%1)"/>
      <w:numFmt w:val="lowerLetter"/>
      <w:start w:val="12"/>
    </w:lvl>
  </w:abstractNum>
  <w:abstractNum w:abstractNumId="220">
    <w:nsid w:val="47195E5"/>
    <w:multiLevelType w:val="hybridMultilevel"/>
    <w:lvl w:ilvl="0">
      <w:lvlJc w:val="left"/>
      <w:lvlText w:val="(%1)"/>
      <w:numFmt w:val="lowerLetter"/>
      <w:start w:val="14"/>
    </w:lvl>
  </w:abstractNum>
  <w:abstractNum w:abstractNumId="221">
    <w:nsid w:val="3746A5F2"/>
    <w:multiLevelType w:val="hybridMultilevel"/>
    <w:lvl w:ilvl="0">
      <w:lvlJc w:val="left"/>
      <w:lvlText w:val="(%1)"/>
      <w:numFmt w:val="lowerLetter"/>
      <w:start w:val="16"/>
    </w:lvl>
  </w:abstractNum>
  <w:abstractNum w:abstractNumId="222">
    <w:nsid w:val="682DFED6"/>
    <w:multiLevelType w:val="hybridMultilevel"/>
    <w:lvl w:ilvl="0">
      <w:lvlJc w:val="left"/>
      <w:lvlText w:val="(%1)"/>
      <w:numFmt w:val="lowerLetter"/>
      <w:start w:val="18"/>
    </w:lvl>
  </w:abstractNum>
  <w:abstractNum w:abstractNumId="223">
    <w:nsid w:val="606ED7F6"/>
    <w:multiLevelType w:val="hybridMultilevel"/>
    <w:lvl w:ilvl="0">
      <w:lvlJc w:val="left"/>
      <w:lvlText w:val="%1."/>
      <w:numFmt w:val="decimal"/>
      <w:start w:val="2"/>
    </w:lvl>
  </w:abstractNum>
  <w:abstractNum w:abstractNumId="224">
    <w:nsid w:val="2D9DF57D"/>
    <w:multiLevelType w:val="hybridMultilevel"/>
    <w:lvl w:ilvl="0">
      <w:lvlJc w:val="left"/>
      <w:lvlText w:val="a"/>
      <w:numFmt w:val="bullet"/>
      <w:start w:val="1"/>
    </w:lvl>
  </w:abstractNum>
  <w:abstractNum w:abstractNumId="225">
    <w:nsid w:val="7FBD7A3E"/>
    <w:multiLevelType w:val="hybridMultilevel"/>
    <w:lvl w:ilvl="0">
      <w:lvlJc w:val="left"/>
      <w:lvlText w:val="b"/>
      <w:numFmt w:val="bullet"/>
      <w:start w:val="1"/>
    </w:lvl>
  </w:abstractNum>
  <w:abstractNum w:abstractNumId="226">
    <w:nsid w:val="490B7C5"/>
    <w:multiLevelType w:val="hybridMultilevel"/>
    <w:lvl w:ilvl="0">
      <w:lvlJc w:val="left"/>
      <w:lvlText w:val="%1."/>
      <w:numFmt w:val="decimal"/>
      <w:start w:val="3"/>
    </w:lvl>
  </w:abstractNum>
  <w:abstractNum w:abstractNumId="227">
    <w:nsid w:val="4303A216"/>
    <w:multiLevelType w:val="hybridMultilevel"/>
    <w:lvl w:ilvl="0">
      <w:lvlJc w:val="left"/>
      <w:lvlText w:val="%1."/>
      <w:numFmt w:val="decimal"/>
      <w:start w:val="4"/>
    </w:lvl>
  </w:abstractNum>
  <w:abstractNum w:abstractNumId="228">
    <w:nsid w:val="19B8A08E"/>
    <w:multiLevelType w:val="hybridMultilevel"/>
    <w:lvl w:ilvl="0">
      <w:lvlJc w:val="left"/>
      <w:lvlText w:val="%1."/>
      <w:numFmt w:val="decimal"/>
      <w:start w:val="5"/>
    </w:lvl>
  </w:abstractNum>
  <w:abstractNum w:abstractNumId="229">
    <w:nsid w:val="54B59621"/>
    <w:multiLevelType w:val="hybridMultilevel"/>
    <w:lvl w:ilvl="0">
      <w:lvlJc w:val="left"/>
      <w:lvlText w:val="%1."/>
      <w:numFmt w:val="decimal"/>
      <w:start w:val="9"/>
    </w:lvl>
  </w:abstractNum>
  <w:abstractNum w:abstractNumId="230">
    <w:nsid w:val="5992A02E"/>
    <w:multiLevelType w:val="hybridMultilevel"/>
    <w:lvl w:ilvl="0">
      <w:lvlJc w:val="left"/>
      <w:lvlText w:val="(%1)"/>
      <w:numFmt w:val="decimal"/>
      <w:start w:val="612"/>
    </w:lvl>
    <w:lvl w:ilvl="1">
      <w:lvlJc w:val="left"/>
      <w:lvlText w:val="%2."/>
      <w:numFmt w:val="decimal"/>
      <w:start w:val="13"/>
    </w:lvl>
  </w:abstractNum>
  <w:abstractNum w:abstractNumId="231">
    <w:nsid w:val="29EF532D"/>
    <w:multiLevelType w:val="hybridMultilevel"/>
    <w:lvl w:ilvl="0">
      <w:lvlJc w:val="left"/>
      <w:lvlText w:val="%1."/>
      <w:numFmt w:val="decimal"/>
      <w:start w:val="14"/>
    </w:lvl>
  </w:abstractNum>
  <w:abstractNum w:abstractNumId="232">
    <w:nsid w:val="71D601AF"/>
    <w:multiLevelType w:val="hybridMultilevel"/>
    <w:lvl w:ilvl="0">
      <w:lvlJc w:val="left"/>
      <w:lvlText w:val="(%1)"/>
      <w:numFmt w:val="lowerRoman"/>
      <w:start w:val="5"/>
    </w:lvl>
  </w:abstractNum>
  <w:abstractNum w:abstractNumId="233">
    <w:nsid w:val="52C77402"/>
    <w:multiLevelType w:val="hybridMultilevel"/>
    <w:lvl w:ilvl="0">
      <w:lvlJc w:val="left"/>
      <w:lvlText w:val="(%1)"/>
      <w:numFmt w:val="lowerLetter"/>
      <w:start w:val="2"/>
    </w:lvl>
  </w:abstractNum>
  <w:abstractNum w:abstractNumId="234">
    <w:nsid w:val="2BB5B1C6"/>
    <w:multiLevelType w:val="hybridMultilevel"/>
    <w:lvl w:ilvl="0">
      <w:lvlJc w:val="left"/>
      <w:lvlText w:val="(%1)"/>
      <w:numFmt w:val="lowerLetter"/>
      <w:start w:val="5"/>
    </w:lvl>
  </w:abstractNum>
  <w:abstractNum w:abstractNumId="235">
    <w:nsid w:val="66BE6B9"/>
    <w:multiLevelType w:val="hybridMultilevel"/>
    <w:lvl w:ilvl="0">
      <w:lvlJc w:val="left"/>
      <w:lvlText w:val="(%1)"/>
      <w:numFmt w:val="decimal"/>
      <w:start w:val="1"/>
    </w:lvl>
  </w:abstractNum>
  <w:abstractNum w:abstractNumId="236">
    <w:nsid w:val="62234363"/>
    <w:multiLevelType w:val="hybridMultilevel"/>
    <w:lvl w:ilvl="0">
      <w:lvlJc w:val="left"/>
      <w:lvlText w:val="(%1)"/>
      <w:numFmt w:val="decimal"/>
      <w:start w:val="1"/>
    </w:lvl>
  </w:abstractNum>
  <w:abstractNum w:abstractNumId="237">
    <w:nsid w:val="66D385C9"/>
    <w:multiLevelType w:val="hybridMultilevel"/>
    <w:lvl w:ilvl="0">
      <w:lvlJc w:val="left"/>
      <w:lvlText w:val="(%1)"/>
      <w:numFmt w:val="lowerLetter"/>
      <w:start w:val="1"/>
    </w:lvl>
  </w:abstractNum>
  <w:abstractNum w:abstractNumId="238">
    <w:nsid w:val="596F6D8A"/>
    <w:multiLevelType w:val="hybridMultilevel"/>
    <w:lvl w:ilvl="0">
      <w:lvlJc w:val="left"/>
      <w:lvlText w:val="(%1)"/>
      <w:numFmt w:val="decimal"/>
      <w:start w:val="2"/>
    </w:lvl>
  </w:abstractNum>
  <w:abstractNum w:abstractNumId="239">
    <w:nsid w:val="5749361F"/>
    <w:multiLevelType w:val="hybridMultilevel"/>
    <w:lvl w:ilvl="0">
      <w:lvlJc w:val="left"/>
      <w:lvlText w:val="(%1)"/>
      <w:numFmt w:val="decimal"/>
      <w:start w:val="1"/>
    </w:lvl>
  </w:abstractNum>
  <w:abstractNum w:abstractNumId="240">
    <w:nsid w:val="73BC6770"/>
    <w:multiLevelType w:val="hybridMultilevel"/>
    <w:lvl w:ilvl="0">
      <w:lvlJc w:val="left"/>
      <w:lvlText w:val="(%1)"/>
      <w:numFmt w:val="decimal"/>
      <w:start w:val="1"/>
    </w:lvl>
  </w:abstractNum>
  <w:abstractNum w:abstractNumId="241">
    <w:nsid w:val="280E6897"/>
    <w:multiLevelType w:val="hybridMultilevel"/>
    <w:lvl w:ilvl="0">
      <w:lvlJc w:val="left"/>
      <w:lvlText w:val="(%1)"/>
      <w:numFmt w:val="decimal"/>
      <w:start w:val="3"/>
    </w:lvl>
  </w:abstractNum>
  <w:abstractNum w:abstractNumId="242">
    <w:nsid w:val="605138DE"/>
    <w:multiLevelType w:val="hybridMultilevel"/>
    <w:lvl w:ilvl="0">
      <w:lvlJc w:val="left"/>
      <w:lvlText w:val="(%1)"/>
      <w:numFmt w:val="lowerLetter"/>
      <w:start w:val="25"/>
    </w:lvl>
  </w:abstractNum>
  <w:abstractNum w:abstractNumId="243">
    <w:nsid w:val="2622AD0C"/>
    <w:multiLevelType w:val="hybridMultilevel"/>
    <w:lvl w:ilvl="0">
      <w:lvlJc w:val="left"/>
      <w:lvlText w:val="(%1)"/>
      <w:numFmt w:val="decimal"/>
      <w:start w:val="1"/>
    </w:lvl>
  </w:abstractNum>
  <w:abstractNum w:abstractNumId="244">
    <w:nsid w:val="67997556"/>
    <w:multiLevelType w:val="hybridMultilevel"/>
    <w:lvl w:ilvl="0">
      <w:lvlJc w:val="left"/>
      <w:lvlText w:val="(%1)"/>
      <w:numFmt w:val="lowerLetter"/>
      <w:start w:val="30"/>
    </w:lvl>
  </w:abstractNum>
  <w:abstractNum w:abstractNumId="245">
    <w:nsid w:val="18333C89"/>
    <w:multiLevelType w:val="hybridMultilevel"/>
    <w:lvl w:ilvl="0">
      <w:lvlJc w:val="left"/>
      <w:lvlText w:val="(%1)"/>
      <w:numFmt w:val="lowerLetter"/>
      <w:start w:val="1"/>
    </w:lvl>
  </w:abstractNum>
  <w:abstractNum w:abstractNumId="246">
    <w:nsid w:val="4BA9831A"/>
    <w:multiLevelType w:val="hybridMultilevel"/>
    <w:lvl w:ilvl="0">
      <w:lvlJc w:val="left"/>
      <w:lvlText w:val="(%1)"/>
      <w:numFmt w:val="lowerLetter"/>
      <w:start w:val="7"/>
    </w:lvl>
  </w:abstractNum>
  <w:abstractNum w:abstractNumId="247">
    <w:nsid w:val="6D71A2B"/>
    <w:multiLevelType w:val="hybridMultilevel"/>
    <w:lvl w:ilvl="0">
      <w:lvlJc w:val="left"/>
      <w:lvlText w:val="(%1)"/>
      <w:numFmt w:val="lowerLetter"/>
      <w:start w:val="1"/>
    </w:lvl>
  </w:abstractNum>
  <w:abstractNum w:abstractNumId="248">
    <w:nsid w:val="CFC7321"/>
    <w:multiLevelType w:val="hybridMultilevel"/>
    <w:lvl w:ilvl="0">
      <w:lvlJc w:val="left"/>
      <w:lvlText w:val="(%1)"/>
      <w:numFmt w:val="lowerLetter"/>
      <w:start w:val="2"/>
    </w:lvl>
  </w:abstractNum>
  <w:abstractNum w:abstractNumId="249">
    <w:nsid w:val="1421971B"/>
    <w:multiLevelType w:val="hybridMultilevel"/>
    <w:lvl w:ilvl="0">
      <w:lvlJc w:val="left"/>
      <w:lvlText w:val="(%1)"/>
      <w:numFmt w:val="lowerLetter"/>
      <w:start w:val="1"/>
    </w:lvl>
  </w:abstractNum>
  <w:abstractNum w:abstractNumId="250">
    <w:nsid w:val="1F404301"/>
    <w:multiLevelType w:val="hybridMultilevel"/>
    <w:lvl w:ilvl="0">
      <w:lvlJc w:val="left"/>
      <w:lvlText w:val="(%1)"/>
      <w:numFmt w:val="lowerLetter"/>
      <w:start w:val="7"/>
    </w:lvl>
  </w:abstractNum>
  <w:abstractNum w:abstractNumId="251">
    <w:nsid w:val="116E0907"/>
    <w:multiLevelType w:val="hybridMultilevel"/>
    <w:lvl w:ilvl="0">
      <w:lvlJc w:val="left"/>
      <w:lvlText w:val="I"/>
      <w:numFmt w:val="bullet"/>
      <w:start w:val="1"/>
    </w:lvl>
  </w:abstractNum>
  <w:abstractNum w:abstractNumId="252">
    <w:nsid w:val="4B683D0D"/>
    <w:multiLevelType w:val="hybridMultilevel"/>
    <w:lvl w:ilvl="0">
      <w:lvlJc w:val="left"/>
      <w:lvlText w:val="(%1)"/>
      <w:numFmt w:val="decimal"/>
      <w:start w:val="1"/>
    </w:lvl>
  </w:abstractNum>
  <w:abstractNum w:abstractNumId="253">
    <w:nsid w:val="76E41D8"/>
    <w:multiLevelType w:val="hybridMultilevel"/>
    <w:lvl w:ilvl="0">
      <w:lvlJc w:val="left"/>
      <w:lvlText w:val="(%1)"/>
      <w:numFmt w:val="lowerLetter"/>
      <w:start w:val="2"/>
    </w:lvl>
  </w:abstractNum>
  <w:abstractNum w:abstractNumId="254">
    <w:nsid w:val="71DCE0FD"/>
    <w:multiLevelType w:val="hybridMultilevel"/>
    <w:lvl w:ilvl="0">
      <w:lvlJc w:val="left"/>
      <w:lvlText w:val="(%1)"/>
      <w:numFmt w:val="lowerRoman"/>
      <w:start w:val="1"/>
    </w:lvl>
  </w:abstractNum>
  <w:abstractNum w:abstractNumId="255">
    <w:nsid w:val="7906328B"/>
    <w:multiLevelType w:val="hybridMultilevel"/>
    <w:lvl w:ilvl="0">
      <w:lvlJc w:val="left"/>
      <w:lvlText w:val="(%1)"/>
      <w:numFmt w:val="lowerLetter"/>
      <w:start w:val="2"/>
    </w:lvl>
  </w:abstractNum>
  <w:abstractNum w:abstractNumId="256">
    <w:nsid w:val="72BBC16"/>
    <w:multiLevelType w:val="hybridMultilevel"/>
    <w:lvl w:ilvl="0">
      <w:lvlJc w:val="left"/>
      <w:lvlText w:val="%1."/>
      <w:numFmt w:val="lowerLetter"/>
      <w:start w:val="16"/>
    </w:lvl>
  </w:abstractNum>
  <w:abstractNum w:abstractNumId="257">
    <w:nsid w:val="766D98C2"/>
    <w:multiLevelType w:val="hybridMultilevel"/>
    <w:lvl w:ilvl="0">
      <w:lvlJc w:val="left"/>
      <w:lvlText w:val="(%1)"/>
      <w:numFmt w:val="lowerRoman"/>
      <w:start w:val="10"/>
    </w:lvl>
  </w:abstractNum>
  <w:abstractNum w:abstractNumId="258">
    <w:nsid w:val="3C09D4A1"/>
    <w:multiLevelType w:val="hybridMultilevel"/>
    <w:lvl w:ilvl="0">
      <w:lvlJc w:val="left"/>
      <w:lvlText w:val="(%1)"/>
      <w:numFmt w:val="decimal"/>
      <w:start w:val="1"/>
    </w:lvl>
  </w:abstractNum>
  <w:abstractNum w:abstractNumId="259">
    <w:nsid w:val="20E45CA4"/>
    <w:multiLevelType w:val="hybridMultilevel"/>
    <w:lvl w:ilvl="0">
      <w:lvlJc w:val="left"/>
      <w:lvlText w:val="(%1)"/>
      <w:numFmt w:val="lowerLetter"/>
      <w:start w:val="2"/>
    </w:lvl>
  </w:abstractNum>
  <w:abstractNum w:abstractNumId="260">
    <w:nsid w:val="4B232EE3"/>
    <w:multiLevelType w:val="hybridMultilevel"/>
    <w:lvl w:ilvl="0">
      <w:lvlJc w:val="left"/>
      <w:lvlText w:val="(%1)"/>
      <w:numFmt w:val="lowerLetter"/>
      <w:start w:val="2"/>
    </w:lvl>
  </w:abstractNum>
  <w:abstractNum w:abstractNumId="261">
    <w:nsid w:val="159C74CF"/>
    <w:multiLevelType w:val="hybridMultilevel"/>
    <w:lvl w:ilvl="0">
      <w:lvlJc w:val="left"/>
      <w:lvlText w:val="(%1)"/>
      <w:numFmt w:val="decimal"/>
      <w:start w:val="1"/>
    </w:lvl>
    <w:lvl w:ilvl="1">
      <w:lvlJc w:val="left"/>
      <w:lvlText w:val="(%2)"/>
      <w:numFmt w:val="lowerLetter"/>
      <w:start w:val="1"/>
    </w:lvl>
  </w:abstractNum>
  <w:abstractNum w:abstractNumId="262">
    <w:nsid w:val="4AD3AFD2"/>
    <w:multiLevelType w:val="hybridMultilevel"/>
    <w:lvl w:ilvl="0">
      <w:lvlJc w:val="left"/>
      <w:lvlText w:val="(%1)"/>
      <w:numFmt w:val="decimal"/>
      <w:start w:val="3"/>
    </w:lvl>
  </w:abstractNum>
  <w:abstractNum w:abstractNumId="263">
    <w:nsid w:val="3CF93092"/>
    <w:multiLevelType w:val="hybridMultilevel"/>
    <w:lvl w:ilvl="0">
      <w:lvlJc w:val="left"/>
      <w:lvlText w:val="(%1)"/>
      <w:numFmt w:val="decimal"/>
      <w:start w:val="1"/>
    </w:lvl>
  </w:abstractNum>
  <w:abstractNum w:abstractNumId="264">
    <w:nsid w:val="6863E8D2"/>
    <w:multiLevelType w:val="hybridMultilevel"/>
    <w:lvl w:ilvl="0">
      <w:lvlJc w:val="left"/>
      <w:lvlText w:val="%1"/>
      <w:numFmt w:val="decimal"/>
      <w:start w:val="1"/>
    </w:lvl>
    <w:lvl w:ilvl="1">
      <w:lvlJc w:val="left"/>
      <w:lvlText w:val="(%2)"/>
      <w:numFmt w:val="decimal"/>
      <w:start w:val="2"/>
    </w:lvl>
  </w:abstractNum>
  <w:abstractNum w:abstractNumId="265">
    <w:nsid w:val="76896198"/>
    <w:multiLevelType w:val="hybridMultilevel"/>
    <w:lvl w:ilvl="0">
      <w:lvlJc w:val="left"/>
      <w:lvlText w:val="(%1)"/>
      <w:numFmt w:val="decimal"/>
      <w:start w:val="3"/>
    </w:lvl>
    <w:lvl w:ilvl="1">
      <w:lvlJc w:val="left"/>
      <w:lvlText w:val="%2"/>
      <w:numFmt w:val="decimal"/>
      <w:start w:val="1"/>
    </w:lvl>
  </w:abstractNum>
  <w:abstractNum w:abstractNumId="266">
    <w:nsid w:val="4365174B"/>
    <w:multiLevelType w:val="hybridMultilevel"/>
    <w:lvl w:ilvl="0">
      <w:lvlJc w:val="left"/>
      <w:lvlText w:val="(%1)"/>
      <w:numFmt w:val="decimal"/>
      <w:start w:val="1"/>
    </w:lvl>
  </w:abstractNum>
  <w:abstractNum w:abstractNumId="267">
    <w:nsid w:val="4A872C35"/>
    <w:multiLevelType w:val="hybridMultilevel"/>
    <w:lvl w:ilvl="0">
      <w:lvlJc w:val="left"/>
      <w:lvlText w:val="(%1)"/>
      <w:numFmt w:val="decimal"/>
      <w:start w:val="3"/>
    </w:lvl>
  </w:abstractNum>
  <w:abstractNum w:abstractNumId="268">
    <w:nsid w:val="5D5CE761"/>
    <w:multiLevelType w:val="hybridMultilevel"/>
    <w:lvl w:ilvl="0">
      <w:lvlJc w:val="left"/>
      <w:lvlText w:val="(%1)"/>
      <w:numFmt w:val="lowerLetter"/>
      <w:start w:val="1"/>
    </w:lvl>
  </w:abstractNum>
  <w:abstractNum w:abstractNumId="269">
    <w:nsid w:val="1CD484D5"/>
    <w:multiLevelType w:val="hybridMultilevel"/>
    <w:lvl w:ilvl="0">
      <w:lvlJc w:val="left"/>
      <w:lvlText w:val="(%1)"/>
      <w:numFmt w:val="lowerLetter"/>
      <w:start w:val="2"/>
    </w:lvl>
  </w:abstractNum>
  <w:abstractNum w:abstractNumId="270">
    <w:nsid w:val="21D06255"/>
    <w:multiLevelType w:val="hybridMultilevel"/>
    <w:lvl w:ilvl="0">
      <w:lvlJc w:val="left"/>
      <w:lvlText w:val="(%1)"/>
      <w:numFmt w:val="lowerLetter"/>
      <w:start w:val="5"/>
    </w:lvl>
  </w:abstractNum>
  <w:abstractNum w:abstractNumId="271">
    <w:nsid w:val="51194ED1"/>
    <w:multiLevelType w:val="hybridMultilevel"/>
    <w:lvl w:ilvl="0">
      <w:lvlJc w:val="left"/>
      <w:lvlText w:val="(%1)"/>
      <w:numFmt w:val="lowerLetter"/>
      <w:start w:val="1"/>
    </w:lvl>
  </w:abstractNum>
  <w:abstractNum w:abstractNumId="272">
    <w:nsid w:val="44E2ED6C"/>
    <w:multiLevelType w:val="hybridMultilevel"/>
    <w:lvl w:ilvl="0">
      <w:lvlJc w:val="left"/>
      <w:lvlText w:val="(%1)"/>
      <w:numFmt w:val="lowerLetter"/>
      <w:start w:val="5"/>
    </w:lvl>
    <w:lvl w:ilvl="1">
      <w:lvlJc w:val="left"/>
      <w:lvlText w:val="(%2)"/>
      <w:numFmt w:val="lowerRoman"/>
      <w:start w:val="1"/>
    </w:lvl>
  </w:abstractNum>
  <w:abstractNum w:abstractNumId="273">
    <w:nsid w:val="2219B33"/>
    <w:multiLevelType w:val="hybridMultilevel"/>
    <w:lvl w:ilvl="0">
      <w:lvlJc w:val="left"/>
      <w:lvlText w:val="(%1)"/>
      <w:numFmt w:val="decimal"/>
      <w:start w:val="1"/>
    </w:lvl>
  </w:abstractNum>
  <w:abstractNum w:abstractNumId="274">
    <w:nsid w:val="773BFBDD"/>
    <w:multiLevelType w:val="hybridMultilevel"/>
    <w:lvl w:ilvl="0">
      <w:lvlJc w:val="left"/>
      <w:lvlText w:val="(%1)"/>
      <w:numFmt w:val="lowerLetter"/>
      <w:start w:val="1"/>
    </w:lvl>
  </w:abstractNum>
  <w:abstractNum w:abstractNumId="275">
    <w:nsid w:val="2C7C62C2"/>
    <w:multiLevelType w:val="hybridMultilevel"/>
    <w:lvl w:ilvl="0">
      <w:lvlJc w:val="left"/>
      <w:lvlText w:val="(%1)"/>
      <w:numFmt w:val="lowerLetter"/>
      <w:start w:val="4"/>
    </w:lvl>
  </w:abstractNum>
  <w:abstractNum w:abstractNumId="276">
    <w:nsid w:val="1A54D7BC"/>
    <w:multiLevelType w:val="hybridMultilevel"/>
    <w:lvl w:ilvl="0">
      <w:lvlJc w:val="left"/>
      <w:lvlText w:val="(%1)"/>
      <w:numFmt w:val="lowerLetter"/>
      <w:start w:val="1"/>
    </w:lvl>
  </w:abstractNum>
  <w:abstractNum w:abstractNumId="277">
    <w:nsid w:val="42E57EF7"/>
    <w:multiLevelType w:val="hybridMultilevel"/>
    <w:lvl w:ilvl="0">
      <w:lvlJc w:val="left"/>
      <w:lvlText w:val="(%1)"/>
      <w:numFmt w:val="lowerLetter"/>
      <w:start w:val="11"/>
    </w:lvl>
  </w:abstractNum>
  <w:abstractNum w:abstractNumId="278">
    <w:nsid w:val="33537CED"/>
    <w:multiLevelType w:val="hybridMultilevel"/>
    <w:lvl w:ilvl="0">
      <w:lvlJc w:val="left"/>
      <w:lvlText w:val="%1"/>
      <w:numFmt w:val="lowerLetter"/>
      <w:start w:val="1"/>
    </w:lvl>
    <w:lvl w:ilvl="1">
      <w:lvlJc w:val="left"/>
      <w:lvlText w:val="(%2)"/>
      <w:numFmt w:val="lowerLetter"/>
      <w:start w:val="16"/>
    </w:lvl>
  </w:abstractNum>
  <w:abstractNum w:abstractNumId="279">
    <w:nsid w:val="27514ADE"/>
    <w:multiLevelType w:val="hybridMultilevel"/>
    <w:lvl w:ilvl="0">
      <w:lvlJc w:val="left"/>
      <w:lvlText w:val="(%1)"/>
      <w:numFmt w:val="lowerLetter"/>
      <w:start w:val="17"/>
    </w:lvl>
    <w:lvl w:ilvl="1">
      <w:lvlJc w:val="left"/>
      <w:lvlText w:val="%2"/>
      <w:numFmt w:val="lowerLetter"/>
      <w:start w:val="1"/>
    </w:lvl>
  </w:abstractNum>
  <w:abstractNum w:abstractNumId="280">
    <w:nsid w:val="57071613"/>
    <w:multiLevelType w:val="hybridMultilevel"/>
    <w:lvl w:ilvl="0">
      <w:lvlJc w:val="left"/>
      <w:lvlText w:val="(%1)"/>
      <w:numFmt w:val="lowerLetter"/>
      <w:start w:val="1"/>
    </w:lvl>
  </w:abstractNum>
  <w:abstractNum w:abstractNumId="281">
    <w:nsid w:val="5293BFEF"/>
    <w:multiLevelType w:val="hybridMultilevel"/>
    <w:lvl w:ilvl="0">
      <w:lvlJc w:val="left"/>
      <w:lvlText w:val="(%1)"/>
      <w:numFmt w:val="lowerLetter"/>
      <w:start w:val="2"/>
    </w:lvl>
  </w:abstractNum>
  <w:abstractNum w:abstractNumId="282">
    <w:nsid w:val="38BF53E5"/>
    <w:multiLevelType w:val="hybridMultilevel"/>
    <w:lvl w:ilvl="0">
      <w:lvlJc w:val="left"/>
      <w:lvlText w:val="(%1)"/>
      <w:numFmt w:val="lowerLetter"/>
      <w:start w:val="6"/>
    </w:lvl>
  </w:abstractNum>
  <w:abstractNum w:abstractNumId="283">
    <w:nsid w:val="226F5320"/>
    <w:multiLevelType w:val="hybridMultilevel"/>
    <w:lvl w:ilvl="0">
      <w:lvlJc w:val="left"/>
      <w:lvlText w:val="(%1)"/>
      <w:numFmt w:val="lowerLetter"/>
      <w:start w:val="7"/>
    </w:lvl>
  </w:abstractNum>
  <w:abstractNum w:abstractNumId="284">
    <w:nsid w:val="5A0201C7"/>
    <w:multiLevelType w:val="hybridMultilevel"/>
    <w:lvl w:ilvl="0">
      <w:lvlJc w:val="left"/>
      <w:lvlText w:val="(%1)"/>
      <w:numFmt w:val="lowerLetter"/>
      <w:start w:val="13"/>
    </w:lvl>
  </w:abstractNum>
  <w:abstractNum w:abstractNumId="285">
    <w:nsid w:val="2A9C34E2"/>
    <w:multiLevelType w:val="hybridMultilevel"/>
    <w:lvl w:ilvl="0">
      <w:lvlJc w:val="left"/>
      <w:lvlText w:val="%1"/>
      <w:numFmt w:val="lowerRoman"/>
      <w:start w:val="1"/>
    </w:lvl>
    <w:lvl w:ilvl="1">
      <w:lvlJc w:val="left"/>
      <w:lvlText w:val="(%2)"/>
      <w:numFmt w:val="lowerRoman"/>
      <w:start w:val="10"/>
    </w:lvl>
  </w:abstractNum>
  <w:abstractNum w:abstractNumId="286">
    <w:nsid w:val="1B7585AB"/>
    <w:multiLevelType w:val="hybridMultilevel"/>
    <w:lvl w:ilvl="0">
      <w:lvlJc w:val="left"/>
      <w:lvlText w:val="(%1)"/>
      <w:numFmt w:val="lowerRoman"/>
      <w:start w:val="10"/>
    </w:lvl>
    <w:lvl w:ilvl="1">
      <w:lvlJc w:val="left"/>
      <w:lvlText w:val="%2"/>
      <w:numFmt w:val="lowerRoman"/>
      <w:start w:val="1"/>
    </w:lvl>
  </w:abstractNum>
  <w:abstractNum w:abstractNumId="287">
    <w:nsid w:val="612DBDDD"/>
    <w:multiLevelType w:val="hybridMultilevel"/>
    <w:lvl w:ilvl="0">
      <w:lvlJc w:val="left"/>
      <w:lvlText w:val="(%1)"/>
      <w:numFmt w:val="lowerLetter"/>
      <w:start w:val="2"/>
    </w:lvl>
  </w:abstractNum>
  <w:abstractNum w:abstractNumId="288">
    <w:nsid w:val="2109CDA4"/>
    <w:multiLevelType w:val="hybridMultilevel"/>
    <w:lvl w:ilvl="0">
      <w:lvlJc w:val="left"/>
      <w:lvlText w:val="(%1)"/>
      <w:numFmt w:val="lowerRoman"/>
      <w:start w:val="1"/>
    </w:lvl>
  </w:abstractNum>
  <w:abstractNum w:abstractNumId="289">
    <w:nsid w:val="577F5A4D"/>
    <w:multiLevelType w:val="hybridMultilevel"/>
    <w:lvl w:ilvl="0">
      <w:lvlJc w:val="left"/>
      <w:lvlText w:val="%1."/>
      <w:numFmt w:val="decimal"/>
      <w:start w:val="1"/>
    </w:lvl>
  </w:abstractNum>
  <w:abstractNum w:abstractNumId="290">
    <w:nsid w:val="2121A81"/>
    <w:multiLevelType w:val="hybridMultilevel"/>
    <w:lvl w:ilvl="0">
      <w:lvlJc w:val="left"/>
      <w:lvlText w:val="%1"/>
      <w:numFmt w:val="lowerRoman"/>
      <w:start w:val="1"/>
    </w:lvl>
    <w:lvl w:ilvl="1">
      <w:lvlJc w:val="left"/>
      <w:lvlText w:val="(%2)"/>
      <w:numFmt w:val="lowerRoman"/>
      <w:start w:val="1"/>
    </w:lvl>
  </w:abstractNum>
  <w:abstractNum w:abstractNumId="291">
    <w:nsid w:val="6C2CFC88"/>
    <w:multiLevelType w:val="hybridMultilevel"/>
    <w:lvl w:ilvl="0">
      <w:lvlJc w:val="left"/>
      <w:lvlText w:val="(%1)"/>
      <w:numFmt w:val="lowerRoman"/>
      <w:start w:val="10"/>
    </w:lvl>
    <w:lvl w:ilvl="1">
      <w:lvlJc w:val="left"/>
      <w:lvlText w:val="%2"/>
      <w:numFmt w:val="lowerRoman"/>
      <w:start w:val="1"/>
    </w:lvl>
  </w:abstractNum>
  <w:abstractNum w:abstractNumId="292">
    <w:nsid w:val="6D1BCF1C"/>
    <w:multiLevelType w:val="hybridMultilevel"/>
    <w:lvl w:ilvl="0">
      <w:lvlJc w:val="left"/>
      <w:lvlText w:val="(%1)"/>
      <w:numFmt w:val="upperLetter"/>
      <w:start w:val="2"/>
    </w:lvl>
  </w:abstractNum>
  <w:abstractNum w:abstractNumId="293">
    <w:nsid w:val="4CE5CA53"/>
    <w:multiLevelType w:val="hybridMultilevel"/>
    <w:lvl w:ilvl="0">
      <w:lvlJc w:val="left"/>
      <w:lvlText w:val="(%1)"/>
      <w:numFmt w:val="lowerLetter"/>
      <w:start w:val="1"/>
    </w:lvl>
  </w:abstractNum>
  <w:abstractNum w:abstractNumId="294">
    <w:nsid w:val="29262D1A"/>
    <w:multiLevelType w:val="hybridMultilevel"/>
    <w:lvl w:ilvl="0">
      <w:lvlJc w:val="left"/>
      <w:lvlText w:val="(%1)"/>
      <w:numFmt w:val="lowerLetter"/>
      <w:start w:val="5"/>
    </w:lvl>
  </w:abstractNum>
  <w:abstractNum w:abstractNumId="295">
    <w:nsid w:val="557FB7EE"/>
    <w:multiLevelType w:val="hybridMultilevel"/>
    <w:lvl w:ilvl="0">
      <w:lvlJc w:val="left"/>
      <w:lvlText w:val="(%1)"/>
      <w:numFmt w:val="lowerRoman"/>
      <w:start w:val="1"/>
    </w:lvl>
  </w:abstractNum>
  <w:abstractNum w:abstractNumId="296">
    <w:nsid w:val="436F2BEB"/>
    <w:multiLevelType w:val="hybridMultilevel"/>
    <w:lvl w:ilvl="0">
      <w:lvlJc w:val="left"/>
      <w:lvlText w:val="(%1)"/>
      <w:numFmt w:val="lowerRoman"/>
      <w:start w:val="4"/>
    </w:lvl>
  </w:abstractNum>
  <w:abstractNum w:abstractNumId="297">
    <w:nsid w:val="6C8B4466"/>
    <w:multiLevelType w:val="hybridMultilevel"/>
    <w:lvl w:ilvl="0">
      <w:lvlJc w:val="left"/>
      <w:lvlText w:val="(%1)"/>
      <w:numFmt w:val="lowerRoman"/>
      <w:start w:val="5"/>
    </w:lvl>
  </w:abstractNum>
  <w:abstractNum w:abstractNumId="298">
    <w:nsid w:val="2006E424"/>
    <w:multiLevelType w:val="hybridMultilevel"/>
    <w:lvl w:ilvl="0">
      <w:lvlJc w:val="left"/>
      <w:lvlText w:val="(%1)"/>
      <w:numFmt w:val="lowerRoman"/>
      <w:start w:val="2"/>
    </w:lvl>
  </w:abstractNum>
  <w:abstractNum w:abstractNumId="299">
    <w:nsid w:val="20CC134C"/>
    <w:multiLevelType w:val="hybridMultilevel"/>
    <w:lvl w:ilvl="0">
      <w:lvlJc w:val="left"/>
      <w:lvlText w:val="(%1)"/>
      <w:numFmt w:val="lowerLetter"/>
      <w:start w:val="1"/>
    </w:lvl>
  </w:abstractNum>
  <w:abstractNum w:abstractNumId="300">
    <w:nsid w:val="95FC93B"/>
    <w:multiLevelType w:val="hybridMultilevel"/>
    <w:lvl w:ilvl="0">
      <w:lvlJc w:val="left"/>
      <w:lvlText w:val="(%1)"/>
      <w:numFmt w:val="lowerLetter"/>
      <w:start w:val="2"/>
    </w:lvl>
  </w:abstractNum>
  <w:abstractNum w:abstractNumId="301">
    <w:nsid w:val="41D74679"/>
    <w:multiLevelType w:val="hybridMultilevel"/>
    <w:lvl w:ilvl="0">
      <w:lvlJc w:val="left"/>
      <w:lvlText w:val="(%1)"/>
      <w:numFmt w:val="lowerLetter"/>
      <w:start w:val="1"/>
    </w:lvl>
    <w:lvl w:ilvl="1">
      <w:lvlJc w:val="left"/>
      <w:lvlText w:val="(%2)"/>
      <w:numFmt w:val="lowerLetter"/>
      <w:start w:val="2"/>
    </w:lvl>
  </w:abstractNum>
  <w:abstractNum w:abstractNumId="302">
    <w:nsid w:val="71E5621E"/>
    <w:multiLevelType w:val="hybridMultilevel"/>
    <w:lvl w:ilvl="0">
      <w:lvlJc w:val="left"/>
      <w:lvlText w:val="(%1)"/>
      <w:numFmt w:val="lowerRoman"/>
      <w:start w:val="2"/>
    </w:lvl>
    <w:lvl w:ilvl="1">
      <w:lvlJc w:val="left"/>
      <w:lvlText w:val="(%2)"/>
      <w:numFmt w:val="lowerRoman"/>
      <w:start w:val="3"/>
    </w:lvl>
  </w:abstractNum>
  <w:abstractNum w:abstractNumId="303">
    <w:nsid w:val="4E42B6A8"/>
    <w:multiLevelType w:val="hybridMultilevel"/>
    <w:lvl w:ilvl="0">
      <w:lvlJc w:val="left"/>
      <w:lvlText w:val="(%1)"/>
      <w:numFmt w:val="lowerRoman"/>
      <w:start w:val="5"/>
    </w:lvl>
  </w:abstractNum>
  <w:abstractNum w:abstractNumId="304">
    <w:nsid w:val="43F8E1AC"/>
    <w:multiLevelType w:val="hybridMultilevel"/>
    <w:lvl w:ilvl="0">
      <w:lvlJc w:val="left"/>
      <w:lvlText w:val="(%1)"/>
      <w:numFmt w:val="lowerLetter"/>
      <w:start w:val="1"/>
    </w:lvl>
    <w:lvl w:ilvl="1">
      <w:lvlJc w:val="left"/>
      <w:lvlText w:val="(%2)"/>
      <w:numFmt w:val="lowerLetter"/>
      <w:start w:val="35"/>
    </w:lvl>
  </w:abstractNum>
  <w:abstractNum w:abstractNumId="305">
    <w:nsid w:val="69215DFB"/>
    <w:multiLevelType w:val="hybridMultilevel"/>
    <w:lvl w:ilvl="0">
      <w:lvlJc w:val="left"/>
      <w:lvlText w:val="%1."/>
      <w:numFmt w:val="lowerRoman"/>
      <w:start w:val="1"/>
    </w:lvl>
  </w:abstractNum>
  <w:abstractNum w:abstractNumId="306">
    <w:nsid w:val="7ABF196A"/>
    <w:multiLevelType w:val="hybridMultilevel"/>
    <w:lvl w:ilvl="0">
      <w:lvlJc w:val="left"/>
      <w:lvlText w:val="(%1)"/>
      <w:numFmt w:val="lowerLetter"/>
      <w:start w:val="3"/>
    </w:lvl>
    <w:lvl w:ilvl="1">
      <w:lvlJc w:val="left"/>
      <w:lvlText w:val="(%2)"/>
      <w:numFmt w:val="lowerRoman"/>
      <w:start w:val="1"/>
    </w:lvl>
  </w:abstractNum>
  <w:abstractNum w:abstractNumId="307">
    <w:nsid w:val="5E4DB968"/>
    <w:multiLevelType w:val="hybridMultilevel"/>
    <w:lvl w:ilvl="0">
      <w:lvlJc w:val="left"/>
      <w:lvlText w:val="(%1)"/>
      <w:numFmt w:val="lowerLetter"/>
      <w:start w:val="1"/>
    </w:lvl>
  </w:abstractNum>
  <w:abstractNum w:abstractNumId="308">
    <w:nsid w:val="2C06DCF3"/>
    <w:multiLevelType w:val="hybridMultilevel"/>
    <w:lvl w:ilvl="0">
      <w:lvlJc w:val="left"/>
      <w:lvlText w:val="(%1)"/>
      <w:numFmt w:val="lowerRoman"/>
      <w:start w:val="2"/>
    </w:lvl>
  </w:abstractNum>
  <w:abstractNum w:abstractNumId="309">
    <w:nsid w:val="2E129658"/>
    <w:multiLevelType w:val="hybridMultilevel"/>
    <w:lvl w:ilvl="0">
      <w:lvlJc w:val="left"/>
      <w:lvlText w:val="(%1)"/>
      <w:numFmt w:val="lowerLetter"/>
      <w:start w:val="2"/>
    </w:lvl>
  </w:abstractNum>
  <w:abstractNum w:abstractNumId="310">
    <w:nsid w:val="59F0446"/>
    <w:multiLevelType w:val="hybridMultilevel"/>
    <w:lvl w:ilvl="0">
      <w:lvlJc w:val="left"/>
      <w:lvlText w:val="(%1)"/>
      <w:numFmt w:val="lowerLetter"/>
      <w:start w:val="2"/>
    </w:lvl>
  </w:abstractNum>
  <w:abstractNum w:abstractNumId="311">
    <w:nsid w:val="30DF306"/>
    <w:multiLevelType w:val="hybridMultilevel"/>
    <w:lvl w:ilvl="0">
      <w:lvlJc w:val="left"/>
      <w:lvlText w:val="(%1)"/>
      <w:numFmt w:val="lowerRoman"/>
      <w:start w:val="1"/>
    </w:lvl>
  </w:abstractNum>
  <w:abstractNum w:abstractNumId="312">
    <w:nsid w:val="A65647"/>
    <w:multiLevelType w:val="hybridMultilevel"/>
    <w:lvl w:ilvl="0">
      <w:lvlJc w:val="left"/>
      <w:lvlText w:val="%1"/>
      <w:numFmt w:val="upperLetter"/>
      <w:start w:val="1"/>
    </w:lvl>
    <w:lvl w:ilvl="1">
      <w:lvlJc w:val="left"/>
      <w:lvlText w:val="(%2)"/>
      <w:numFmt w:val="lowerRoman"/>
      <w:start w:val="3"/>
    </w:lvl>
  </w:abstractNum>
  <w:abstractNum w:abstractNumId="313">
    <w:nsid w:val="3E5E582B"/>
    <w:multiLevelType w:val="hybridMultilevel"/>
    <w:lvl w:ilvl="0">
      <w:lvlJc w:val="left"/>
      <w:lvlText w:val="(%1)"/>
      <w:numFmt w:val="upperLetter"/>
      <w:start w:val="2"/>
    </w:lvl>
    <w:lvl w:ilvl="1">
      <w:lvlJc w:val="left"/>
      <w:lvlText w:val="(%2)"/>
      <w:numFmt w:val="lowerRoman"/>
      <w:start w:val="5"/>
    </w:lvl>
  </w:abstractNum>
  <w:abstractNum w:abstractNumId="314">
    <w:nsid w:val="257D4626"/>
    <w:multiLevelType w:val="hybridMultilevel"/>
    <w:lvl w:ilvl="0">
      <w:lvlJc w:val="left"/>
      <w:lvlText w:val="%1"/>
      <w:numFmt w:val="lowerLetter"/>
      <w:start w:val="1"/>
    </w:lvl>
    <w:lvl w:ilvl="1">
      <w:lvlJc w:val="left"/>
      <w:lvlText w:val="(%2)"/>
      <w:numFmt w:val="lowerRoman"/>
      <w:start w:val="11"/>
    </w:lvl>
  </w:abstractNum>
  <w:abstractNum w:abstractNumId="315">
    <w:nsid w:val="5AA8580E"/>
    <w:multiLevelType w:val="hybridMultilevel"/>
    <w:lvl w:ilvl="0">
      <w:lvlJc w:val="left"/>
      <w:lvlText w:val="(%1)"/>
      <w:numFmt w:val="lowerLetter"/>
      <w:start w:val="2"/>
    </w:lvl>
    <w:lvl w:ilvl="1">
      <w:lvlJc w:val="left"/>
      <w:lvlText w:val="(%2)"/>
      <w:numFmt w:val="lowerRoman"/>
      <w:start w:val="2"/>
    </w:lvl>
  </w:abstractNum>
  <w:abstractNum w:abstractNumId="316">
    <w:nsid w:val="68FA8D0D"/>
    <w:multiLevelType w:val="hybridMultilevel"/>
    <w:lvl w:ilvl="0">
      <w:lvlJc w:val="left"/>
      <w:lvlText w:val="(%1)"/>
      <w:numFmt w:val="lowerLetter"/>
      <w:start w:val="1"/>
    </w:lvl>
  </w:abstractNum>
  <w:abstractNum w:abstractNumId="317">
    <w:nsid w:val="40F2CBD2"/>
    <w:multiLevelType w:val="hybridMultilevel"/>
    <w:lvl w:ilvl="0">
      <w:lvlJc w:val="left"/>
      <w:lvlText w:val="(%1)"/>
      <w:numFmt w:val="lowerLetter"/>
      <w:start w:val="3"/>
    </w:lvl>
    <w:lvl w:ilvl="1">
      <w:lvlJc w:val="left"/>
      <w:lvlText w:val="(%2)"/>
      <w:numFmt w:val="lowerLetter"/>
      <w:start w:val="35"/>
    </w:lvl>
  </w:abstractNum>
  <w:abstractNum w:abstractNumId="318">
    <w:nsid w:val="3BD615EB"/>
    <w:multiLevelType w:val="hybridMultilevel"/>
    <w:lvl w:ilvl="0">
      <w:lvlJc w:val="left"/>
      <w:lvlText w:val="(%1)"/>
      <w:numFmt w:val="lowerLetter"/>
      <w:start w:val="1"/>
    </w:lvl>
  </w:abstractNum>
  <w:abstractNum w:abstractNumId="319">
    <w:nsid w:val="A045AB2"/>
    <w:multiLevelType w:val="hybridMultilevel"/>
    <w:lvl w:ilvl="0">
      <w:lvlJc w:val="left"/>
      <w:lvlText w:val="(%1)"/>
      <w:numFmt w:val="lowerLetter"/>
      <w:start w:val="3"/>
    </w:lvl>
  </w:abstractNum>
  <w:abstractNum w:abstractNumId="320">
    <w:nsid w:val="187226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321">
    <w:nsid w:val="3DE830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322">
    <w:nsid w:val="7631573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35"/>
    </w:lvl>
  </w:abstractNum>
  <w:abstractNum w:abstractNumId="323">
    <w:nsid w:val="58DF53B"/>
    <w:multiLevelType w:val="hybridMultilevel"/>
    <w:lvl w:ilvl="0">
      <w:lvlJc w:val="left"/>
      <w:lvlText w:val="(%1)"/>
      <w:numFmt w:val="lowerLetter"/>
      <w:start w:val="2"/>
    </w:lvl>
  </w:abstractNum>
  <w:abstractNum w:abstractNumId="324">
    <w:nsid w:val="ACDFAC0"/>
    <w:multiLevelType w:val="hybridMultilevel"/>
    <w:lvl w:ilvl="0">
      <w:lvlJc w:val="left"/>
      <w:lvlText w:val="(%1)"/>
      <w:numFmt w:val="lowerLetter"/>
      <w:start w:val="6"/>
    </w:lvl>
  </w:abstractNum>
  <w:abstractNum w:abstractNumId="325">
    <w:nsid w:val="1F578454"/>
    <w:multiLevelType w:val="hybridMultilevel"/>
    <w:lvl w:ilvl="0">
      <w:lvlJc w:val="left"/>
      <w:lvlText w:val="(%1)"/>
      <w:numFmt w:val="lowerLetter"/>
      <w:start w:val="1"/>
    </w:lvl>
  </w:abstractNum>
  <w:abstractNum w:abstractNumId="326">
    <w:nsid w:val="5B0DAD2A"/>
    <w:multiLevelType w:val="hybridMultilevel"/>
    <w:lvl w:ilvl="0">
      <w:lvlJc w:val="left"/>
      <w:lvlText w:val="(%1)"/>
      <w:numFmt w:val="lowerLetter"/>
      <w:start w:val="1"/>
    </w:lvl>
  </w:abstractNum>
  <w:abstractNum w:abstractNumId="327">
    <w:nsid w:val="4E3D26AB"/>
    <w:multiLevelType w:val="hybridMultilevel"/>
    <w:lvl w:ilvl="0">
      <w:lvlJc w:val="left"/>
      <w:lvlText w:val="(%1)"/>
      <w:numFmt w:val="lowerLetter"/>
      <w:start w:val="4"/>
    </w:lvl>
  </w:abstractNum>
  <w:abstractNum w:abstractNumId="328">
    <w:nsid w:val="BE2C8BA"/>
    <w:multiLevelType w:val="hybridMultilevel"/>
    <w:lvl w:ilvl="0">
      <w:lvlJc w:val="left"/>
      <w:lvlText w:val="(%1)"/>
      <w:numFmt w:val="lowerLetter"/>
      <w:start w:val="1"/>
    </w:lvl>
  </w:abstractNum>
  <w:abstractNum w:abstractNumId="329">
    <w:nsid w:val="7B14914E"/>
    <w:multiLevelType w:val="hybridMultilevel"/>
    <w:lvl w:ilvl="0">
      <w:lvlJc w:val="left"/>
      <w:lvlText w:val="(%1)"/>
      <w:numFmt w:val="lowerLetter"/>
      <w:start w:val="5"/>
    </w:lvl>
  </w:abstractNum>
  <w:abstractNum w:abstractNumId="330">
    <w:nsid w:val="6F0939F8"/>
    <w:multiLevelType w:val="hybridMultilevel"/>
    <w:lvl w:ilvl="0">
      <w:lvlJc w:val="left"/>
      <w:lvlText w:val="%1"/>
      <w:numFmt w:val="lowerRoman"/>
      <w:start w:val="1"/>
    </w:lvl>
    <w:lvl w:ilvl="1">
      <w:lvlJc w:val="left"/>
      <w:lvlText w:val="(%2)"/>
      <w:numFmt w:val="lowerRoman"/>
      <w:start w:val="1"/>
    </w:lvl>
  </w:abstractNum>
  <w:abstractNum w:abstractNumId="331">
    <w:nsid w:val="154291F6"/>
    <w:multiLevelType w:val="hybridMultilevel"/>
    <w:lvl w:ilvl="0">
      <w:lvlJc w:val="left"/>
      <w:lvlText w:val="(%1)"/>
      <w:numFmt w:val="lowerRoman"/>
      <w:start w:val="1"/>
    </w:lvl>
    <w:lvl w:ilvl="1">
      <w:lvlJc w:val="left"/>
      <w:lvlText w:val="%2"/>
      <w:numFmt w:val="lowerRoman"/>
      <w:start w:val="1"/>
    </w:lvl>
  </w:abstractNum>
  <w:abstractNum w:abstractNumId="332">
    <w:nsid w:val="3CEBD7C7"/>
    <w:multiLevelType w:val="hybridMultilevel"/>
    <w:lvl w:ilvl="0">
      <w:lvlJc w:val="left"/>
      <w:lvlText w:val="(%1)"/>
      <w:numFmt w:val="lowerLetter"/>
      <w:start w:val="1"/>
    </w:lvl>
    <w:lvl w:ilvl="1">
      <w:lvlJc w:val="left"/>
      <w:lvlText w:val="(%2)"/>
      <w:numFmt w:val="lowerRoman"/>
      <w:start w:val="1"/>
    </w:lvl>
  </w:abstractNum>
  <w:abstractNum w:abstractNumId="333">
    <w:nsid w:val="60EE9C1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34">
    <w:nsid w:val="6385489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335">
    <w:nsid w:val="E4B973"/>
    <w:multiLevelType w:val="hybridMultilevel"/>
    <w:lvl w:ilvl="0">
      <w:lvlJc w:val="left"/>
      <w:lvlText w:val="(%1)"/>
      <w:numFmt w:val="lowerLetter"/>
      <w:start w:val="4"/>
    </w:lvl>
  </w:abstractNum>
  <w:abstractNum w:abstractNumId="336">
    <w:nsid w:val="4A0FFA11"/>
    <w:multiLevelType w:val="hybridMultilevel"/>
    <w:lvl w:ilvl="0">
      <w:lvlJc w:val="left"/>
      <w:lvlText w:val="(%1)"/>
      <w:numFmt w:val="lowerLetter"/>
      <w:start w:val="1"/>
    </w:lvl>
  </w:abstractNum>
  <w:abstractNum w:abstractNumId="337">
    <w:nsid w:val="5E446208"/>
    <w:multiLevelType w:val="hybridMultilevel"/>
    <w:lvl w:ilvl="0">
      <w:lvlJc w:val="left"/>
      <w:lvlText w:val="(%1)"/>
      <w:numFmt w:val="lowerLetter"/>
      <w:start w:val="1"/>
    </w:lvl>
    <w:lvl w:ilvl="1">
      <w:lvlJc w:val="left"/>
      <w:lvlText w:val="(%2)"/>
      <w:numFmt w:val="lowerRoman"/>
      <w:start w:val="1"/>
    </w:lvl>
  </w:abstractNum>
  <w:abstractNum w:abstractNumId="338">
    <w:nsid w:val="5F3272DB"/>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3"/>
    </w:lvl>
  </w:abstractNum>
  <w:abstractNum w:abstractNumId="339">
    <w:nsid w:val="7616D704"/>
    <w:multiLevelType w:val="hybridMultilevel"/>
    <w:lvl w:ilvl="0">
      <w:lvlJc w:val="left"/>
      <w:lvlText w:val="(%1)"/>
      <w:numFmt w:val="lowerLetter"/>
      <w:start w:val="12"/>
    </w:lvl>
  </w:abstractNum>
  <w:abstractNum w:abstractNumId="340">
    <w:nsid w:val="C56F860"/>
    <w:multiLevelType w:val="hybridMultilevel"/>
    <w:lvl w:ilvl="0">
      <w:lvlJc w:val="left"/>
      <w:lvlText w:val="(%1)"/>
      <w:numFmt w:val="lowerLetter"/>
      <w:start w:val="1"/>
    </w:lvl>
  </w:abstractNum>
  <w:abstractNum w:abstractNumId="341">
    <w:nsid w:val="64D17722"/>
    <w:multiLevelType w:val="hybridMultilevel"/>
    <w:lvl w:ilvl="0">
      <w:lvlJc w:val="left"/>
      <w:lvlText w:val="(%1)"/>
      <w:numFmt w:val="lowerLetter"/>
      <w:start w:val="6"/>
    </w:lvl>
  </w:abstractNum>
  <w:abstractNum w:abstractNumId="342">
    <w:nsid w:val="7924CA0A"/>
    <w:multiLevelType w:val="hybridMultilevel"/>
    <w:lvl w:ilvl="0">
      <w:lvlJc w:val="left"/>
      <w:lvlText w:val="%1"/>
      <w:numFmt w:val="lowerLetter"/>
      <w:start w:val="1"/>
    </w:lvl>
    <w:lvl w:ilvl="1">
      <w:lvlJc w:val="left"/>
      <w:lvlText w:val="(%2)"/>
      <w:numFmt w:val="lowerLetter"/>
      <w:start w:val="13"/>
    </w:lvl>
  </w:abstractNum>
  <w:abstractNum w:abstractNumId="343">
    <w:nsid w:val="CFD4EA7"/>
    <w:multiLevelType w:val="hybridMultilevel"/>
    <w:lvl w:ilvl="0">
      <w:lvlJc w:val="left"/>
      <w:lvlText w:val="(%1)"/>
      <w:numFmt w:val="lowerLetter"/>
      <w:start w:val="17"/>
    </w:lvl>
  </w:abstractNum>
  <w:abstractNum w:abstractNumId="344">
    <w:nsid w:val="232FCF4D"/>
    <w:multiLevelType w:val="hybridMultilevel"/>
    <w:lvl w:ilvl="0">
      <w:lvlJc w:val="left"/>
      <w:lvlText w:val="(%1)"/>
      <w:numFmt w:val="lowerLetter"/>
      <w:start w:val="23"/>
    </w:lvl>
  </w:abstractNum>
  <w:abstractNum w:abstractNumId="345">
    <w:nsid w:val="1EA21031"/>
    <w:multiLevelType w:val="hybridMultilevel"/>
    <w:lvl w:ilvl="0">
      <w:lvlJc w:val="left"/>
      <w:lvlText w:val="(%1)"/>
      <w:numFmt w:val="lowerRoman"/>
      <w:start w:val="10"/>
    </w:lvl>
  </w:abstractNum>
  <w:abstractNum w:abstractNumId="346">
    <w:nsid w:val="67A5A6B5"/>
    <w:multiLevelType w:val="hybridMultilevel"/>
    <w:lvl w:ilvl="0">
      <w:lvlJc w:val="left"/>
      <w:lvlText w:val="(%1)"/>
      <w:numFmt w:val="lowerLetter"/>
      <w:start w:val="25"/>
    </w:lvl>
    <w:lvl w:ilvl="1">
      <w:lvlJc w:val="left"/>
      <w:lvlText w:val="%2"/>
      <w:numFmt w:val="lowerLetter"/>
      <w:start w:val="1"/>
    </w:lvl>
  </w:abstractNum>
  <w:abstractNum w:abstractNumId="347">
    <w:nsid w:val="C2A5C5B"/>
    <w:multiLevelType w:val="hybridMultilevel"/>
    <w:lvl w:ilvl="0">
      <w:lvlJc w:val="left"/>
      <w:lvlText w:val="(%1)"/>
      <w:numFmt w:val="lowerLetter"/>
      <w:start w:val="29"/>
    </w:lvl>
  </w:abstractNum>
  <w:abstractNum w:abstractNumId="348">
    <w:nsid w:val="5F94DC03"/>
    <w:multiLevelType w:val="hybridMultilevel"/>
    <w:lvl w:ilvl="0">
      <w:lvlJc w:val="left"/>
      <w:lvlText w:val="(%1)"/>
      <w:numFmt w:val="lowerLetter"/>
      <w:start w:val="1"/>
    </w:lvl>
    <w:lvl w:ilvl="1">
      <w:lvlJc w:val="left"/>
      <w:lvlText w:val="(%2)"/>
      <w:numFmt w:val="lowerRoman"/>
      <w:start w:val="1"/>
    </w:lvl>
  </w:abstractNum>
  <w:abstractNum w:abstractNumId="349">
    <w:nsid w:val="237BBCA0"/>
    <w:multiLevelType w:val="hybridMultilevel"/>
    <w:lvl w:ilvl="0">
      <w:lvlJc w:val="left"/>
      <w:lvlText w:val="(%1)"/>
      <w:numFmt w:val="lowerRoman"/>
      <w:start w:val="6"/>
    </w:lvl>
  </w:abstractNum>
  <w:abstractNum w:abstractNumId="350">
    <w:nsid w:val="162EB70D"/>
    <w:multiLevelType w:val="hybridMultilevel"/>
    <w:lvl w:ilvl="0">
      <w:lvlJc w:val="left"/>
      <w:lvlText w:val="%1."/>
      <w:numFmt w:val="lowerLetter"/>
      <w:start w:val="1"/>
    </w:lvl>
  </w:abstractNum>
  <w:abstractNum w:abstractNumId="351">
    <w:nsid w:val="78070222"/>
    <w:multiLevelType w:val="hybridMultilevel"/>
    <w:lvl w:ilvl="0">
      <w:lvlJc w:val="left"/>
      <w:lvlText w:val="(%1)"/>
      <w:numFmt w:val="lowerLetter"/>
      <w:start w:val="1"/>
    </w:lvl>
  </w:abstractNum>
  <w:abstractNum w:abstractNumId="352">
    <w:nsid w:val="6163ED0D"/>
    <w:multiLevelType w:val="hybridMultilevel"/>
    <w:lvl w:ilvl="0">
      <w:lvlJc w:val="left"/>
      <w:lvlText w:val="%1"/>
      <w:numFmt w:val="lowerRoman"/>
      <w:start w:val="1"/>
    </w:lvl>
    <w:lvl w:ilvl="1">
      <w:lvlJc w:val="left"/>
      <w:lvlText w:val="(%2)"/>
      <w:numFmt w:val="lowerLetter"/>
      <w:start w:val="5"/>
    </w:lvl>
  </w:abstractNum>
  <w:abstractNum w:abstractNumId="353">
    <w:nsid w:val="C600E47"/>
    <w:multiLevelType w:val="hybridMultilevel"/>
    <w:lvl w:ilvl="0">
      <w:lvlJc w:val="left"/>
      <w:lvlText w:val="%1."/>
      <w:numFmt w:val="lowerRoman"/>
      <w:start w:val="1"/>
    </w:lvl>
    <w:lvl w:ilvl="1">
      <w:lvlJc w:val="left"/>
      <w:lvlText w:val="(%2)"/>
      <w:numFmt w:val="lowerLetter"/>
      <w:start w:val="6"/>
    </w:lvl>
  </w:abstractNum>
  <w:abstractNum w:abstractNumId="354">
    <w:nsid w:val="7D94F75D"/>
    <w:multiLevelType w:val="hybridMultilevel"/>
    <w:lvl w:ilvl="0">
      <w:lvlJc w:val="left"/>
      <w:lvlText w:val="(%1)"/>
      <w:numFmt w:val="lowerLetter"/>
      <w:start w:val="1"/>
    </w:lvl>
  </w:abstractNum>
  <w:abstractNum w:abstractNumId="355">
    <w:nsid w:val="6C31E7CD"/>
    <w:multiLevelType w:val="hybridMultilevel"/>
    <w:lvl w:ilvl="0">
      <w:lvlJc w:val="left"/>
      <w:lvlText w:val="(%1)"/>
      <w:numFmt w:val="lowerLetter"/>
      <w:start w:val="3"/>
    </w:lvl>
  </w:abstractNum>
  <w:abstractNum w:abstractNumId="356">
    <w:nsid w:val="2BB7929B"/>
    <w:multiLevelType w:val="hybridMultilevel"/>
    <w:lvl w:ilvl="0">
      <w:lvlJc w:val="left"/>
      <w:lvlText w:val="(%1)"/>
      <w:numFmt w:val="lowerLetter"/>
      <w:start w:val="1"/>
    </w:lvl>
  </w:abstractNum>
  <w:abstractNum w:abstractNumId="357">
    <w:nsid w:val="58A2A487"/>
    <w:multiLevelType w:val="hybridMultilevel"/>
    <w:lvl w:ilvl="0">
      <w:lvlJc w:val="left"/>
      <w:lvlText w:val="%1."/>
      <w:numFmt w:val="lowerLetter"/>
      <w:start w:val="1"/>
    </w:lvl>
  </w:abstractNum>
  <w:abstractNum w:abstractNumId="358">
    <w:nsid w:val="3A6F0E78"/>
    <w:multiLevelType w:val="hybridMultilevel"/>
    <w:lvl w:ilvl="0">
      <w:lvlJc w:val="left"/>
      <w:lvlText w:val="(%1)"/>
      <w:numFmt w:val="lowerLetter"/>
      <w:start w:val="1"/>
    </w:lvl>
  </w:abstractNum>
  <w:abstractNum w:abstractNumId="359">
    <w:nsid w:val="379A5B56"/>
    <w:multiLevelType w:val="hybridMultilevel"/>
    <w:lvl w:ilvl="0">
      <w:lvlJc w:val="left"/>
      <w:lvlText w:val="(%1)"/>
      <w:numFmt w:val="lowerLetter"/>
      <w:start w:val="3"/>
    </w:lvl>
  </w:abstractNum>
  <w:abstractNum w:abstractNumId="360">
    <w:nsid w:val="53B735D5"/>
    <w:multiLevelType w:val="hybridMultilevel"/>
    <w:lvl w:ilvl="0">
      <w:lvlJc w:val="left"/>
      <w:lvlText w:val="(%1)"/>
      <w:numFmt w:val="lowerLetter"/>
      <w:start w:val="11"/>
    </w:lvl>
    <w:lvl w:ilvl="1">
      <w:lvlJc w:val="left"/>
      <w:lvlText w:val="(%2)"/>
      <w:numFmt w:val="lowerRoman"/>
      <w:start w:val="1"/>
    </w:lvl>
  </w:abstractNum>
  <w:abstractNum w:abstractNumId="361">
    <w:nsid w:val="29784870"/>
    <w:multiLevelType w:val="hybridMultilevel"/>
    <w:lvl w:ilvl="0">
      <w:lvlJc w:val="left"/>
      <w:lvlText w:val="%1"/>
      <w:numFmt w:val="lowerLetter"/>
      <w:start w:val="1"/>
    </w:lvl>
    <w:lvl w:ilvl="1">
      <w:lvlJc w:val="left"/>
      <w:lvlText w:val="(%2)"/>
      <w:numFmt w:val="lowerRoman"/>
      <w:start w:val="8"/>
    </w:lvl>
  </w:abstractNum>
  <w:abstractNum w:abstractNumId="362">
    <w:nsid w:val="4CDCED4C"/>
    <w:multiLevelType w:val="hybridMultilevel"/>
    <w:lvl w:ilvl="0">
      <w:lvlJc w:val="left"/>
      <w:lvlText w:val="(%1)"/>
      <w:numFmt w:val="lowerLetter"/>
      <w:start w:val="12"/>
    </w:lvl>
    <w:lvl w:ilvl="1">
      <w:lvlJc w:val="left"/>
      <w:lvlText w:val="%2"/>
      <w:numFmt w:val="lowerRoman"/>
      <w:start w:val="1"/>
    </w:lvl>
  </w:abstractNum>
  <w:abstractNum w:abstractNumId="363">
    <w:nsid w:val="10A30D9C"/>
    <w:multiLevelType w:val="hybridMultilevel"/>
    <w:lvl w:ilvl="0">
      <w:lvlJc w:val="left"/>
      <w:lvlText w:val="(%1)"/>
      <w:numFmt w:val="lowerRoman"/>
      <w:start w:val="4"/>
    </w:lvl>
    <w:lvl w:ilvl="1">
      <w:lvlJc w:val="left"/>
      <w:lvlText w:val="(%2)"/>
      <w:numFmt w:val="lowerLetter"/>
      <w:start w:val="14"/>
    </w:lvl>
  </w:abstractNum>
  <w:abstractNum w:abstractNumId="364">
    <w:nsid w:val="A66E486"/>
    <w:multiLevelType w:val="hybridMultilevel"/>
    <w:lvl w:ilvl="0">
      <w:lvlJc w:val="left"/>
      <w:lvlText w:val="(%1)"/>
      <w:numFmt w:val="lowerLetter"/>
      <w:start w:val="16"/>
    </w:lvl>
  </w:abstractNum>
  <w:abstractNum w:abstractNumId="365">
    <w:nsid w:val="306235EA"/>
    <w:multiLevelType w:val="hybridMultilevel"/>
    <w:lvl w:ilvl="0">
      <w:lvlJc w:val="left"/>
      <w:lvlText w:val="(%1)"/>
      <w:numFmt w:val="lowerLetter"/>
      <w:start w:val="1"/>
    </w:lvl>
  </w:abstractNum>
  <w:abstractNum w:abstractNumId="366">
    <w:nsid w:val="1187C70F"/>
    <w:multiLevelType w:val="hybridMultilevel"/>
    <w:lvl w:ilvl="0">
      <w:lvlJc w:val="left"/>
      <w:lvlText w:val="(%1)"/>
      <w:numFmt w:val="lowerLetter"/>
      <w:start w:val="4"/>
    </w:lvl>
  </w:abstractNum>
  <w:abstractNum w:abstractNumId="367">
    <w:nsid w:val="5476DE98"/>
    <w:multiLevelType w:val="hybridMultilevel"/>
    <w:lvl w:ilvl="0">
      <w:lvlJc w:val="left"/>
      <w:lvlText w:val="(%1)"/>
      <w:numFmt w:val="lowerLetter"/>
      <w:start w:val="10"/>
    </w:lvl>
  </w:abstractNum>
  <w:abstractNum w:abstractNumId="368">
    <w:nsid w:val="EA697F2"/>
    <w:multiLevelType w:val="hybridMultilevel"/>
    <w:lvl w:ilvl="0">
      <w:lvlJc w:val="left"/>
      <w:lvlText w:val="(%1)"/>
      <w:numFmt w:val="lowerLetter"/>
      <w:start w:val="15"/>
    </w:lvl>
    <w:lvl w:ilvl="1">
      <w:lvlJc w:val="left"/>
      <w:lvlText w:val="(%2)"/>
      <w:numFmt w:val="lowerRoman"/>
      <w:start w:val="1"/>
    </w:lvl>
  </w:abstractNum>
  <w:abstractNum w:abstractNumId="369">
    <w:nsid w:val="70BA39EB"/>
    <w:multiLevelType w:val="hybridMultilevel"/>
    <w:lvl w:ilvl="0">
      <w:lvlJc w:val="left"/>
      <w:lvlText w:val="(%1)"/>
      <w:numFmt w:val="lowerRoman"/>
      <w:start w:val="11"/>
    </w:lvl>
  </w:abstractNum>
  <w:abstractNum w:abstractNumId="370">
    <w:nsid w:val="4A8DB59C"/>
    <w:multiLevelType w:val="hybridMultilevel"/>
    <w:lvl w:ilvl="0">
      <w:lvlJc w:val="left"/>
      <w:lvlText w:val="(%1)"/>
      <w:numFmt w:val="lowerRoman"/>
      <w:start w:val="19"/>
    </w:lvl>
  </w:abstractNum>
  <w:abstractNum w:abstractNumId="371">
    <w:nsid w:val="1AFD9053"/>
    <w:multiLevelType w:val="hybridMultilevel"/>
    <w:lvl w:ilvl="0">
      <w:lvlJc w:val="left"/>
      <w:lvlText w:val="(%1)"/>
      <w:numFmt w:val="lowerRoman"/>
      <w:start w:val="22"/>
    </w:lvl>
  </w:abstractNum>
  <w:abstractNum w:abstractNumId="372">
    <w:nsid w:val="558BB10D"/>
    <w:multiLevelType w:val="hybridMultilevel"/>
    <w:lvl w:ilvl="0">
      <w:lvlJc w:val="left"/>
      <w:lvlText w:val="(%1)"/>
      <w:numFmt w:val="lowerRoman"/>
      <w:start w:val="27"/>
    </w:lvl>
  </w:abstractNum>
  <w:abstractNum w:abstractNumId="373">
    <w:nsid w:val="43B27FA7"/>
    <w:multiLevelType w:val="hybridMultilevel"/>
    <w:lvl w:ilvl="0">
      <w:lvlJc w:val="left"/>
      <w:lvlText w:val="%1"/>
      <w:numFmt w:val="lowerLetter"/>
      <w:start w:val="1"/>
    </w:lvl>
    <w:lvl w:ilvl="1">
      <w:lvlJc w:val="left"/>
      <w:lvlText w:val="(%2)"/>
      <w:numFmt w:val="lowerLetter"/>
      <w:start w:val="16"/>
    </w:lvl>
    <w:lvl w:ilvl="2">
      <w:lvlJc w:val="left"/>
      <w:lvlText w:val="(%3)"/>
      <w:numFmt w:val="lowerLetter"/>
      <w:start w:val="9"/>
    </w:lvl>
  </w:abstractNum>
  <w:abstractNum w:abstractNumId="374">
    <w:nsid w:val="27FADEF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75">
    <w:nsid w:val="78BB805A"/>
    <w:multiLevelType w:val="hybridMultilevel"/>
    <w:lvl w:ilvl="0">
      <w:lvlJc w:val="left"/>
      <w:lvlText w:val="(%1)"/>
      <w:numFmt w:val="lowerRoman"/>
      <w:start w:val="2"/>
    </w:lvl>
  </w:abstractNum>
  <w:abstractNum w:abstractNumId="376">
    <w:nsid w:val="62548FD8"/>
    <w:multiLevelType w:val="hybridMultilevel"/>
    <w:lvl w:ilvl="0">
      <w:lvlJc w:val="left"/>
      <w:lvlText w:val="(%1)"/>
      <w:numFmt w:val="lowerLetter"/>
      <w:start w:val="1"/>
    </w:lvl>
  </w:abstractNum>
  <w:abstractNum w:abstractNumId="377">
    <w:nsid w:val="FA085B0"/>
    <w:multiLevelType w:val="hybridMultilevel"/>
    <w:lvl w:ilvl="0">
      <w:lvlJc w:val="left"/>
      <w:lvlText w:val="(%1)"/>
      <w:numFmt w:val="lowerLetter"/>
      <w:start w:val="4"/>
    </w:lvl>
    <w:lvl w:ilvl="1">
      <w:lvlJc w:val="left"/>
      <w:lvlText w:val="(%2)"/>
      <w:numFmt w:val="lowerLetter"/>
      <w:start w:val="35"/>
    </w:lvl>
  </w:abstractNum>
  <w:abstractNum w:abstractNumId="378">
    <w:nsid w:val="4E5DCB5"/>
    <w:multiLevelType w:val="hybridMultilevel"/>
    <w:lvl w:ilvl="0">
      <w:lvlJc w:val="left"/>
      <w:lvlText w:val="(%1)"/>
      <w:numFmt w:val="lowerLetter"/>
      <w:start w:val="10"/>
    </w:lvl>
  </w:abstractNum>
  <w:abstractNum w:abstractNumId="379">
    <w:nsid w:val="41E96BDB"/>
    <w:multiLevelType w:val="hybridMultilevel"/>
    <w:lvl w:ilvl="0">
      <w:lvlJc w:val="left"/>
      <w:lvlText w:val="(%1)"/>
      <w:numFmt w:val="lowerLetter"/>
      <w:start w:val="16"/>
    </w:lvl>
    <w:lvl w:ilvl="1">
      <w:lvlJc w:val="left"/>
      <w:lvlText w:val="(%2)"/>
      <w:numFmt w:val="lowerLetter"/>
      <w:start w:val="17"/>
    </w:lvl>
  </w:abstractNum>
  <w:abstractNum w:abstractNumId="380">
    <w:nsid w:val="331C4250"/>
    <w:multiLevelType w:val="hybridMultilevel"/>
    <w:lvl w:ilvl="0">
      <w:lvlJc w:val="left"/>
      <w:lvlText w:val="(%1)"/>
      <w:numFmt w:val="lowerLetter"/>
      <w:start w:val="1"/>
    </w:lvl>
    <w:lvl w:ilvl="1">
      <w:lvlJc w:val="left"/>
      <w:lvlText w:val="(%2)"/>
      <w:numFmt w:val="lowerRoman"/>
      <w:start w:val="1"/>
    </w:lvl>
  </w:abstractNum>
  <w:abstractNum w:abstractNumId="381">
    <w:nsid w:val="1B1493C2"/>
    <w:multiLevelType w:val="hybridMultilevel"/>
    <w:lvl w:ilvl="0">
      <w:lvlJc w:val="left"/>
      <w:lvlText w:val="(%1)"/>
      <w:numFmt w:val="lowerLetter"/>
      <w:start w:val="3"/>
    </w:lvl>
  </w:abstractNum>
  <w:abstractNum w:abstractNumId="382">
    <w:nsid w:val="39F06DFD"/>
    <w:multiLevelType w:val="hybridMultilevel"/>
    <w:lvl w:ilvl="0">
      <w:lvlJc w:val="left"/>
      <w:lvlText w:val="(%1)"/>
      <w:numFmt w:val="lowerLetter"/>
      <w:start w:val="1"/>
    </w:lvl>
  </w:abstractNum>
  <w:abstractNum w:abstractNumId="383">
    <w:nsid w:val="14802F5D"/>
    <w:multiLevelType w:val="hybridMultilevel"/>
    <w:lvl w:ilvl="0">
      <w:lvlJc w:val="left"/>
      <w:lvlText w:val="(%1)"/>
      <w:numFmt w:val="lowerLetter"/>
      <w:start w:val="1"/>
    </w:lvl>
  </w:abstractNum>
  <w:abstractNum w:abstractNumId="384">
    <w:nsid w:val="2774A209"/>
    <w:multiLevelType w:val="hybridMultilevel"/>
    <w:lvl w:ilvl="0">
      <w:lvlJc w:val="left"/>
      <w:lvlText w:val="(%1)"/>
      <w:numFmt w:val="lowerLetter"/>
      <w:start w:val="1"/>
    </w:lvl>
  </w:abstractNum>
  <w:abstractNum w:abstractNumId="385">
    <w:nsid w:val="3785655A"/>
    <w:multiLevelType w:val="hybridMultilevel"/>
    <w:lvl w:ilvl="0">
      <w:lvlJc w:val="left"/>
      <w:lvlText w:val="(%1)"/>
      <w:numFmt w:val="lowerRoman"/>
      <w:start w:val="2"/>
    </w:lvl>
  </w:abstractNum>
  <w:abstractNum w:abstractNumId="386">
    <w:nsid w:val="B2172A"/>
    <w:multiLevelType w:val="hybridMultilevel"/>
    <w:lvl w:ilvl="0">
      <w:lvlJc w:val="left"/>
      <w:lvlText w:val="(%1)"/>
      <w:numFmt w:val="upperLetter"/>
      <w:start w:val="1"/>
    </w:lvl>
  </w:abstractNum>
  <w:abstractNum w:abstractNumId="387">
    <w:nsid w:val="532C34A5"/>
    <w:multiLevelType w:val="hybridMultilevel"/>
    <w:lvl w:ilvl="0">
      <w:lvlJc w:val="left"/>
      <w:lvlText w:val="%1"/>
      <w:numFmt w:val="lowerLetter"/>
      <w:start w:val="1"/>
    </w:lvl>
    <w:lvl w:ilvl="1">
      <w:lvlJc w:val="left"/>
      <w:lvlText w:val="(%2)"/>
      <w:numFmt w:val="lowerLetter"/>
      <w:start w:val="22"/>
    </w:lvl>
    <w:lvl w:ilvl="2">
      <w:lvlJc w:val="left"/>
      <w:lvlText w:val="%3"/>
      <w:numFmt w:val="lowerLetter"/>
      <w:start w:val="1"/>
    </w:lvl>
  </w:abstractNum>
  <w:abstractNum w:abstractNumId="388">
    <w:nsid w:val="102809E2"/>
    <w:multiLevelType w:val="hybridMultilevel"/>
    <w:lvl w:ilvl="0">
      <w:lvlJc w:val="left"/>
      <w:lvlText w:val="(%1)"/>
      <w:numFmt w:val="lowerLetter"/>
      <w:start w:val="4"/>
    </w:lvl>
    <w:lvl w:ilvl="1">
      <w:lvlJc w:val="left"/>
      <w:lvlText w:val="(%2)"/>
      <w:numFmt w:val="lowerLetter"/>
      <w:start w:val="35"/>
    </w:lvl>
    <w:lvl w:ilvl="2">
      <w:lvlJc w:val="left"/>
      <w:lvlText w:val="%3"/>
      <w:numFmt w:val="lowerLetter"/>
      <w:start w:val="1"/>
    </w:lvl>
  </w:abstractNum>
  <w:abstractNum w:abstractNumId="389">
    <w:nsid w:val="3B2125A3"/>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1"/>
    </w:lvl>
  </w:abstractNum>
  <w:abstractNum w:abstractNumId="390">
    <w:nsid w:val="AC68FFB"/>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391">
    <w:nsid w:val="63DF3FB7"/>
    <w:multiLevelType w:val="hybridMultilevel"/>
    <w:lvl w:ilvl="0">
      <w:lvlJc w:val="left"/>
      <w:lvlText w:val="(%1)"/>
      <w:numFmt w:val="lowerRoman"/>
      <w:start w:val="1"/>
    </w:lvl>
  </w:abstractNum>
  <w:abstractNum w:abstractNumId="392">
    <w:nsid w:val="64996E13"/>
    <w:multiLevelType w:val="hybridMultilevel"/>
    <w:lvl w:ilvl="0">
      <w:lvlJc w:val="left"/>
      <w:lvlText w:val="(%1)"/>
      <w:numFmt w:val="lowerLetter"/>
      <w:start w:val="1"/>
    </w:lvl>
  </w:abstractNum>
  <w:abstractNum w:abstractNumId="393">
    <w:nsid w:val="57A37D47"/>
    <w:multiLevelType w:val="hybridMultilevel"/>
    <w:lvl w:ilvl="0">
      <w:lvlJc w:val="left"/>
      <w:lvlText w:val="%1"/>
      <w:numFmt w:val="lowerLetter"/>
      <w:start w:val="1"/>
    </w:lvl>
    <w:lvl w:ilvl="1">
      <w:lvlJc w:val="left"/>
      <w:lvlText w:val="(%2)"/>
      <w:numFmt w:val="lowerLetter"/>
      <w:start w:val="1"/>
    </w:lvl>
  </w:abstractNum>
  <w:abstractNum w:abstractNumId="394">
    <w:nsid w:val="74824D54"/>
    <w:multiLevelType w:val="hybridMultilevel"/>
    <w:lvl w:ilvl="0">
      <w:lvlJc w:val="left"/>
      <w:lvlText w:val="(%1)"/>
      <w:numFmt w:val="lowerLetter"/>
      <w:start w:val="35"/>
    </w:lvl>
    <w:lvl w:ilvl="1">
      <w:lvlJc w:val="left"/>
      <w:lvlText w:val="%2"/>
      <w:numFmt w:val="lowerLetter"/>
      <w:start w:val="1"/>
    </w:lvl>
  </w:abstractNum>
  <w:abstractNum w:abstractNumId="395">
    <w:nsid w:val="6F00529A"/>
    <w:multiLevelType w:val="hybridMultilevel"/>
    <w:lvl w:ilvl="0">
      <w:lvlJc w:val="left"/>
      <w:lvlText w:val="%1."/>
      <w:numFmt w:val="upperLetter"/>
      <w:start w:val="2"/>
    </w:lvl>
    <w:lvl w:ilvl="1">
      <w:lvlJc w:val="left"/>
      <w:lvlText w:val="(%2)"/>
      <w:numFmt w:val="lowerLetter"/>
      <w:start w:val="2"/>
    </w:lvl>
  </w:abstractNum>
  <w:abstractNum w:abstractNumId="396">
    <w:nsid w:val="805B331"/>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3"/>
    </w:lvl>
  </w:abstractNum>
  <w:abstractNum w:abstractNumId="397">
    <w:nsid w:val="60A1463"/>
    <w:multiLevelType w:val="hybridMultilevel"/>
    <w:lvl w:ilvl="0">
      <w:lvlJc w:val="left"/>
      <w:lvlText w:val="(%1)"/>
      <w:numFmt w:val="lowerRoman"/>
      <w:start w:val="1"/>
    </w:lvl>
  </w:abstractNum>
  <w:abstractNum w:abstractNumId="398">
    <w:nsid w:val="43773132"/>
    <w:multiLevelType w:val="hybridMultilevel"/>
    <w:lvl w:ilvl="0">
      <w:lvlJc w:val="left"/>
      <w:lvlText w:val="%1"/>
      <w:numFmt w:val="decimal"/>
      <w:start w:val="1"/>
    </w:lvl>
    <w:lvl w:ilvl="1">
      <w:lvlJc w:val="left"/>
      <w:lvlText w:val="(%2)"/>
      <w:numFmt w:val="lowerLetter"/>
      <w:start w:val="1"/>
    </w:lvl>
  </w:abstractNum>
  <w:abstractNum w:abstractNumId="399">
    <w:nsid w:val="16AC4B23"/>
    <w:multiLevelType w:val="hybridMultilevel"/>
    <w:lvl w:ilvl="0">
      <w:lvlJc w:val="left"/>
      <w:lvlText w:val="(%1)"/>
      <w:numFmt w:val="decimal"/>
      <w:start w:val="2"/>
    </w:lvl>
    <w:lvl w:ilvl="1">
      <w:lvlJc w:val="left"/>
      <w:lvlText w:val="%2"/>
      <w:numFmt w:val="lowerLetter"/>
      <w:start w:val="1"/>
    </w:lvl>
  </w:abstractNum>
  <w:abstractNum w:abstractNumId="400">
    <w:nsid w:val="76C44E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401">
    <w:nsid w:val="E04E6CE"/>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8"/>
    </w:lvl>
  </w:abstractNum>
  <w:abstractNum w:abstractNumId="402">
    <w:nsid w:val="31A9DB76"/>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abstractNum>
  <w:abstractNum w:abstractNumId="403">
    <w:nsid w:val="4C4FFF5B"/>
    <w:multiLevelType w:val="hybridMultilevel"/>
    <w:lvl w:ilvl="0">
      <w:lvlJc w:val="left"/>
      <w:lvlText w:val="(%1)"/>
      <w:numFmt w:val="lowerLetter"/>
      <w:start w:val="12"/>
    </w:lvl>
  </w:abstractNum>
  <w:abstractNum w:abstractNumId="404">
    <w:nsid w:val="51B76675"/>
    <w:multiLevelType w:val="hybridMultilevel"/>
    <w:lvl w:ilvl="0">
      <w:lvlJc w:val="left"/>
      <w:lvlText w:val="(%1)"/>
      <w:numFmt w:val="lowerLetter"/>
      <w:start w:val="13"/>
    </w:lvl>
  </w:abstractNum>
  <w:abstractNum w:abstractNumId="405">
    <w:nsid w:val="59A4BA71"/>
    <w:multiLevelType w:val="hybridMultilevel"/>
    <w:lvl w:ilvl="0">
      <w:lvlJc w:val="left"/>
      <w:lvlText w:val="(%1)"/>
      <w:numFmt w:val="lowerLetter"/>
      <w:start w:val="1"/>
    </w:lvl>
  </w:abstractNum>
  <w:abstractNum w:abstractNumId="406">
    <w:nsid w:val="450B7FB6"/>
    <w:multiLevelType w:val="hybridMultilevel"/>
    <w:lvl w:ilvl="0">
      <w:lvlJc w:val="left"/>
      <w:lvlText w:val="(%1)"/>
      <w:numFmt w:val="lowerLetter"/>
      <w:start w:val="3"/>
    </w:lvl>
  </w:abstractNum>
  <w:abstractNum w:abstractNumId="407">
    <w:nsid w:val="340BF64D"/>
    <w:multiLevelType w:val="hybridMultilevel"/>
    <w:lvl w:ilvl="0">
      <w:lvlJc w:val="left"/>
      <w:lvlText w:val="(%1)"/>
      <w:numFmt w:val="lowerLetter"/>
      <w:start w:val="1"/>
    </w:lvl>
  </w:abstractNum>
  <w:abstractNum w:abstractNumId="408">
    <w:nsid w:val="69454021"/>
    <w:multiLevelType w:val="hybridMultilevel"/>
    <w:lvl w:ilvl="0">
      <w:lvlJc w:val="left"/>
      <w:lvlText w:val="(%1)"/>
      <w:numFmt w:val="lowerLetter"/>
      <w:start w:val="3"/>
    </w:lvl>
  </w:abstractNum>
  <w:abstractNum w:abstractNumId="409">
    <w:nsid w:val="49F15C6B"/>
    <w:multiLevelType w:val="hybridMultilevel"/>
    <w:lvl w:ilvl="0">
      <w:lvlJc w:val="left"/>
      <w:lvlText w:val="(%1)"/>
      <w:numFmt w:val="lowerLetter"/>
      <w:start w:val="2"/>
    </w:lvl>
  </w:abstractNum>
  <w:abstractNum w:abstractNumId="410">
    <w:nsid w:val="75F56228"/>
    <w:multiLevelType w:val="hybridMultilevel"/>
    <w:lvl w:ilvl="0">
      <w:lvlJc w:val="left"/>
      <w:lvlText w:val="(%1)"/>
      <w:numFmt w:val="lowerLetter"/>
      <w:start w:val="2"/>
    </w:lvl>
  </w:abstractNum>
  <w:abstractNum w:abstractNumId="411">
    <w:nsid w:val="1C618271"/>
    <w:multiLevelType w:val="hybridMultilevel"/>
    <w:lvl w:ilvl="0">
      <w:lvlJc w:val="left"/>
      <w:lvlText w:val="(%1)"/>
      <w:numFmt w:val="lowerLetter"/>
      <w:start w:val="2"/>
    </w:lvl>
  </w:abstractNum>
  <w:abstractNum w:abstractNumId="412">
    <w:nsid w:val="6505F02E"/>
    <w:multiLevelType w:val="hybridMultilevel"/>
    <w:lvl w:ilvl="0">
      <w:lvlJc w:val="left"/>
      <w:lvlText w:val="%1"/>
      <w:numFmt w:val="lowerLetter"/>
      <w:start w:val="1"/>
    </w:lvl>
    <w:lvl w:ilvl="1">
      <w:lvlJc w:val="left"/>
      <w:lvlText w:val="(%2)"/>
      <w:numFmt w:val="lowerLetter"/>
      <w:start w:val="1"/>
    </w:lvl>
  </w:abstractNum>
  <w:abstractNum w:abstractNumId="413">
    <w:nsid w:val="2FE5D025"/>
    <w:multiLevelType w:val="hybridMultilevel"/>
    <w:lvl w:ilvl="0">
      <w:lvlJc w:val="left"/>
      <w:lvlText w:val="(%1)"/>
      <w:numFmt w:val="lowerLetter"/>
      <w:start w:val="35"/>
    </w:lvl>
    <w:lvl w:ilvl="1">
      <w:lvlJc w:val="left"/>
      <w:lvlText w:val="(%2)"/>
      <w:numFmt w:val="lowerLetter"/>
      <w:start w:val="5"/>
    </w:lvl>
  </w:abstractNum>
  <w:abstractNum w:abstractNumId="414">
    <w:nsid w:val="30E1B1CF"/>
    <w:multiLevelType w:val="hybridMultilevel"/>
    <w:lvl w:ilvl="0">
      <w:lvlJc w:val="left"/>
      <w:lvlText w:val="(%1)"/>
      <w:numFmt w:val="lowerLetter"/>
      <w:start w:val="6"/>
    </w:lvl>
  </w:abstractNum>
  <w:abstractNum w:abstractNumId="415">
    <w:nsid w:val="C7A9237"/>
    <w:multiLevelType w:val="hybridMultilevel"/>
    <w:lvl w:ilvl="0">
      <w:lvlJc w:val="left"/>
      <w:lvlText w:val="(%1)"/>
      <w:numFmt w:val="lowerLetter"/>
      <w:start w:val="16"/>
    </w:lvl>
  </w:abstractNum>
  <w:abstractNum w:abstractNumId="416">
    <w:nsid w:val="676B3580"/>
    <w:multiLevelType w:val="hybridMultilevel"/>
    <w:lvl w:ilvl="0">
      <w:lvlJc w:val="left"/>
      <w:lvlText w:val="%1"/>
      <w:numFmt w:val="lowerLetter"/>
      <w:start w:val="1"/>
    </w:lvl>
    <w:lvl w:ilvl="1">
      <w:lvlJc w:val="left"/>
      <w:lvlText w:val="(%2)"/>
      <w:numFmt w:val="lowerLetter"/>
      <w:start w:val="1"/>
    </w:lvl>
  </w:abstractNum>
  <w:abstractNum w:abstractNumId="417">
    <w:nsid w:val="3193C8F9"/>
    <w:multiLevelType w:val="hybridMultilevel"/>
    <w:lvl w:ilvl="0">
      <w:lvlJc w:val="left"/>
      <w:lvlText w:val="(%1)"/>
      <w:numFmt w:val="lowerLetter"/>
      <w:start w:val="35"/>
    </w:lvl>
    <w:lvl w:ilvl="1">
      <w:lvlJc w:val="left"/>
      <w:lvlText w:val="(%2)"/>
      <w:numFmt w:val="lowerLetter"/>
      <w:start w:val="4"/>
    </w:lvl>
  </w:abstractNum>
  <w:abstractNum w:abstractNumId="418">
    <w:nsid w:val="5FA6C6DC"/>
    <w:multiLevelType w:val="hybridMultilevel"/>
    <w:lvl w:ilvl="0">
      <w:lvlJc w:val="left"/>
      <w:lvlText w:val="(%1)"/>
      <w:numFmt w:val="lowerLetter"/>
      <w:start w:val="1"/>
    </w:lvl>
    <w:lvl w:ilvl="1">
      <w:lvlJc w:val="left"/>
      <w:lvlText w:val="(%2)"/>
      <w:numFmt w:val="lowerRoman"/>
      <w:start w:val="1"/>
    </w:lvl>
  </w:abstractNum>
  <w:abstractNum w:abstractNumId="419">
    <w:nsid w:val="77933F62"/>
    <w:multiLevelType w:val="hybridMultilevel"/>
    <w:lvl w:ilvl="0">
      <w:lvlJc w:val="left"/>
      <w:lvlText w:val="(%1)"/>
      <w:numFmt w:val="lowerRoman"/>
      <w:start w:val="1"/>
    </w:lvl>
  </w:abstractNum>
  <w:abstractNum w:abstractNumId="420">
    <w:nsid w:val="6CB4EE9C"/>
    <w:multiLevelType w:val="hybridMultilevel"/>
    <w:lvl w:ilvl="0">
      <w:lvlJc w:val="left"/>
      <w:lvlText w:val="(%1)"/>
      <w:numFmt w:val="lowerRoman"/>
      <w:start w:val="7"/>
    </w:lvl>
  </w:abstractNum>
  <w:abstractNum w:abstractNumId="421">
    <w:nsid w:val="6A6D56D7"/>
    <w:multiLevelType w:val="hybridMultilevel"/>
    <w:lvl w:ilvl="0">
      <w:lvlJc w:val="left"/>
      <w:lvlText w:val="(%1)"/>
      <w:numFmt w:val="lowerRoman"/>
      <w:start w:val="8"/>
    </w:lvl>
  </w:abstractNum>
  <w:abstractNum w:abstractNumId="422">
    <w:nsid w:val="5B727F19"/>
    <w:multiLevelType w:val="hybridMultilevel"/>
    <w:lvl w:ilvl="0">
      <w:lvlJc w:val="left"/>
      <w:lvlText w:val="(%1)"/>
      <w:numFmt w:val="lowerRoman"/>
      <w:start w:val="11"/>
    </w:lvl>
  </w:abstractNum>
  <w:abstractNum w:abstractNumId="423">
    <w:nsid w:val="514E5CB0"/>
    <w:multiLevelType w:val="hybridMultilevel"/>
    <w:lvl w:ilvl="0">
      <w:lvlJc w:val="left"/>
      <w:lvlText w:val="%1"/>
      <w:numFmt w:val="lowerLetter"/>
      <w:start w:val="1"/>
    </w:lvl>
    <w:lvl w:ilvl="1">
      <w:lvlJc w:val="left"/>
      <w:lvlText w:val="(%2)"/>
      <w:numFmt w:val="lowerLetter"/>
      <w:start w:val="1"/>
    </w:lvl>
  </w:abstractNum>
  <w:abstractNum w:abstractNumId="424">
    <w:nsid w:val="4210D41E"/>
    <w:multiLevelType w:val="hybridMultilevel"/>
    <w:lvl w:ilvl="0">
      <w:lvlJc w:val="left"/>
      <w:lvlText w:val="(%1)"/>
      <w:numFmt w:val="lowerLetter"/>
      <w:start w:val="9"/>
    </w:lvl>
    <w:lvl w:ilvl="1">
      <w:lvlJc w:val="left"/>
      <w:lvlText w:val="(%2)"/>
      <w:numFmt w:val="lowerLetter"/>
      <w:start w:val="2"/>
    </w:lvl>
  </w:abstractNum>
  <w:abstractNum w:abstractNumId="425">
    <w:nsid w:val="4FF4CC6D"/>
    <w:multiLevelType w:val="hybridMultilevel"/>
    <w:lvl w:ilvl="0">
      <w:lvlJc w:val="left"/>
      <w:lvlText w:val="(%1)"/>
      <w:numFmt w:val="lowerLetter"/>
      <w:start w:val="1"/>
    </w:lvl>
  </w:abstractNum>
  <w:abstractNum w:abstractNumId="426">
    <w:nsid w:val="404EAF4A"/>
    <w:multiLevelType w:val="hybridMultilevel"/>
    <w:lvl w:ilvl="0">
      <w:lvlJc w:val="left"/>
      <w:lvlText w:val="(%1)"/>
      <w:numFmt w:val="lowerLetter"/>
      <w:start w:val="1"/>
    </w:lvl>
  </w:abstractNum>
  <w:abstractNum w:abstractNumId="427">
    <w:nsid w:val="4A16874F"/>
    <w:multiLevelType w:val="hybridMultilevel"/>
    <w:lvl w:ilvl="0">
      <w:lvlJc w:val="left"/>
      <w:lvlText w:val="(%1)"/>
      <w:numFmt w:val="lowerLetter"/>
      <w:start w:val="1"/>
    </w:lvl>
  </w:abstractNum>
  <w:abstractNum w:abstractNumId="428">
    <w:nsid w:val="55FEE0D1"/>
    <w:multiLevelType w:val="hybridMultilevel"/>
    <w:lvl w:ilvl="0">
      <w:lvlJc w:val="left"/>
      <w:lvlText w:val="(%1)"/>
      <w:numFmt w:val="lowerLetter"/>
      <w:start w:val="3"/>
    </w:lvl>
  </w:abstractNum>
  <w:abstractNum w:abstractNumId="429">
    <w:nsid w:val="3C5E07C"/>
    <w:multiLevelType w:val="hybridMultilevel"/>
    <w:lvl w:ilvl="0">
      <w:lvlJc w:val="left"/>
      <w:lvlText w:val="(%1)"/>
      <w:numFmt w:val="lowerLetter"/>
      <w:start w:val="1"/>
    </w:lvl>
  </w:abstractNum>
  <w:abstractNum w:abstractNumId="430">
    <w:nsid w:val="60C2D273"/>
    <w:multiLevelType w:val="hybridMultilevel"/>
    <w:lvl w:ilvl="0">
      <w:lvlJc w:val="left"/>
      <w:lvlText w:val="(%1)"/>
      <w:numFmt w:val="lowerLetter"/>
      <w:start w:val="2"/>
    </w:lvl>
  </w:abstractNum>
  <w:abstractNum w:abstractNumId="431">
    <w:nsid w:val="4CC32F1F"/>
    <w:multiLevelType w:val="hybridMultilevel"/>
    <w:lvl w:ilvl="0">
      <w:lvlJc w:val="left"/>
      <w:lvlText w:val="(%1)"/>
      <w:numFmt w:val="lowerLetter"/>
      <w:start w:val="1"/>
    </w:lvl>
  </w:abstractNum>
  <w:abstractNum w:abstractNumId="432">
    <w:nsid w:val="11CAC74A"/>
    <w:multiLevelType w:val="hybridMultilevel"/>
    <w:lvl w:ilvl="0">
      <w:lvlJc w:val="left"/>
      <w:lvlText w:val="(%1)"/>
      <w:numFmt w:val="lowerLetter"/>
      <w:start w:val="1"/>
    </w:lvl>
  </w:abstractNum>
  <w:abstractNum w:abstractNumId="433">
    <w:nsid w:val="126CADE9"/>
    <w:multiLevelType w:val="hybridMultilevel"/>
    <w:lvl w:ilvl="0">
      <w:lvlJc w:val="left"/>
      <w:lvlText w:val="%1"/>
      <w:numFmt w:val="lowerLetter"/>
      <w:start w:val="1"/>
    </w:lvl>
    <w:lvl w:ilvl="1">
      <w:lvlJc w:val="left"/>
      <w:lvlText w:val="(%2)"/>
      <w:numFmt w:val="lowerLetter"/>
      <w:start w:val="2"/>
    </w:lvl>
  </w:abstractNum>
  <w:abstractNum w:abstractNumId="434">
    <w:nsid w:val="19132E7B"/>
    <w:multiLevelType w:val="hybridMultilevel"/>
    <w:lvl w:ilvl="0">
      <w:lvlJc w:val="left"/>
      <w:lvlText w:val="(%1)"/>
      <w:numFmt w:val="lowerLetter"/>
      <w:start w:val="22"/>
    </w:lvl>
    <w:lvl w:ilvl="1">
      <w:lvlJc w:val="left"/>
      <w:lvlText w:val="(%2)"/>
      <w:numFmt w:val="lowerLetter"/>
      <w:start w:val="3"/>
    </w:lvl>
  </w:abstractNum>
  <w:abstractNum w:abstractNumId="435">
    <w:nsid w:val="63822DC0"/>
    <w:multiLevelType w:val="hybridMultilevel"/>
    <w:lvl w:ilvl="0">
      <w:lvlJc w:val="left"/>
      <w:lvlText w:val="(%1)"/>
      <w:numFmt w:val="lowerLetter"/>
      <w:start w:val="4"/>
    </w:lvl>
  </w:abstractNum>
  <w:abstractNum w:abstractNumId="436">
    <w:nsid w:val="6C11685A"/>
    <w:multiLevelType w:val="hybridMultilevel"/>
    <w:lvl w:ilvl="0">
      <w:lvlJc w:val="left"/>
      <w:lvlText w:val="(%1)"/>
      <w:numFmt w:val="lowerLetter"/>
      <w:start w:val="6"/>
    </w:lvl>
  </w:abstractNum>
  <w:abstractNum w:abstractNumId="437">
    <w:nsid w:val="5E1EAE31"/>
    <w:multiLevelType w:val="hybridMultilevel"/>
    <w:lvl w:ilvl="0">
      <w:lvlJc w:val="left"/>
      <w:lvlText w:val="(%1)"/>
      <w:numFmt w:val="lowerLetter"/>
      <w:start w:val="1"/>
    </w:lvl>
  </w:abstractNum>
  <w:abstractNum w:abstractNumId="438">
    <w:nsid w:val="178E240D"/>
    <w:multiLevelType w:val="hybridMultilevel"/>
    <w:lvl w:ilvl="0">
      <w:lvlJc w:val="left"/>
      <w:lvlText w:val="(%1)"/>
      <w:numFmt w:val="lowerRoman"/>
      <w:start w:val="1"/>
    </w:lvl>
  </w:abstractNum>
  <w:abstractNum w:abstractNumId="439">
    <w:nsid w:val="5556A87B"/>
    <w:multiLevelType w:val="hybridMultilevel"/>
    <w:lvl w:ilvl="0">
      <w:lvlJc w:val="left"/>
      <w:lvlText w:val="%1."/>
      <w:numFmt w:val="upperLetter"/>
      <w:start w:val="2"/>
    </w:lvl>
  </w:abstractNum>
  <w:abstractNum w:abstractNumId="440">
    <w:nsid w:val="28100A9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441">
    <w:nsid w:val="D838636"/>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42">
    <w:nsid w:val="71B82AED"/>
    <w:multiLevelType w:val="hybridMultilevel"/>
    <w:lvl w:ilvl="0">
      <w:lvlJc w:val="left"/>
      <w:lvlText w:val="(%1)"/>
      <w:numFmt w:val="lowerLetter"/>
      <w:start w:val="1"/>
    </w:lvl>
  </w:abstractNum>
  <w:abstractNum w:abstractNumId="443">
    <w:nsid w:val="D15FACA"/>
    <w:multiLevelType w:val="hybridMultilevel"/>
    <w:lvl w:ilvl="0">
      <w:lvlJc w:val="left"/>
      <w:lvlText w:val="(%1)"/>
      <w:numFmt w:val="lowerLetter"/>
      <w:start w:val="2"/>
    </w:lvl>
  </w:abstractNum>
  <w:abstractNum w:abstractNumId="444">
    <w:nsid w:val="3D69565B"/>
    <w:multiLevelType w:val="hybridMultilevel"/>
    <w:lvl w:ilvl="0">
      <w:lvlJc w:val="left"/>
      <w:lvlText w:val="(%1)"/>
      <w:numFmt w:val="lowerLetter"/>
      <w:start w:val="1"/>
    </w:lvl>
  </w:abstractNum>
  <w:abstractNum w:abstractNumId="445">
    <w:nsid w:val="2299DCB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46">
    <w:nsid w:val="19908D02"/>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447">
    <w:nsid w:val="24D48BDB"/>
    <w:multiLevelType w:val="hybridMultilevel"/>
    <w:lvl w:ilvl="0">
      <w:lvlJc w:val="left"/>
      <w:lvlText w:val="(%1)"/>
      <w:numFmt w:val="lowerRoman"/>
      <w:start w:val="2"/>
    </w:lvl>
  </w:abstractNum>
  <w:abstractNum w:abstractNumId="448">
    <w:nsid w:val="542DA5B5"/>
    <w:multiLevelType w:val="hybridMultilevel"/>
    <w:lvl w:ilvl="0">
      <w:lvlJc w:val="left"/>
      <w:lvlText w:val="(%1)"/>
      <w:numFmt w:val="lowerLetter"/>
      <w:start w:val="1"/>
    </w:lvl>
  </w:abstractNum>
  <w:abstractNum w:abstractNumId="449">
    <w:nsid w:val="793753DE"/>
    <w:multiLevelType w:val="hybridMultilevel"/>
    <w:lvl w:ilvl="0">
      <w:lvlJc w:val="left"/>
      <w:lvlText w:val="%1"/>
      <w:numFmt w:val="upperLetter"/>
      <w:start w:val="1"/>
    </w:lvl>
    <w:lvl w:ilvl="1">
      <w:lvlJc w:val="left"/>
      <w:lvlText w:val="(%2)"/>
      <w:numFmt w:val="lowerLetter"/>
      <w:start w:val="3"/>
    </w:lvl>
  </w:abstractNum>
  <w:abstractNum w:abstractNumId="450">
    <w:nsid w:val="1C67CB3D"/>
    <w:multiLevelType w:val="hybridMultilevel"/>
    <w:lvl w:ilvl="0">
      <w:lvlJc w:val="left"/>
      <w:lvlText w:val="(%1)"/>
      <w:numFmt w:val="upperLetter"/>
      <w:start w:val="1"/>
    </w:lvl>
    <w:lvl w:ilvl="1">
      <w:lvlJc w:val="left"/>
      <w:lvlText w:val="(%2)"/>
      <w:numFmt w:val="lowerLetter"/>
      <w:start w:val="4"/>
    </w:lvl>
  </w:abstractNum>
  <w:abstractNum w:abstractNumId="451">
    <w:nsid w:val="40E29452"/>
    <w:multiLevelType w:val="hybridMultilevel"/>
    <w:lvl w:ilvl="0">
      <w:lvlJc w:val="left"/>
      <w:lvlText w:val="(%1)"/>
      <w:numFmt w:val="upperLetter"/>
      <w:start w:val="1"/>
    </w:lvl>
  </w:abstractNum>
  <w:abstractNum w:abstractNumId="452">
    <w:nsid w:val="63A4AAB6"/>
    <w:multiLevelType w:val="hybridMultilevel"/>
    <w:lvl w:ilvl="0">
      <w:lvlJc w:val="left"/>
      <w:lvlText w:val="(%1)"/>
      <w:numFmt w:val="upperLetter"/>
      <w:start w:val="3"/>
    </w:lvl>
  </w:abstractNum>
  <w:abstractNum w:abstractNumId="453">
    <w:nsid w:val="77DA4A57"/>
    <w:multiLevelType w:val="hybridMultilevel"/>
    <w:lvl w:ilvl="0">
      <w:lvlJc w:val="left"/>
      <w:lvlText w:val="(%1)"/>
      <w:numFmt w:val="upperLetter"/>
      <w:start w:val="5"/>
    </w:lvl>
  </w:abstractNum>
  <w:abstractNum w:abstractNumId="454">
    <w:nsid w:val="1230F102"/>
    <w:multiLevelType w:val="hybridMultilevel"/>
    <w:lvl w:ilvl="0">
      <w:lvlJc w:val="left"/>
      <w:lvlText w:val="%1."/>
      <w:numFmt w:val="decimal"/>
      <w:start w:val="1"/>
    </w:lvl>
  </w:abstractNum>
  <w:abstractNum w:abstractNumId="455">
    <w:nsid w:val="25B57ED4"/>
    <w:multiLevelType w:val="hybridMultilevel"/>
    <w:lvl w:ilvl="0">
      <w:lvlJc w:val="left"/>
      <w:lvlText w:val="%1."/>
      <w:numFmt w:val="decimal"/>
      <w:start w:val="1"/>
    </w:lvl>
  </w:abstractNum>
  <w:abstractNum w:abstractNumId="456">
    <w:nsid w:val="47CF16C4"/>
    <w:multiLevelType w:val="hybridMultilevel"/>
    <w:lvl w:ilvl="0">
      <w:lvlJc w:val="left"/>
      <w:lvlText w:val="%1."/>
      <w:numFmt w:val="lowerLetter"/>
      <w:start w:val="1"/>
    </w:lvl>
  </w:abstractNum>
  <w:abstractNum w:abstractNumId="457">
    <w:nsid w:val="527FA04C"/>
    <w:multiLevelType w:val="hybridMultilevel"/>
    <w:lvl w:ilvl="0">
      <w:lvlJc w:val="left"/>
      <w:lvlText w:val="]"/>
      <w:numFmt w:val="bullet"/>
      <w:start w:val="1"/>
    </w:lvl>
  </w:abstractNum>
  <w:abstractNum w:abstractNumId="458">
    <w:nsid w:val="6FCC0624"/>
    <w:multiLevelType w:val="hybridMultilevel"/>
    <w:lvl w:ilvl="0">
      <w:lvlJc w:val="left"/>
      <w:lvlText w:val="I"/>
      <w:numFmt w:val="bullet"/>
      <w:start w:val="1"/>
    </w:lvl>
  </w:abstractNum>
  <w:abstractNum w:abstractNumId="459">
    <w:nsid w:val="1DCDF7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2021-02-04T16:18:24Z</dcterms:created>
  <dcterms:modified xsi:type="dcterms:W3CDTF">2021-02-04T16:18:24Z</dcterms:modified>
</cp:coreProperties>
</file>